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comments.xml" ContentType="application/vnd.openxmlformats-officedocument.wordprocessingml.comments+xml"/>
  <Override PartName="/word/theme/theme1.xml" ContentType="application/vnd.openxmlformats-officedocument.theme+xml"/>
  <Override PartName="/word/commentsExtended.xml" ContentType="application/vnd.openxmlformats-officedocument.wordprocessingml.commentsExtended+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Bdr/>
        <w:pStyle w:val="Title"/>
        <w:spacing/>
        <w:ind/>
        <w:rPr>
          <w:b w:val="0"/>
        </w:rPr>
      </w:pPr>
      <w:r>
        <w:rPr/>
        <w:t xml:space="preserve">MINISTARSTVO ZAŠTITE OKOLIŠA I ZELENE TRANZICIJE</w:t>
      </w:r>
    </w:p>
    <w:p>
      <w:pPr>
        <w:pBdr/>
        <w:pStyle w:val="Normal"/>
        <w:spacing w:after="0" w:line="240" w:lineRule="auto"/>
        <w:ind/>
        <w:jc w:val="center"/>
        <w:rPr>
          <w:rFonts w:ascii="Arial" w:eastAsia="Arial" w:hAnsi="Arial" w:cs="Arial"/>
          <w:sz w:val="24"/>
          <w:szCs w:val="24"/>
        </w:rPr>
      </w:pPr>
    </w:p>
    <w:p>
      <w:pPr>
        <w:pBdr/>
        <w:pStyle w:val="Title"/>
        <w:spacing/>
        <w:ind/>
        <w:rPr/>
      </w:pPr>
      <w:r>
        <w:rPr/>
        <w:t xml:space="preserve">NACRT</w:t>
      </w:r>
    </w:p>
    <w:p>
      <w:pPr>
        <w:pBdr/>
        <w:pStyle w:val="Title"/>
        <w:spacing/>
        <w:ind/>
        <w:rPr/>
      </w:pPr>
      <w:r>
        <w:rPr/>
        <w:t xml:space="preserve">PRIJEDLOG ZAKONA O ZAŠTITI ZRAKA</w:t>
      </w:r>
    </w:p>
    <w:p>
      <w:pPr>
        <w:pBdr/>
        <w:pStyle w:val="Normal"/>
        <w:spacing w:after="0" w:line="240" w:lineRule="auto"/>
        <w:ind/>
        <w:jc w:val="center"/>
        <w:rPr>
          <w:rFonts w:ascii="Arial" w:eastAsia="Arial" w:hAnsi="Arial" w:cs="Arial"/>
          <w:sz w:val="24"/>
          <w:szCs w:val="24"/>
        </w:rPr>
      </w:pPr>
    </w:p>
    <w:p>
      <w:pPr>
        <w:pBdr/>
        <w:pStyle w:val="Normal"/>
        <w:spacing w:after="0" w:line="240" w:lineRule="auto"/>
        <w:ind/>
        <w:rPr>
          <w:rFonts w:ascii="Arial" w:eastAsia="Arial" w:hAnsi="Arial" w:cs="Arial"/>
          <w:sz w:val="24"/>
          <w:szCs w:val="24"/>
        </w:rPr>
      </w:pPr>
    </w:p>
    <w:p>
      <w:pPr>
        <w:pBdr/>
        <w:pStyle w:val="Normal"/>
        <w:spacing/>
        <w:ind/>
        <w:jc w:val="center"/>
        <w:rPr/>
      </w:pPr>
      <w:r>
        <w:rPr/>
        <w:t xml:space="preserve">Zagreb, listopad 2026.</w:t>
      </w:r>
    </w:p>
    <w:p>
      <w:pPr>
        <w:pBdr/>
        <w:pStyle w:val="No Spacing"/>
        <w:spacing/>
        <w:ind/>
        <w:rPr>
          <w:rFonts w:ascii="Arial" w:eastAsia="Arial" w:hAnsi="Arial" w:cs="Arial"/>
          <w:sz w:val="24"/>
          <w:szCs w:val="24"/>
        </w:rPr>
      </w:pPr>
    </w:p>
    <w:p>
      <w:pPr>
        <w:pBdr/>
        <w:pStyle w:val="No Spacing"/>
        <w:spacing/>
        <w:ind/>
        <w:rPr>
          <w:rFonts w:ascii="Arial" w:eastAsia="Arial" w:hAnsi="Arial" w:cs="Arial"/>
          <w:sz w:val="24"/>
          <w:szCs w:val="24"/>
        </w:rPr>
      </w:pPr>
    </w:p>
    <w:p>
      <w:pPr>
        <w:pBdr/>
        <w:pStyle w:val="Heading 1"/>
        <w:spacing/>
        <w:ind/>
        <w:rPr/>
      </w:pPr>
      <w:r>
        <w:rPr/>
        <w:t xml:space="preserve">I. USTAVNA OSNOVA ZA DONOŠENJE ZAKONA</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Ustavna osnova za donošenje Zakona o zaštiti zraka sadržana je u odredbama članka 2. stavka 4. podstavaka 1. i 2. i članka 52. Ustava Republike Hrvatske („Narodne novine“, broj 85/10. — pročišćeni tekst i 5/14. Odluka Ustavnog suda Republike Hrvatske).</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p>
    <w:p>
      <w:pPr>
        <w:pBdr/>
        <w:pStyle w:val="Heading 1"/>
        <w:spacing/>
        <w:ind/>
        <w:rPr/>
      </w:pPr>
      <w:r>
        <w:rPr/>
        <w:t xml:space="preserve">II. OCJENA STANJA I OSNOVNA PITANJA KOJA SE TREBAJU UREDITI ZAKONOM TE POSLJEDICE KOJE ĆE DONOŠENJEM ZAKONA PROISTEĆI </w:t>
      </w:r>
    </w:p>
    <w:p>
      <w:pPr>
        <w:pBdr/>
        <w:pStyle w:val="Normal"/>
        <w:spacing w:after="0" w:line="240" w:lineRule="auto"/>
        <w:ind/>
        <w:jc w:val="both"/>
        <w:rPr>
          <w:rFonts w:ascii="Arial" w:eastAsia="Arial" w:hAnsi="Arial" w:cs="Arial"/>
          <w:bCs/>
          <w:sz w:val="24"/>
          <w:szCs w:val="24"/>
        </w:rPr>
      </w:pPr>
    </w:p>
    <w:p>
      <w:pPr>
        <w:pBdr/>
        <w:pStyle w:val="Normal"/>
        <w:spacing w:after="0" w:line="240" w:lineRule="auto"/>
        <w:contextualSpacing/>
        <w:ind/>
        <w:jc w:val="both"/>
        <w:rPr>
          <w:rFonts w:ascii="Arial" w:eastAsia="Arial" w:hAnsi="Arial" w:cs="Arial"/>
          <w:b/>
          <w:sz w:val="24"/>
          <w:szCs w:val="24"/>
        </w:rPr>
      </w:pPr>
      <w:r>
        <w:rPr>
          <w:rFonts w:ascii="Arial" w:eastAsia="Arial" w:hAnsi="Arial" w:cs="Arial"/>
          <w:b/>
          <w:sz w:val="24"/>
          <w:szCs w:val="24"/>
        </w:rPr>
        <w:t xml:space="preserve">Ocjena stanja</w:t>
      </w:r>
    </w:p>
    <w:p>
      <w:pPr>
        <w:pBdr/>
        <w:pStyle w:val="Normal"/>
        <w:spacing w:after="0" w:line="240" w:lineRule="auto"/>
        <w:contextualSpacing/>
        <w:ind/>
        <w:jc w:val="both"/>
        <w:rPr>
          <w:rFonts w:ascii="Arial" w:eastAsia="Arial" w:hAnsi="Arial" w:cs="Arial"/>
          <w:bCs/>
          <w:sz w:val="24"/>
          <w:szCs w:val="24"/>
        </w:rPr>
      </w:pPr>
    </w:p>
    <w:p>
      <w:pPr>
        <w:pBdr/>
        <w:pStyle w:val="Normal"/>
        <w:spacing w:after="0" w:line="240" w:lineRule="auto"/>
        <w:contextualSpacing/>
        <w:ind/>
        <w:jc w:val="both"/>
        <w:rPr>
          <w:rFonts w:ascii="Arial" w:eastAsia="Arial" w:hAnsi="Arial" w:cs="Arial"/>
          <w:sz w:val="24"/>
          <w:szCs w:val="24"/>
        </w:rPr>
      </w:pPr>
      <w:r>
        <w:rPr>
          <w:rFonts w:ascii="Arial" w:eastAsia="Arial" w:hAnsi="Arial" w:cs="Arial"/>
          <w:sz w:val="24"/>
          <w:szCs w:val="24"/>
        </w:rPr>
        <w:t xml:space="preserve">Zaštita zraka u Republici Hrvatskoj uređena je Zakonom o zaštiti zraka („Narodne novine“, br. 127/19., 57/22. i 136/24.), kojim su u hrvatsko zakonodavstvo preneseni tada važeći propisi Europske unije u području kvalitete zraka i smanjenja emisija onečišćujućih tvari u zrak.</w:t>
      </w:r>
    </w:p>
    <w:p>
      <w:pPr>
        <w:pBdr/>
        <w:pStyle w:val="Normal"/>
        <w:spacing w:after="0" w:line="240" w:lineRule="auto"/>
        <w:contextualSpacing/>
        <w:ind/>
        <w:jc w:val="both"/>
        <w:rPr>
          <w:rFonts w:ascii="Arial" w:eastAsia="Arial" w:hAnsi="Arial" w:cs="Arial"/>
          <w:sz w:val="24"/>
          <w:szCs w:val="24"/>
        </w:rPr>
      </w:pPr>
    </w:p>
    <w:p>
      <w:pPr>
        <w:pBdr/>
        <w:pStyle w:val="Normal"/>
        <w:spacing w:after="0" w:line="240" w:lineRule="auto"/>
        <w:contextualSpacing/>
        <w:ind/>
        <w:jc w:val="both"/>
        <w:rPr>
          <w:rFonts w:ascii="Arial" w:eastAsia="Arial" w:hAnsi="Arial" w:cs="Arial"/>
          <w:sz w:val="24"/>
          <w:szCs w:val="24"/>
        </w:rPr>
      </w:pPr>
      <w:r>
        <w:rPr>
          <w:rFonts w:ascii="Arial" w:eastAsia="Arial" w:hAnsi="Arial" w:cs="Arial"/>
          <w:sz w:val="24"/>
          <w:szCs w:val="24"/>
        </w:rPr>
        <w:t xml:space="preserve">Dana 10. prosinca 2024. stupila je na snagu Direktiva (EU) 2024/2881 Europskog parlamenta i Vijeća od 23. listopada 2024. o kvaliteti zraka i čišćem zraku za Europu (preinaka), kojom se uspostavlja novi zakonodavni okvir Europske unije u području zaštite zraka. Direktivom se utvrđuju stroži standardi kvalitete zraka od 1. siječnja 2030., uvode novi zahtjevi za procjenjivanje i praćenje kvalitete zraka, modeliranje kvalitete zraka, planiranje mjera za poboljšanje kvalitete zraka, informiranje javnosti, pristup pravosuđu te naknadu štete za narušeno zdravlje ljudi. Istodobno se zadržavaju obveze Republike Hrvatske koje proizlaze iz Direktive (EU) 2016/2284 o smanjenju nacionalnih emisija određenih atmosferskih onečišćujućih tvari i drugih akata Europske unije koje su već bile prenesene u nacionalno zakonodavstvo.</w:t>
      </w:r>
    </w:p>
    <w:p>
      <w:pPr>
        <w:pBdr/>
        <w:pStyle w:val="Normal"/>
        <w:spacing w:after="0" w:line="240" w:lineRule="auto"/>
        <w:contextualSpacing/>
        <w:ind/>
        <w:jc w:val="both"/>
        <w:rPr>
          <w:rFonts w:ascii="Arial" w:eastAsia="Arial" w:hAnsi="Arial" w:cs="Arial"/>
          <w:sz w:val="24"/>
          <w:szCs w:val="24"/>
        </w:rPr>
      </w:pPr>
    </w:p>
    <w:p>
      <w:pPr>
        <w:pBdr/>
        <w:pStyle w:val="Normal"/>
        <w:spacing w:after="0" w:line="240" w:lineRule="auto"/>
        <w:contextualSpacing/>
        <w:ind/>
        <w:jc w:val="both"/>
        <w:rPr>
          <w:rFonts w:ascii="Arial" w:eastAsia="Arial" w:hAnsi="Arial" w:cs="Arial"/>
          <w:sz w:val="24"/>
          <w:szCs w:val="24"/>
        </w:rPr>
      </w:pPr>
      <w:r>
        <w:rPr>
          <w:rFonts w:ascii="Arial" w:eastAsia="Arial" w:hAnsi="Arial" w:cs="Arial"/>
          <w:sz w:val="24"/>
          <w:szCs w:val="24"/>
        </w:rPr>
        <w:t xml:space="preserve">S obzirom na opseg i sadržaj novih obveza koje proizlaze iz pravne stečevine Europske unije o kvaliteti zraka, kvaliteti proizvoda i emisijama onečišćujućih tvari u zrak, izmjene važećeg Zakona nisu dovoljne za njihovu provedbu, već je potrebno donijeti novi Zakon o zaštiti zraka kojim će se osigurati potpuna usklađenost hrvatskog zakonodavstva s pravom Europske unije te unaprijediti sustav upravljanja kvalitetom zraka u Republici Hrvatskoj.</w:t>
      </w:r>
    </w:p>
    <w:p>
      <w:pPr>
        <w:pBdr/>
        <w:pStyle w:val="Normal"/>
        <w:spacing w:after="0" w:line="240" w:lineRule="auto"/>
        <w:contextualSpacing/>
        <w:ind/>
        <w:jc w:val="both"/>
        <w:rPr>
          <w:rFonts w:ascii="Arial" w:eastAsia="Arial" w:hAnsi="Arial" w:cs="Arial"/>
          <w:sz w:val="24"/>
          <w:szCs w:val="24"/>
        </w:rPr>
      </w:pPr>
    </w:p>
    <w:p>
      <w:pPr>
        <w:pBdr/>
        <w:pStyle w:val="Normal"/>
        <w:spacing w:after="0" w:line="240" w:lineRule="auto"/>
        <w:contextualSpacing/>
        <w:ind/>
        <w:jc w:val="both"/>
        <w:rPr>
          <w:rFonts w:ascii="Arial" w:eastAsia="Arial" w:hAnsi="Arial" w:cs="Arial"/>
          <w:sz w:val="24"/>
          <w:szCs w:val="24"/>
        </w:rPr>
      </w:pPr>
      <w:r>
        <w:rPr>
          <w:rFonts w:ascii="Arial" w:eastAsia="Arial" w:hAnsi="Arial" w:cs="Arial"/>
          <w:sz w:val="24"/>
          <w:szCs w:val="24"/>
        </w:rPr>
        <w:t xml:space="preserve">Stručni nositelj izrade ovog Prijedloga Zakona je Ministarstvo zaštite okoliša i zelene tranzicije (u daljnjem tekstu: Ministarstvo).</w:t>
      </w:r>
    </w:p>
    <w:p>
      <w:pPr>
        <w:pBdr/>
        <w:pStyle w:val="Normal"/>
        <w:spacing w:after="0" w:line="240" w:lineRule="auto"/>
        <w:contextualSpacing/>
        <w:ind/>
        <w:jc w:val="both"/>
        <w:rPr>
          <w:rFonts w:ascii="Arial" w:eastAsia="Arial" w:hAnsi="Arial" w:cs="Arial"/>
          <w:sz w:val="24"/>
          <w:szCs w:val="24"/>
        </w:rPr>
      </w:pPr>
    </w:p>
    <w:p>
      <w:pPr>
        <w:pBdr/>
        <w:pStyle w:val="Normal"/>
        <w:spacing w:after="0" w:line="240" w:lineRule="auto"/>
        <w:contextualSpacing/>
        <w:ind/>
        <w:jc w:val="both"/>
        <w:rPr>
          <w:rFonts w:ascii="Arial" w:eastAsia="Arial" w:hAnsi="Arial" w:cs="Arial"/>
          <w:b/>
          <w:sz w:val="24"/>
          <w:szCs w:val="24"/>
        </w:rPr>
      </w:pPr>
      <w:r>
        <w:rPr>
          <w:rFonts w:ascii="Arial" w:eastAsia="Arial" w:hAnsi="Arial" w:cs="Arial"/>
          <w:b/>
          <w:sz w:val="24"/>
          <w:szCs w:val="24"/>
        </w:rPr>
        <w:t xml:space="preserve">Osnovna pitanja koja se trebaju urediti zakonom</w:t>
      </w:r>
    </w:p>
    <w:p>
      <w:pPr>
        <w:pBdr/>
        <w:pStyle w:val="Normal"/>
        <w:spacing w:after="0" w:line="240" w:lineRule="auto"/>
        <w:contextualSpacing/>
        <w:ind/>
        <w:jc w:val="both"/>
        <w:rPr>
          <w:rFonts w:ascii="Arial" w:eastAsia="Arial" w:hAnsi="Arial" w:cs="Arial"/>
          <w:sz w:val="24"/>
          <w:szCs w:val="24"/>
        </w:rPr>
      </w:pPr>
    </w:p>
    <w:p>
      <w:pPr>
        <w:pBdr/>
        <w:pStyle w:val="Normal"/>
        <w:spacing w:after="0" w:line="240" w:lineRule="auto"/>
        <w:contextualSpacing/>
        <w:ind/>
        <w:jc w:val="both"/>
        <w:rPr>
          <w:rFonts w:ascii="Arial" w:eastAsia="Arial" w:hAnsi="Arial" w:cs="Arial"/>
          <w:sz w:val="24"/>
          <w:szCs w:val="24"/>
        </w:rPr>
      </w:pPr>
      <w:r>
        <w:rPr>
          <w:rFonts w:ascii="Arial" w:eastAsia="Arial" w:hAnsi="Arial" w:cs="Arial"/>
          <w:sz w:val="24"/>
          <w:szCs w:val="24"/>
        </w:rPr>
        <w:t xml:space="preserve">Ovim Prijedlogom Zakona uređuju se nadležnosti i odgovornosti tijela državne uprave, jedinica lokalne i područne (regionalne) samouprave i drugih nadležnih tijela u području zaštite zraka, procjenjivanje, praćenje kvalitete zraka i obvezna primjena modeliranja kvalitete zraka, upravljanje kvalitetom zraka, mogućnost traženja odgode rokova postizanja sukladnosti s novim strožim standardima kvalitete zraka, izrada i provedba planova za kvalitetu zraka i planova djelovanja za kvalitetu zraka, mjere za sprječavanje i smanjivanje onečišćivanja zraka, donošenje kratkoročnih akcijskih planova te provedba mjerenja posebne namjene i mjerenja u slučaju iznenadnih događaja i velikih nesreća, praćenje emisija onečišćujućih tvari iz nepokretnih izvora, praćenje kvalitete proizvoda koji utječu na kvalitetu zraka, vođenje informacijskog sustava zaštite zraka, financiranje zaštite zraka, pristup pravosuđu, odgovornost nadležnih tijela za štetu na zdravlje ljudi, upravni i inspekcijski nadzor te prekršajna odgovornost.</w:t>
      </w:r>
    </w:p>
    <w:p>
      <w:pPr>
        <w:pBdr/>
        <w:pStyle w:val="Normal"/>
        <w:spacing w:after="0" w:line="240" w:lineRule="auto"/>
        <w:contextualSpacing/>
        <w:ind/>
        <w:jc w:val="both"/>
        <w:rPr>
          <w:rFonts w:ascii="Arial" w:eastAsia="Arial" w:hAnsi="Arial" w:cs="Arial"/>
          <w:sz w:val="24"/>
          <w:szCs w:val="24"/>
        </w:rPr>
      </w:pPr>
    </w:p>
    <w:p>
      <w:pPr>
        <w:pBdr/>
        <w:pStyle w:val="Normal"/>
        <w:spacing w:after="0" w:line="240" w:lineRule="auto"/>
        <w:contextualSpacing/>
        <w:ind/>
        <w:jc w:val="both"/>
        <w:rPr>
          <w:rFonts w:ascii="Arial" w:eastAsia="Arial" w:hAnsi="Arial" w:cs="Arial"/>
          <w:sz w:val="24"/>
          <w:szCs w:val="24"/>
        </w:rPr>
      </w:pPr>
      <w:r>
        <w:rPr>
          <w:rFonts w:ascii="Arial" w:eastAsia="Arial" w:hAnsi="Arial" w:cs="Arial"/>
          <w:sz w:val="24"/>
          <w:szCs w:val="24"/>
        </w:rPr>
        <w:t xml:space="preserve">Ovim Prijedlogom Zakona se u hrvatsko zakonodavstvo prenosi Direktiva (EU) 2024/2881 te se osigurava daljnja provedba Direktive (EU) 2016/2284 i drugih akata Europske unije iz područja zaštite zraka.</w:t>
      </w:r>
    </w:p>
    <w:p>
      <w:pPr>
        <w:pBdr/>
        <w:pStyle w:val="Normal"/>
        <w:spacing w:after="0" w:line="240" w:lineRule="auto"/>
        <w:contextualSpacing/>
        <w:ind/>
        <w:jc w:val="both"/>
        <w:rPr>
          <w:rFonts w:ascii="Arial" w:eastAsia="Arial" w:hAnsi="Arial" w:cs="Arial"/>
          <w:sz w:val="24"/>
          <w:szCs w:val="24"/>
        </w:rPr>
      </w:pPr>
    </w:p>
    <w:p>
      <w:pPr>
        <w:pBdr/>
        <w:pStyle w:val="Normal"/>
        <w:spacing w:after="0" w:line="240" w:lineRule="auto"/>
        <w:contextualSpacing/>
        <w:ind/>
        <w:jc w:val="both"/>
        <w:rPr>
          <w:rFonts w:ascii="Arial" w:eastAsia="Arial" w:hAnsi="Arial" w:cs="Arial"/>
          <w:b/>
          <w:sz w:val="24"/>
          <w:szCs w:val="24"/>
        </w:rPr>
      </w:pPr>
      <w:r>
        <w:rPr>
          <w:rFonts w:ascii="Arial" w:eastAsia="Arial" w:hAnsi="Arial" w:cs="Arial"/>
          <w:b/>
          <w:sz w:val="24"/>
          <w:szCs w:val="24"/>
        </w:rPr>
        <w:t xml:space="preserve">Posljedice koje će donošenjem zakona proisteći</w:t>
      </w:r>
    </w:p>
    <w:p>
      <w:pPr>
        <w:pBdr/>
        <w:pStyle w:val="Normal"/>
        <w:spacing w:after="0" w:line="240" w:lineRule="auto"/>
        <w:contextualSpacing/>
        <w:ind/>
        <w:jc w:val="both"/>
        <w:rPr>
          <w:rFonts w:ascii="Arial" w:eastAsia="Arial" w:hAnsi="Arial" w:cs="Arial"/>
          <w:sz w:val="24"/>
          <w:szCs w:val="24"/>
        </w:rPr>
      </w:pPr>
    </w:p>
    <w:p>
      <w:pPr>
        <w:pBdr/>
        <w:pStyle w:val="Normal"/>
        <w:spacing w:line="240" w:lineRule="auto"/>
        <w:contextualSpacing/>
        <w:ind/>
        <w:jc w:val="both"/>
        <w:rPr>
          <w:rFonts w:ascii="Arial" w:eastAsia="Arial" w:hAnsi="Arial" w:cs="Arial"/>
          <w:sz w:val="24"/>
          <w:szCs w:val="24"/>
        </w:rPr>
      </w:pPr>
      <w:r>
        <w:rPr>
          <w:rFonts w:ascii="Arial" w:eastAsia="Arial" w:hAnsi="Arial" w:cs="Arial"/>
          <w:sz w:val="24"/>
          <w:szCs w:val="24"/>
        </w:rPr>
        <w:t xml:space="preserve">Donošenjem ovoga Zakona osigurat će se potpuna usklađenost zakonodavstva Republike Hrvatske s pravnom stečevinom Europske unije u području kvalitete zraka te ispunjavanje obveza koje proizlaze iz Direktive (EU) 2024/2881 i drugih akata Europske unije iz područja zaštite zraka.</w:t>
      </w:r>
    </w:p>
    <w:p>
      <w:pPr>
        <w:pBdr/>
        <w:pStyle w:val="Normal"/>
        <w:spacing w:after="0" w:line="240" w:lineRule="auto"/>
        <w:contextualSpacing/>
        <w:ind/>
        <w:jc w:val="both"/>
        <w:rPr>
          <w:rFonts w:ascii="Arial" w:eastAsia="Arial" w:hAnsi="Arial" w:cs="Arial"/>
          <w:sz w:val="24"/>
          <w:szCs w:val="24"/>
        </w:rPr>
      </w:pPr>
    </w:p>
    <w:p>
      <w:pPr>
        <w:pBdr/>
        <w:pStyle w:val="Normal"/>
        <w:spacing w:after="0" w:line="240" w:lineRule="auto"/>
        <w:contextualSpacing/>
        <w:ind/>
        <w:jc w:val="both"/>
        <w:rPr>
          <w:rFonts w:ascii="Arial" w:eastAsia="Arial" w:hAnsi="Arial" w:cs="Arial"/>
          <w:sz w:val="24"/>
          <w:szCs w:val="24"/>
        </w:rPr>
      </w:pPr>
      <w:r>
        <w:rPr>
          <w:rFonts w:ascii="Arial" w:eastAsia="Arial" w:hAnsi="Arial" w:cs="Arial"/>
          <w:sz w:val="24"/>
          <w:szCs w:val="24"/>
        </w:rPr>
        <w:t xml:space="preserve">Provedbom Zakona unaprijedit će se sustav procjenjivanja, praćenja i upravljanja kvalitetom zraka, unaprijediti program praćenja kvalitete zraka, povećati dostupnost i kvaliteta podataka o kvaliteti zraka, osigurati učinkovitije planiranje i provedba mjera za smanjenje emisija i poboljšanje kvalitete zraka te viša razina informiranja i sudjelovanja javnosti. Također će se osigurati učinkovitiji sustav praćenja emisija i nadzora nad provedbom propisa te pridonijeti zaštiti zdravlja ljudi, očuvanju ekosustava i ispunjenju cilja postupnog postizanja razina kvalitete zraka koje se više ne smatraju štetnima za zdravlje ljudi i okoliš.</w:t>
      </w:r>
    </w:p>
    <w:p>
      <w:pPr>
        <w:pBdr/>
        <w:pStyle w:val="Normal"/>
        <w:spacing w:after="0" w:line="240" w:lineRule="auto"/>
        <w:ind/>
        <w:jc w:val="both"/>
        <w:rPr>
          <w:rFonts w:ascii="Arial" w:eastAsia="Arial" w:hAnsi="Arial" w:cs="Arial"/>
          <w:b/>
          <w:sz w:val="24"/>
          <w:szCs w:val="24"/>
        </w:rPr>
      </w:pPr>
    </w:p>
    <w:p>
      <w:pPr>
        <w:pBdr/>
        <w:pStyle w:val="Normal"/>
        <w:spacing w:after="0" w:line="240" w:lineRule="auto"/>
        <w:contextualSpacing/>
        <w:ind/>
        <w:jc w:val="both"/>
        <w:rPr>
          <w:rFonts w:ascii="Arial" w:eastAsia="Arial" w:hAnsi="Arial" w:cs="Arial"/>
          <w:sz w:val="24"/>
          <w:szCs w:val="24"/>
        </w:rPr>
      </w:pPr>
    </w:p>
    <w:p>
      <w:pPr>
        <w:pBdr/>
        <w:pStyle w:val="Heading 1"/>
        <w:spacing/>
        <w:ind/>
        <w:rPr/>
      </w:pPr>
      <w:r>
        <w:rPr/>
        <w:t xml:space="preserve">III. OCJENA I IZVORI SREDSTAVA POTREBNIH ZA PROVOĐENJE ZAKONA</w:t>
      </w:r>
    </w:p>
    <w:p>
      <w:pPr>
        <w:pBdr/>
        <w:pStyle w:val="Normal"/>
        <w:spacing w:after="0" w:line="276" w:lineRule="auto"/>
        <w:ind/>
        <w:jc w:val="both"/>
        <w:rPr>
          <w:rFonts w:ascii="Arial" w:eastAsia="Arial" w:hAnsi="Arial" w:cs="Arial"/>
          <w:bCs/>
          <w:sz w:val="24"/>
          <w:szCs w:val="24"/>
        </w:rPr>
      </w:pPr>
    </w:p>
    <w:p>
      <w:pPr>
        <w:pBdr/>
        <w:pStyle w:val="Normal"/>
        <w:spacing w:after="120" w:line="240" w:lineRule="auto"/>
        <w:ind/>
        <w:jc w:val="both"/>
        <w:rPr>
          <w:rFonts w:ascii="Arial" w:eastAsia="Arial" w:hAnsi="Arial" w:cs="Arial"/>
          <w:bCs/>
          <w:sz w:val="24"/>
          <w:szCs w:val="24"/>
        </w:rPr>
      </w:pPr>
      <w:r>
        <w:rPr>
          <w:rFonts w:ascii="Arial" w:eastAsia="Arial" w:hAnsi="Arial" w:cs="Arial"/>
          <w:bCs/>
          <w:sz w:val="24"/>
          <w:szCs w:val="24"/>
        </w:rPr>
        <w:t xml:space="preserve">Za provedbu ovog Prijedloga Zakona financijska sredstva osiguravaju se u državnom proračunu Republike Hrvatske za 2026. godinu i nadalje, proračunima jedinica lokalne i područne (regionalne) samouprave, Fonda za zaštitu okoliša i energetsku učinkovitost te iz drugih izvora, prema odredbama ovog Prijedloga Zakona.</w:t>
      </w:r>
    </w:p>
    <w:p>
      <w:pPr>
        <w:pBdr/>
        <w:pStyle w:val="Normal"/>
        <w:spacing w:after="120" w:line="240" w:lineRule="auto"/>
        <w:ind/>
        <w:jc w:val="both"/>
        <w:rPr>
          <w:rFonts w:ascii="Arial" w:eastAsia="Arial" w:hAnsi="Arial" w:cs="Arial"/>
          <w:bCs/>
          <w:sz w:val="24"/>
          <w:szCs w:val="24"/>
        </w:rPr>
      </w:pPr>
      <w:r>
        <w:rPr>
          <w:rFonts w:ascii="Arial" w:eastAsia="Arial" w:hAnsi="Arial" w:cs="Arial"/>
          <w:bCs/>
          <w:sz w:val="24"/>
          <w:szCs w:val="24"/>
        </w:rPr>
        <w:t xml:space="preserve">Financiranje izrade stručnih podloga za strateške dokumente zaštite zraka i kontrolu onečišćenja zraka planirano je u državnom proračunu. Financiranje izrade i praćenja provedbe programa zaštite zraka osigurat će se u proračunima područne (regionalne) samouprave, Grada Zagreba i velikih gradova.</w:t>
      </w:r>
    </w:p>
    <w:p>
      <w:pPr>
        <w:pBdr/>
        <w:pStyle w:val="Normal"/>
        <w:spacing w:after="120" w:line="240" w:lineRule="auto"/>
        <w:ind/>
        <w:jc w:val="both"/>
        <w:rPr>
          <w:rFonts w:ascii="Arial" w:eastAsia="Arial" w:hAnsi="Arial" w:cs="Arial"/>
          <w:bCs/>
          <w:sz w:val="24"/>
          <w:szCs w:val="24"/>
        </w:rPr>
      </w:pPr>
      <w:r>
        <w:rPr>
          <w:rFonts w:ascii="Arial" w:eastAsia="Arial" w:hAnsi="Arial" w:cs="Arial"/>
          <w:bCs/>
          <w:sz w:val="24"/>
          <w:szCs w:val="24"/>
        </w:rPr>
        <w:t xml:space="preserve">Sredstva za financiranje administrativnih kapaciteta za provedbu ovog Prijedloga Zakona, u dijelu koji se odnosi na državnu mrežu za trajno praćenje kvalitete zraka i modeliranje kvalitete zraka osiguravaju se u državnom proračunu (proračun Državnog hidrometeorološkog zavoda).</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Financijska sredstva za tehničku provedbu ovog Prijedloga Zakona, u dijelu koji se odnosi na rad Nacionalnih referentnih laboratorija i praćenje kvalitete zraka u državnoj mreži, nadogradnju programa praćenja kvalitete zraka državne mreže i uspostavu </w:t>
      </w:r>
      <w:r>
        <w:rPr>
          <w:rFonts w:ascii="Arial" w:eastAsia="Arial" w:hAnsi="Arial" w:cs="Arial"/>
          <w:sz w:val="24"/>
          <w:szCs w:val="24"/>
        </w:rPr>
        <w:t xml:space="preserve">superlokacija za praćenje kvalitete zraka osiguravaju se iz proračuna Fonda za zaštitu okoliša i energetsku učinkovitost i/ili državnog proračuna. Financijska sredstva za provedbu u dijelu koji se odnosi na rad Nacionalnog referentnog laboratorija za praćenje emisija iz necestovnih pokretnih strojeva osiguravaju se iz državnog proračuna (proračun Državnog zavoda za mjeriteljstvo i Ministarstva zaštite okoliša i zelene tranzicije).</w:t>
      </w:r>
    </w:p>
    <w:p>
      <w:pPr>
        <w:pBdr/>
        <w:pStyle w:val="Normal"/>
        <w:spacing w:after="120" w:line="240" w:lineRule="auto"/>
        <w:ind/>
        <w:jc w:val="both"/>
        <w:rPr>
          <w:rFonts w:ascii="Arial" w:eastAsia="Arial" w:hAnsi="Arial" w:cs="Arial"/>
          <w:bCs/>
          <w:sz w:val="24"/>
          <w:szCs w:val="24"/>
        </w:rPr>
      </w:pPr>
      <w:r>
        <w:rPr>
          <w:rFonts w:ascii="Arial" w:eastAsia="Arial" w:hAnsi="Arial" w:cs="Arial"/>
          <w:bCs/>
          <w:sz w:val="24"/>
          <w:szCs w:val="24"/>
        </w:rPr>
        <w:t xml:space="preserve">Financijska sredstva za mjerenja posebne namjene te uspostavu i provedbu praćenja kvalitete zraka u slučaju izvanrednih događaja i velikih nesreća planiraju se osigurati iz strukturnih fondova u okviru Operativnog programa za razdoblje 2028.-</w:t>
      </w:r>
      <w:r>
        <w:rPr>
          <w:rFonts w:ascii="Arial" w:eastAsia="Arial" w:hAnsi="Arial" w:cs="Arial"/>
          <w:bCs/>
          <w:sz w:val="24"/>
          <w:szCs w:val="24"/>
        </w:rPr>
        <w:t xml:space="preserve">2034. godine.</w:t>
      </w:r>
    </w:p>
    <w:p>
      <w:pPr>
        <w:pBdr/>
        <w:pStyle w:val="Normal"/>
        <w:spacing w:after="120" w:line="240" w:lineRule="auto"/>
        <w:ind/>
        <w:jc w:val="both"/>
        <w:rPr>
          <w:rFonts w:ascii="Arial" w:eastAsia="Arial" w:hAnsi="Arial" w:cs="Arial"/>
          <w:bCs/>
          <w:sz w:val="24"/>
          <w:szCs w:val="24"/>
        </w:rPr>
      </w:pPr>
      <w:r>
        <w:rPr>
          <w:rFonts w:ascii="Arial" w:eastAsia="Arial" w:hAnsi="Arial" w:cs="Arial"/>
          <w:bCs/>
          <w:sz w:val="24"/>
          <w:szCs w:val="24"/>
        </w:rPr>
        <w:t xml:space="preserve">Financijska sredstva za izradu i praćenje provedbe planova za kvalitetu zraka, planova djelovanja za kvalitetu zraka i kratkoročnih akcijskih planova osigurat će se u proračunima jedinica lokalne i područne (regionalne) samouprave te od strane nositelja mjera za poboljšanje kvalitete zraka utvrđenih planovima.</w:t>
      </w:r>
    </w:p>
    <w:p>
      <w:pPr>
        <w:pBdr/>
        <w:pStyle w:val="Normal"/>
        <w:spacing w:after="120" w:line="240" w:lineRule="auto"/>
        <w:ind/>
        <w:jc w:val="both"/>
        <w:rPr>
          <w:rFonts w:ascii="Arial" w:eastAsia="Arial" w:hAnsi="Arial" w:cs="Arial"/>
          <w:bCs/>
          <w:sz w:val="24"/>
          <w:szCs w:val="24"/>
        </w:rPr>
      </w:pPr>
      <w:r>
        <w:rPr>
          <w:rFonts w:ascii="Arial" w:eastAsia="Arial" w:hAnsi="Arial" w:cs="Arial"/>
          <w:bCs/>
          <w:sz w:val="24"/>
          <w:szCs w:val="24"/>
        </w:rPr>
        <w:t xml:space="preserve">Financijska sredstva za vođenje i nadogradnju informacijskog sustava kvalitete zraka, obavješćivanje javnosti, izvješćivanje o kvaliteti zraka, uspostavu registra malih kućnih ložišta, izradu inventara emisija i projekcija onečišćujućih tvari u zrak te praćenje utjecaja onečišćenja zraka na ekosustave osiguravaju se iz državnog proračuna (proračun Ministarstva).</w:t>
      </w:r>
    </w:p>
    <w:p>
      <w:pPr>
        <w:pBdr/>
        <w:pStyle w:val="Normal"/>
        <w:spacing w:after="120" w:line="240" w:lineRule="auto"/>
        <w:ind/>
        <w:jc w:val="both"/>
        <w:rPr>
          <w:rFonts w:ascii="Arial" w:eastAsia="Arial" w:hAnsi="Arial" w:cs="Arial"/>
          <w:bCs/>
          <w:sz w:val="24"/>
          <w:szCs w:val="24"/>
        </w:rPr>
      </w:pPr>
      <w:r>
        <w:rPr>
          <w:rFonts w:ascii="Arial" w:eastAsia="Arial" w:hAnsi="Arial" w:cs="Arial"/>
          <w:bCs/>
          <w:sz w:val="24"/>
          <w:szCs w:val="24"/>
        </w:rPr>
        <w:t xml:space="preserve">Dosadašnje financijske obveze za gospodarstvenike se ne povećavaju i ne uvode se nova administrativna davanja.</w:t>
      </w:r>
    </w:p>
    <w:p>
      <w:pPr>
        <w:pBdr/>
        <w:pStyle w:val="Normal"/>
        <w:spacing w:after="120" w:line="240" w:lineRule="auto"/>
        <w:ind/>
        <w:jc w:val="both"/>
        <w:rPr>
          <w:rFonts w:ascii="Arial" w:eastAsia="Arial" w:hAnsi="Arial" w:cs="Arial"/>
          <w:bCs/>
          <w:sz w:val="24"/>
          <w:szCs w:val="24"/>
        </w:rPr>
      </w:pPr>
    </w:p>
    <w:p>
      <w:pPr>
        <w:pBdr/>
        <w:pStyle w:val="Normal"/>
        <w:spacing/>
        <w:ind/>
        <w:rPr>
          <w:rFonts w:ascii="Arial" w:eastAsia="Arial" w:hAnsi="Arial" w:cs="Arial"/>
          <w:sz w:val="24"/>
          <w:szCs w:val="24"/>
        </w:rPr>
      </w:pPr>
      <w:r>
        <w:rPr>
          <w:rFonts w:ascii="Arial" w:eastAsia="Arial" w:hAnsi="Arial" w:cs="Arial"/>
          <w:sz w:val="24"/>
          <w:szCs w:val="24"/>
        </w:rPr>
        <w:br w:type="page"/>
      </w:r>
    </w:p>
    <w:p>
      <w:pPr>
        <w:pBdr/>
        <w:pStyle w:val="Heading 2"/>
        <w:spacing/>
        <w:ind/>
        <w:rPr>
          <w:b w:val="0"/>
        </w:rPr>
      </w:pPr>
      <w:r>
        <w:rPr/>
        <w:t xml:space="preserve">ZAKON O ZAŠTITI ZRAKA</w:t>
      </w:r>
    </w:p>
    <w:p>
      <w:pPr>
        <w:pBdr/>
        <w:pStyle w:val="Heading 2"/>
        <w:spacing/>
        <w:ind/>
        <w:rPr/>
      </w:pPr>
      <w:r>
        <w:rPr/>
        <w:t xml:space="preserve">DIO PRVI</w:t>
      </w:r>
    </w:p>
    <w:p>
      <w:pPr>
        <w:pBdr/>
        <w:pStyle w:val="Heading 2"/>
        <w:spacing/>
        <w:ind/>
        <w:rPr/>
      </w:pPr>
      <w:r>
        <w:rPr/>
        <w:t xml:space="preserve">OPĆE ODREDBE</w:t>
      </w:r>
    </w:p>
    <w:p>
      <w:pPr>
        <w:pBdr/>
        <w:pStyle w:val="Heading 3"/>
        <w:spacing/>
        <w:ind/>
        <w:rPr>
          <w:i w:val="0"/>
        </w:rPr>
      </w:pPr>
      <w:r>
        <w:rPr/>
        <w:t xml:space="preserve">Predmet Zakona</w:t>
      </w:r>
    </w:p>
    <w:p>
      <w:pPr>
        <w:pBdr/>
        <w:pStyle w:val="Heading 4"/>
        <w:spacing/>
        <w:ind/>
        <w:rPr/>
      </w:pPr>
      <w:r>
        <w:rPr/>
        <w:t xml:space="preserve">Članak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Ovim se Zakonom utvrđuju odredbe o kvaliteti zraka za postizanje cilja nulte stope onečišćenja kako bi se kvaliteta zraka u Republici Hrvatskoj te posljedično i Europskoj uniji postupno poboljšavala do razina koje se više ne smatraju štetnima za zdravlje ljudi, prirodne ekosustave i bioraznolikost, kako su definirane prema najboljim dostupnim i najnovijim znanstvenim dokazima, doprinoseći time postizanju cilja netoksičnog okoliša najkasnije do 2050. godine.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Ovim Zakonom se određuju nadležnosti i odgovornosti za zaštitu zraka, procjenjivanje kvalitete zraka i razina taloženja, način i kriteriji procjenjivanja, praćenje i modeliranje kvalitete zraka, upravljanje kvalitetom zraka, planovi za kvalitetu zraka, mjere za sprječavanje i smanjivanje onečišćavanja zraka, informiranje i izvješćivanje o kvaliteti zraka, djelatnost praćenja kvalitete zraka i emisija u zrak, informacijski sustav zaštite zraka, financiranje zaštite zraka, pristup pravosuđu, naknade za štetu na zdravlje ljudi, prekršajna odgovornost te upravni i inspekcijski nadzor.</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Sastavni dijelovi ovoga Zakona su:</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1. Dodatak I. Standardi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2. Dodatak II. Pragovi procjene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3. Dodatak III. Standardi kvalitete življenja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4. Dodatak IV. Mjerenja onečišćujućih tvari na superlokacijama za praćenje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5. Dodatak V. Informacije koje treba uključiti u planove za kvalitetu zraka i planove djelovanja za kvalitetu zraka za poboljšanje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6. Dodatak VI. Obavješćivanje javnosti.</w:t>
      </w:r>
    </w:p>
    <w:p>
      <w:pPr>
        <w:pBdr/>
        <w:pStyle w:val="Heading 3"/>
        <w:spacing/>
        <w:ind/>
        <w:rPr/>
      </w:pPr>
      <w:r>
        <w:rPr/>
        <w:t xml:space="preserve">Pravni akti Europske unije</w:t>
      </w:r>
    </w:p>
    <w:p>
      <w:pPr>
        <w:pBdr/>
        <w:pStyle w:val="Heading 4"/>
        <w:spacing/>
        <w:ind/>
        <w:rPr/>
      </w:pPr>
      <w:r>
        <w:rPr/>
        <w:t xml:space="preserve">Članak 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Ovim Zakonom u hrvatsko zakonodavstvo preuzimaju se sljedeći akti Europske unije: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(EU) 2024/2881 Europskog parlamenta i Vijeća od 23. listopada 2024. o kvaliteti zraka i čišćem zraku za Europu (preinaka) (SL L, 20. 11. 2024.)</w:t>
      </w:r>
    </w:p>
    <w:p>
      <w:pPr>
        <w:pBdr/>
        <w:pStyle w:val="Normal"/>
        <w:spacing w:before="240" w:after="0" w:line="240" w:lineRule="auto"/>
        <w:ind/>
        <w:jc w:val="both"/>
        <w:rPr/>
      </w:pPr>
      <w:r>
        <w:rPr>
          <w:rFonts w:ascii="Arial" w:eastAsia="Arial" w:hAnsi="Arial" w:cs="Arial"/>
          <w:sz w:val="24"/>
          <w:szCs w:val="24"/>
        </w:rPr>
        <w:t xml:space="preserve">– Direktiva (EU) 2016/2284 Europskog parlamenta i Vijeća od 14. prosinca 2016. o smanjenju nacionalnih emisija određenih atmosferskih onečišćujućih tvari, o izmjeni Direktive 2003/35/EZ i stavljanju izvan snage Direktive 2001/81/EZ (Tekst značajan za EGP) (SL L 344, 17. 12. 2016.)</w:t>
      </w:r>
    </w:p>
    <w:p>
      <w:pPr>
        <w:pBdr/>
        <w:pStyle w:val="Normal"/>
        <w:spacing w:before="240" w:after="0"/>
        <w:ind/>
        <w:rPr>
          <w:rFonts w:ascii="Arial" w:eastAsia="Arial" w:hAnsi="Arial" w:cs="Arial"/>
          <w:sz w:val="24"/>
          <w:szCs w:val="24"/>
        </w:rPr>
      </w:pPr>
      <w:r>
        <w:rPr>
          <w:rFonts w:ascii="Arial" w:eastAsia="Arial" w:hAnsi="Arial" w:cs="Arial"/>
          <w:sz w:val="24"/>
          <w:szCs w:val="24"/>
        </w:rPr>
        <w:t xml:space="preserve">– Delegirana direktiva Komisije (EU) 2024/299 od 27. listopada 2023. o izmjeni Direktive (EU) 2016/2284 Europskog parlamenta i Vijeća u pogledu metodologije za izvješćivanje o projekcijama emisija određenih atmosferskih onečišćujućih tvari (Tekst značajan za EGP) (SL L, 17. 1. 2024.)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98/70/EZ Europskog parlamenta i Vijeća od 13. listopada 1998. o kvaliteti benzinskih i dizelskih goriva i izmjeni Direktive 93/12/EEZ (SL L 350, 28. 12. 1998.), kako je posljednji put izmijenjena Direktivom (EU) 2023/2413 Europskog Parlamenta i Vijeća od 18. listopada 2023. o izmjeni Direktive (EU) 2018/2001, Uredbe (EU) 2018/1999 i Direktive 98/70/EZ u pogledu promicanja energije iz obnovljivih izvora te o stavljanju izvan snage Direktive Vijeća (EU) 2015/652 (SL L, 31. 10. 2023.)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(EU) 2016/802 Europskog parlamenta i Vijeća od 11. svibnja 2016. o smanjenju sadržaja sumpora u određenim tekućim gorivima (kodificirani tekst) (SL L 132, 21. 5. 2016.)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2009/126/EZ Europskog parlamenta i Vijeća od 21. listopada 2009. o fazi II. rekuperacije benzinskih para tijekom punjenja motornih vozila gorivom na benzinskim postajama (SL L 285, 31. 10. 2009.), kako je posljednji put izmijenjena</w:t>
      </w:r>
      <w:r>
        <w:rPr>
          <w:rFonts w:ascii="Arial" w:eastAsia="Arial" w:hAnsi="Arial" w:cs="Arial"/>
          <w:sz w:val="24"/>
          <w:szCs w:val="24"/>
        </w:rPr>
        <w:t xml:space="preserve"> Direktivom Komisije 2014/99/EU od 21. listopada 2014. o izmjeni, radi prilagodbe tehničkom napretku, Direktive 2009/126/EZ o fazi II. rekuperacije benzinskih para tijekom punjenja motornih vozila gorivom na benzinskim postajama (SL L 304, 23. 10. 2014.)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w:t>
      </w:r>
      <w:r>
        <w:rPr>
          <w:rFonts w:ascii="Arial" w:eastAsia="Arial" w:hAnsi="Arial" w:cs="Arial"/>
          <w:sz w:val="24"/>
          <w:szCs w:val="24"/>
        </w:rPr>
        <w:t xml:space="preserve">Direktiva 94/63/EZ Europskog parlamenta i Vijeća od 20. prosinca 1994. o kontroli emisija hlapivih organskih spojeva (HOS-</w:t>
      </w:r>
      <w:r>
        <w:rPr>
          <w:rFonts w:ascii="Arial" w:eastAsia="Arial" w:hAnsi="Arial" w:cs="Arial"/>
          <w:sz w:val="24"/>
          <w:szCs w:val="24"/>
        </w:rPr>
        <w:t xml:space="preserve">a) koje proizlaze iz skladištenja benzina i njegove distribucije od terminala do benzinskih postaja (SL L 365, 31. 12. 1994.)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2004/42/EZ Europskog parlamenta i Vijeća od 21. travnja 2004. o ograničavanju emisija hlapivih organskih spojeva nastalih upotrebom organskih otapala u određenim bojama i lakovima i proizvodima za završnu obradu vozila, te o izmjeni Direktive 1999/13/EZ (SL L 143, 30. 4. 2004.)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2008/112/EZ Europskog parlamenta i Vijeća od 16. prosinca 2008. o izmjeni direktiva Vijeća 76/768/EEZ, 88/378/EEZ, 1999/13/EZ i direktiva 2000/53/EZ, 2002/96/EZ i 2004/42/EZ Europskog parlamenta i Vijeća radi njihove prilagodbe Uredbi (EZ) br. 1272/2008 o razvrstavanju, označivanju i pakiranju tvari i smjesa (Tekst značajan za EGP) (SL L 345, 23. 12. 2008.)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2010/75/EU Europskog parlamenta i Vijeća od 24. studenoga 2010. o industrijskim emisijama (integrirano sprečavanje i kontrola onečišćenja) (preinačeno) (Tekst značajan za EGP) (SL L 334, 17. 12. 2010.)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Komisije 2010/79/EU od 19. studenoga 2010. o prilagodbi tehničkom napretku Priloga III. Direktivi 2004/42/EZ Europskog parlamenta i Vijeća o ograničavanju emisija hlapivih organskih spojeva (SL L 304, 20. 11. 2010.)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(EU) 2024/1785 Europskog parlamenta i Vijeća od 24. travnja 2024. o izmjeni Direktive 2010/75/EU Europskog parlamenta i Vijeća o industrijskim emisijama (integrirano sprečavanje i kontrola onečišćenja) i Direktive Vijeća 1999/31/EZ o odlagalištima otpada (Tekst značajan za EGP) (SL. L, 15. 7. 2024.)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(EU) 2015/2193 Europskog parlamenta i Vijeća od 25. studenoga 2015. o ograničenju emisija određenih onečišćujućih tvari u zrak iz srednjih uređaja za loženje (Tekst značajan za EGP) (SL L 313, 28. 11. 2015.)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Direktiva Vijeća 87/217/EEZ od 19. ožujka 1987. o sprječavanju i smanjenju onečišćenja okoliša azbestom (SL L 85, 28. 3. 1987.)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Ovim se Zakonom osigurava provedba sljedećih akata Europske unije: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Uredba (EU) 2016/1628 Europskog parlamenta i Vijeća od 14. rujna 2016. o zahtjevima koji se odnose na ograničenja emisija plinovitih i krutih onečišćujućih tvari i homologaciju tipa za motore s unutarnjim izgaranjem za necestovne pokretne strojeve, o izmjeni uredbi (EU) br. 1024/2012 i (EU) br. 167/2013 te o izmjeni i stavljanju izvan snage Direktive 97/68/EZ (Tekst značajan za EGP) (SL L 252, 16. 9. 2016.) (u daljnjem tekstu: Uredba (EU) 2016/1628)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Uredba (EU) 2018/858</w:t>
      </w:r>
      <w:r>
        <w:rPr/>
        <w:t xml:space="preserve"> </w:t>
      </w:r>
      <w:r>
        <w:rPr>
          <w:rFonts w:ascii="Arial" w:eastAsia="Arial" w:hAnsi="Arial" w:cs="Arial"/>
          <w:sz w:val="24"/>
          <w:szCs w:val="24"/>
        </w:rPr>
        <w:t xml:space="preserve">Europskog parlamenta i Vijeća od 30. svibnja 2018. o homologaciji i nadzoru tržišta motornih vozila i njihovih prikolica te sustavâ, sastavnih dijelova i zasebnih tehničkih jedinica namijenjenih za takva vozila, o izmjeni uredaba (EZ) br. 715/2007 i (EZ) br. 595/2009 te o stavljanju izvan snage Direktive 2007/46/EZ (Tekst značajan za EGP) (SL L 151/1, 14. 6. 2018.)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Odluke Komisije 2002/159/EZ od 18. veljače 2002. o zajedničkom obrascu za podnošenje sažetih prikaza podataka o kakvoći nacionalnoga goriva (SL L 53, 23. 2. 2002.)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Odluke Komisije 2004/279/EZ od 19. ožujka 2004. o smjernicama za provedbu Direktive 2002/3/EZ Europskog parlamenta i Vijeća o ozonu u zraku (SL L 87/50, 25. 3. 2004.)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Provedbene odluke Komisije 2011/850/EU od 12. prosinca 2011. o utvrđivanju pravila za direktive 2004/107/EZ i 2008/50/EZ Europskog parlamenta i Vijeća u pogledu uzajamne razmjene informacija i izvješćivanja o kvaliteti zraka (priopćena pod brojem dokumenta C(2011) 9068) (SL L 335, 17. 12. 2011.)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Provedbena odluka Komisije (EU) 2026/1208 оd 9. lipnja 2026. o utvrđivanju pravila za primjenu Direktive (EU) 2024/2881 Europskog parlamenta i Vijeća u pogledu tehničkih pojedinosti za primjene modeliranja i određivanje prostorne reprezentativnosti točaka uzorkovanja (SL L, 10. 6. 2026.)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Provedbene odluke Komisije (EU) 2015/253 od 16. veljače 2015. o utvrđivanju pravila uzorkovanja i izvješćivanja u skladu s Direktivom Vijeća 1999/32/EZ za sadržaj sumpora u brodskim gorivima (SL L 41, 17. 2. 2015.)</w:t>
      </w:r>
    </w:p>
    <w:p>
      <w:pPr>
        <w:pBdr/>
        <w:pStyle w:val="List Paragraph"/>
        <w:spacing w:before="240" w:after="0" w:line="240" w:lineRule="auto"/>
        <w:ind w:left="0"/>
        <w:jc w:val="both"/>
        <w:rPr>
          <w:rFonts w:ascii="Arial" w:eastAsia="Arial" w:hAnsi="Arial" w:cs="Arial"/>
          <w:sz w:val="24"/>
          <w:szCs w:val="24"/>
        </w:rPr>
      </w:pPr>
      <w:r>
        <w:rPr>
          <w:rFonts w:ascii="Arial" w:eastAsia="Arial" w:hAnsi="Arial" w:cs="Arial"/>
          <w:sz w:val="24"/>
          <w:szCs w:val="24"/>
        </w:rPr>
        <w:t xml:space="preserve">– Provedbena odluka Komisije (EU) 2018/1522 оd 11. listopada 2018. o utvrđivanju zajedničkog formata nacionalnih programa kontrole onečišćenja zraka u skladu s Direktivom (EU) 2016/2284 Europskog parlamenta i Vijeća o smanjenju nacionalnih emisija određenih atmosferskih onečišćujućih tvari (SL L 256/</w:t>
      </w:r>
      <w:r>
        <w:rPr>
          <w:rFonts w:ascii="Arial" w:eastAsia="Arial" w:hAnsi="Arial" w:cs="Arial"/>
          <w:sz w:val="24"/>
          <w:szCs w:val="24"/>
        </w:rPr>
        <w:t xml:space="preserve">87, 11. 10. 2018.)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Provedbene odluke Komisije 2019/1713 оd 9. 10. 2019. o utvrđivanju oblika informacija koje države članice trebaju staviti na raspolaganje za potrebe izvješćivanja o provedbi Direktive (EU) 2015/2193 Europskog parlamenta i Vijeća (SL L 260, 11. 10. 2019.)</w:t>
      </w:r>
    </w:p>
    <w:p>
      <w:pPr>
        <w:pBdr/>
        <w:pStyle w:val="Heading 3"/>
        <w:spacing/>
        <w:ind/>
        <w:rPr/>
      </w:pPr>
      <w:r>
        <w:rPr/>
        <w:t xml:space="preserve">Primjena propisa</w:t>
      </w:r>
    </w:p>
    <w:p>
      <w:pPr>
        <w:pBdr/>
        <w:pStyle w:val="Heading 4"/>
        <w:spacing/>
        <w:ind/>
        <w:rPr/>
      </w:pPr>
      <w:r>
        <w:rPr/>
        <w:t xml:space="preserve">Članak 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Zaštita i poboljšanje kvalitete zraka, u svrhu održivog razvoja, temelji se na načelima zaštite okoliša određenima u skladu sa zakonom kojim se uređuje zaštita okoliša i zahtjevima međunarodnog prava i pravne stečevine Europske unije.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 zaštiti i poboljšanju kvalitete zraka primjenjuju se i odredbe zakona kojim se uređuje zaštita okoliša i odredbe drugih propisa iz područja gradnje, prijevoza, grijanja ili pripreme hrane, osim ako je ovim Zakonom propisano drukčije.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Zaštita zraka od onečišćivanja uzrokovanih radioaktivnim tvarima, tehnološkim nesrećama i elementarnim nepogodama uređuje se zakonima kojima se uređuje zaštita od zračenja, zaštita okoliša i sustav civilne zaštite.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Na zaštitu zraka od onečišćenja s pomorskih objekata primjenjuju se zakoni i propisi iz područja pomorstva.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Iznimno od stavka 4. ovoga članka odredbe ovoga Zakona primjenjuju se na zaštitu zraka od onečišćenja s pomorskih objekata samo kada je tako izrijekom propisano ovim Zakonom.</w:t>
      </w:r>
    </w:p>
    <w:p>
      <w:pPr>
        <w:pBdr/>
        <w:pStyle w:val="Heading 3"/>
        <w:spacing/>
        <w:ind/>
        <w:rPr/>
      </w:pPr>
      <w:r>
        <w:rPr/>
        <w:t xml:space="preserve">Pojmovi</w:t>
      </w:r>
    </w:p>
    <w:p>
      <w:pPr>
        <w:pBdr/>
        <w:pStyle w:val="Heading 4"/>
        <w:spacing/>
        <w:ind/>
        <w:rPr/>
      </w:pPr>
      <w:r>
        <w:rPr/>
        <w:t xml:space="preserve">Članak 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Pojedini pojmovi u smislu ovoga Zakona imaju sljedeće značenje:</w:t>
      </w:r>
    </w:p>
    <w:p>
      <w:pPr>
        <w:pBdr/>
        <w:pStyle w:val="List Paragraph"/>
        <w:numPr>
          <w:ilvl w:val="0"/>
          <w:numId w:val="4"/>
        </w:numPr>
        <w:spacing w:before="240" w:after="0" w:line="276" w:lineRule="auto"/>
        <w:ind w:left="360"/>
        <w:jc w:val="both"/>
        <w:rPr>
          <w:rFonts w:ascii="Arial" w:eastAsia="Arial" w:hAnsi="Arial" w:cs="Arial"/>
          <w:i/>
          <w:iCs/>
          <w:sz w:val="24"/>
          <w:szCs w:val="24"/>
        </w:rPr>
      </w:pPr>
      <w:r>
        <w:rPr>
          <w:rFonts w:ascii="Arial" w:eastAsia="Arial" w:hAnsi="Arial" w:cs="Arial"/>
          <w:i/>
          <w:iCs/>
          <w:sz w:val="24"/>
          <w:szCs w:val="24"/>
        </w:rPr>
        <w:t xml:space="preserve">ACTRIS </w:t>
      </w:r>
      <w:r>
        <w:rPr>
          <w:rFonts w:ascii="Arial" w:eastAsia="Arial" w:hAnsi="Arial" w:cs="Arial"/>
          <w:sz w:val="24"/>
          <w:szCs w:val="24"/>
        </w:rPr>
        <w:t xml:space="preserve">je istraživačka infrastruktura za aerosol, oblake i plinove u tragovima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aglomeracija </w:t>
      </w:r>
      <w:r>
        <w:rPr>
          <w:rFonts w:ascii="Arial" w:eastAsia="Arial" w:hAnsi="Arial" w:cs="Arial"/>
          <w:sz w:val="24"/>
          <w:szCs w:val="24"/>
        </w:rPr>
        <w:t xml:space="preserve">je područje s više od 250 000 stanovnika ili područje s manje od 250 000 stanovnika na kojem je gustoća stanovništva veća od prosječne u Republici Hrvatskoj</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arsen, kadmij, nikal, olovo i benzo(a)piren</w:t>
      </w:r>
      <w:r>
        <w:rPr>
          <w:rFonts w:ascii="Arial" w:eastAsia="Arial" w:hAnsi="Arial" w:cs="Arial"/>
          <w:sz w:val="24"/>
          <w:szCs w:val="24"/>
        </w:rPr>
        <w:t xml:space="preserve"> je ukupni sadržaj tih elemenata i spojeva u frakciji PM</w:t>
      </w:r>
      <w:r>
        <w:rPr>
          <w:rFonts w:ascii="Arial" w:eastAsia="Arial" w:hAnsi="Arial" w:cs="Arial"/>
          <w:sz w:val="24"/>
          <w:szCs w:val="24"/>
          <w:vertAlign w:val="subscript"/>
        </w:rPr>
        <w:t xml:space="preserve">10</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ciljana prosječna razina izloženosti</w:t>
      </w:r>
      <w:r>
        <w:rPr>
          <w:rFonts w:ascii="Arial" w:eastAsia="Arial" w:hAnsi="Arial" w:cs="Arial"/>
          <w:sz w:val="24"/>
          <w:szCs w:val="24"/>
        </w:rPr>
        <w:t xml:space="preserve"> je razina pokazatelja prosječne izloženosti, koju treba postići s ciljem smanjenja štetnih učinaka na ljudsko zdravlje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ciljna vrijednost</w:t>
      </w:r>
      <w:r>
        <w:rPr>
          <w:rFonts w:ascii="Arial" w:eastAsia="Arial" w:hAnsi="Arial" w:cs="Arial"/>
          <w:sz w:val="24"/>
          <w:szCs w:val="24"/>
        </w:rPr>
        <w:t xml:space="preserve"> je razina određena na temelju znanstvenih spoznaja s ciljem izbjegavanja, sprečavanja ili umanjivanja štetnih učinaka na ljudsko zdravlje ili okoliš koju treba, ako je to moguće, dostići u zadanom razdoblju</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crni ugljik </w:t>
      </w:r>
      <w:r>
        <w:rPr>
          <w:rFonts w:ascii="Arial" w:eastAsia="Arial" w:hAnsi="Arial" w:cs="Arial"/>
          <w:sz w:val="24"/>
          <w:szCs w:val="24"/>
        </w:rPr>
        <w:t xml:space="preserve">znači ugljikovi aerosoli mjereni svjetlosnom apsorpcijom</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difuzni izvor</w:t>
      </w:r>
      <w:r>
        <w:rPr>
          <w:rFonts w:ascii="Arial" w:eastAsia="Arial" w:hAnsi="Arial" w:cs="Arial"/>
          <w:sz w:val="24"/>
          <w:szCs w:val="24"/>
        </w:rPr>
        <w:t xml:space="preserve"> je izvor onečišćavanja zraka kod kojeg se onečišćujuće tvari unose u zrak bez određena ispusta/dimnjaka -</w:t>
      </w:r>
      <w:r>
        <w:rPr>
          <w:rFonts w:ascii="Arial" w:eastAsia="Arial" w:hAnsi="Arial" w:cs="Arial"/>
          <w:sz w:val="24"/>
          <w:szCs w:val="24"/>
        </w:rPr>
        <w:t xml:space="preserve"> uređaji, površine i druga mjesta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dimnjačarski poslovi</w:t>
      </w:r>
      <w:r>
        <w:rPr>
          <w:rFonts w:ascii="Arial" w:eastAsia="Arial" w:hAnsi="Arial" w:cs="Arial"/>
          <w:sz w:val="24"/>
          <w:szCs w:val="24"/>
        </w:rPr>
        <w:t xml:space="preserve"> su čišćenje i kontrola dimnjaka, dimovoda i uređaja za loženje u građevinama kao i poslovi evidencije uređaja za loženje u kućanstvu</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distributer</w:t>
      </w:r>
      <w:r>
        <w:rPr>
          <w:rFonts w:ascii="Arial" w:eastAsia="Arial" w:hAnsi="Arial" w:cs="Arial"/>
          <w:sz w:val="24"/>
          <w:szCs w:val="24"/>
        </w:rPr>
        <w:t xml:space="preserve"> je svaka pravna osoba ili obrtnik kako je definirano Uredbom (EU) 2019/1020 Europskog parlamenta i Vijeća od 20. lipnja 2019. o nadzoru tržišta i sukladnosti proizvoda i o izmjeni Direktive 2004/42/EZ i Uredbi (EZ) br. 765/2008 i (EU) br. 305/2011 (SL L 169, 25. 6. 2019.)</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dobavljač</w:t>
      </w:r>
      <w:r>
        <w:rPr>
          <w:rFonts w:ascii="Arial" w:eastAsia="Arial" w:hAnsi="Arial" w:cs="Arial"/>
          <w:sz w:val="24"/>
          <w:szCs w:val="24"/>
        </w:rPr>
        <w:t xml:space="preserve"> je pravna osoba ili obrtnik koja stavlja tekuće naftno gorivo i energiju na tržište i koja se, po posebnom zakonu kojim se uređuju trošarine, smatra trošarinskim obveznikom. Ako za gorivo ili energiju nije potrebno plaćati trošarine, dobavljač je pravna osoba ili obrtnik koja je u skladu s posebnim zakonom kojim se uređuju trošarine ishodila akt nadležnog tijela da može u okviru svoje djelatnosti nabavljati trošarinsku robu bez plaćanja trošarine. Za dobavljača se smatra i proizvođač koji sam eksploatira i proizvodi gorivo ili energiju na teritoriju Republike Hrvatske te uvoznik</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dugoročni cilj</w:t>
      </w:r>
      <w:r>
        <w:rPr>
          <w:rFonts w:ascii="Arial" w:eastAsia="Arial" w:hAnsi="Arial" w:cs="Arial"/>
          <w:sz w:val="24"/>
          <w:szCs w:val="24"/>
        </w:rPr>
        <w:t xml:space="preserve"> je razina onečišćenosti koju treba postići u dužem razdoblju, osim kada to nije moguće postići razmjernim mjerama, s ciljem postizanja učinkovite zaštite ljudskog zdravlja i okoliša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dušikovi oksidi</w:t>
      </w:r>
      <w:r>
        <w:rPr>
          <w:rFonts w:ascii="Arial" w:eastAsia="Arial" w:hAnsi="Arial" w:cs="Arial"/>
          <w:sz w:val="24"/>
          <w:szCs w:val="24"/>
        </w:rPr>
        <w:t xml:space="preserve"> su zbroj volumnog omjera (ppbv) dušikova monoksida (NO) i dušikova dioksida (NO</w:t>
      </w:r>
      <w:r>
        <w:rPr>
          <w:rFonts w:ascii="Arial" w:eastAsia="Arial" w:hAnsi="Arial" w:cs="Arial"/>
          <w:sz w:val="24"/>
          <w:szCs w:val="24"/>
          <w:vertAlign w:val="subscript"/>
        </w:rPr>
        <w:t xml:space="preserve">2</w:t>
      </w:r>
      <w:r>
        <w:rPr>
          <w:rFonts w:ascii="Arial" w:eastAsia="Arial" w:hAnsi="Arial" w:cs="Arial"/>
          <w:sz w:val="24"/>
          <w:szCs w:val="24"/>
        </w:rPr>
        <w:t xml:space="preserve">), izražen u jedinicama masene koncentracije dušikova dioksida (μg/m</w:t>
      </w:r>
      <w:r>
        <w:rPr>
          <w:rFonts w:ascii="Arial" w:eastAsia="Arial" w:hAnsi="Arial" w:cs="Arial"/>
          <w:sz w:val="24"/>
          <w:szCs w:val="24"/>
          <w:vertAlign w:val="superscript"/>
        </w:rPr>
        <w:t xml:space="preserve">3</w:t>
      </w:r>
      <w:r>
        <w:rPr>
          <w:rFonts w:ascii="Arial" w:eastAsia="Arial" w:hAnsi="Arial" w:cs="Arial"/>
          <w:sz w:val="24"/>
          <w:szCs w:val="24"/>
        </w:rPr>
        <w:t xml:space="preserve">)</w:t>
      </w:r>
    </w:p>
    <w:p>
      <w:pPr>
        <w:pBdr/>
        <w:pStyle w:val="List Paragraph"/>
        <w:numPr>
          <w:ilvl w:val="0"/>
          <w:numId w:val="4"/>
        </w:numPr>
        <w:spacing w:before="240" w:after="0" w:line="276" w:lineRule="auto"/>
        <w:ind w:left="360"/>
        <w:jc w:val="both"/>
        <w:rPr>
          <w:rFonts w:ascii="Arial" w:eastAsia="Arial" w:hAnsi="Arial" w:cs="Arial"/>
          <w:sz w:val="24"/>
          <w:szCs w:val="24"/>
        </w:rPr>
      </w:pPr>
      <w:r>
        <w:rPr>
          <w:rStyle w:val="kurziv"/>
          <w:rFonts w:ascii="Arial" w:eastAsia="Arial" w:hAnsi="Arial" w:cs="Arial"/>
          <w:i/>
          <w:iCs/>
          <w:sz w:val="24"/>
          <w:szCs w:val="24"/>
        </w:rPr>
        <w:t xml:space="preserve">EMEP (European Monitoring and Evaluation Programme) </w:t>
      </w:r>
      <w:r>
        <w:rPr>
          <w:rStyle w:val="kurziv"/>
          <w:rFonts w:ascii="Arial" w:eastAsia="Arial" w:hAnsi="Arial" w:cs="Arial"/>
          <w:sz w:val="24"/>
          <w:szCs w:val="24"/>
        </w:rPr>
        <w:t xml:space="preserve">je</w:t>
      </w:r>
      <w:r>
        <w:rPr>
          <w:rStyle w:val="kurziv"/>
          <w:rFonts w:ascii="Arial" w:eastAsia="Arial" w:hAnsi="Arial" w:cs="Arial"/>
          <w:i/>
          <w:iCs/>
          <w:sz w:val="24"/>
          <w:szCs w:val="24"/>
        </w:rPr>
        <w:t xml:space="preserve"> </w:t>
      </w:r>
      <w:r>
        <w:rPr>
          <w:rFonts w:ascii="Arial" w:eastAsia="Arial" w:hAnsi="Arial" w:cs="Arial"/>
          <w:sz w:val="24"/>
          <w:szCs w:val="24"/>
        </w:rPr>
        <w:t xml:space="preserve">Program suradnje za praćenje i procjenu prekograničnog prijenosa onečišćujućih tvari u zraku na velike udaljenosti u Europi uz Konvenciju o dalekosežnom prekograničnom prijenosu onečišćujućih tvari iz 1979. (»Narodne novine – Međunarodni ugovori«, broj 12/93)</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emisija</w:t>
      </w:r>
      <w:r>
        <w:rPr>
          <w:rFonts w:ascii="Arial" w:eastAsia="Arial" w:hAnsi="Arial" w:cs="Arial"/>
          <w:sz w:val="24"/>
          <w:szCs w:val="24"/>
        </w:rPr>
        <w:t xml:space="preserve"> je ispuštanje/unošenje onečišćujućih tvari u zrak</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emisijska kvota onečišćujućih tvari</w:t>
      </w:r>
      <w:r>
        <w:rPr>
          <w:rFonts w:ascii="Arial" w:eastAsia="Arial" w:hAnsi="Arial" w:cs="Arial"/>
          <w:sz w:val="24"/>
          <w:szCs w:val="24"/>
        </w:rPr>
        <w:t xml:space="preserve"> je ukupna dopuštena godišnja količina emisije, izražena u jedinicama mase u određenom vremenu, iz jednog ili više izvora zajedno odnosno s određenog područja i/ili na teritoriju Republike Hrvatske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emisijski podatak</w:t>
      </w:r>
      <w:r>
        <w:rPr>
          <w:rFonts w:ascii="Arial" w:eastAsia="Arial" w:hAnsi="Arial" w:cs="Arial"/>
          <w:sz w:val="24"/>
          <w:szCs w:val="24"/>
        </w:rPr>
        <w:t xml:space="preserve"> je vrijednost svake izmjerene, izračunate ili procijenjene veličine koja se koristi za određivanje emisije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gradske pozadinske lokacije</w:t>
      </w:r>
      <w:r>
        <w:rPr>
          <w:rFonts w:ascii="Arial" w:eastAsia="Arial" w:hAnsi="Arial" w:cs="Arial"/>
          <w:sz w:val="24"/>
          <w:szCs w:val="24"/>
        </w:rPr>
        <w:t xml:space="preserve"> su mjesta u gradskim i prigradskim područjima na kojima su razine reprezentativne za izloženost općeg gradskog stanovništva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granična vrijednost emisije</w:t>
      </w:r>
      <w:r>
        <w:rPr>
          <w:rFonts w:ascii="Arial" w:eastAsia="Arial" w:hAnsi="Arial" w:cs="Arial"/>
          <w:sz w:val="24"/>
          <w:szCs w:val="24"/>
        </w:rPr>
        <w:t xml:space="preserve"> je najveća dopuštena emisija, izražena ili koncentracijom onečišćujućih tvari u ispušnim plinovima i/ili količinom ispuštanja/unošenja onečišćujućih tvari u određenom vremenu</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granična vrijednost</w:t>
      </w:r>
      <w:r>
        <w:rPr>
          <w:rFonts w:ascii="Arial" w:eastAsia="Arial" w:hAnsi="Arial" w:cs="Arial"/>
          <w:sz w:val="24"/>
          <w:szCs w:val="24"/>
        </w:rPr>
        <w:t xml:space="preserve"> je razina koja je određena na temelju znanstvenih spoznaja s ciljem izbjegavanja, sprečavanja ili umanjivanja štetnih učinaka na ljudsko zdravlje ili okoliš, te koju treba dostići u zadanom razdoblju i koja se nakon toga ne smije prekoračiti</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hlapivi organski spojevi</w:t>
      </w:r>
      <w:r>
        <w:rPr>
          <w:rFonts w:ascii="Arial" w:eastAsia="Arial" w:hAnsi="Arial" w:cs="Arial"/>
          <w:sz w:val="24"/>
          <w:szCs w:val="24"/>
        </w:rPr>
        <w:t xml:space="preserve"> su organski spojevi iz antropogenskih i biogenskih izvora, osim metana, koji uz prisutnost sunčeve svjetlosti i uz reakciju s dušikovim oksidima proizvode fotokemijske oksidante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indikativna mjerenja</w:t>
      </w:r>
      <w:r>
        <w:rPr>
          <w:rFonts w:ascii="Arial" w:eastAsia="Arial" w:hAnsi="Arial" w:cs="Arial"/>
          <w:sz w:val="24"/>
          <w:szCs w:val="24"/>
        </w:rPr>
        <w:t xml:space="preserve"> su mjerenja koja se provode u redovitim intervalima tijekom kalendarske godine ili nasumičnim uzorkovanjem kako bi se utvrdile razine u skladu s ciljevima kvalitete podataka koji su manje strogi od onih koje se zahtijevaju za mjerenja na stalnim mjestima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isporučitelj</w:t>
      </w:r>
      <w:r>
        <w:rPr>
          <w:rFonts w:ascii="Arial" w:eastAsia="Arial" w:hAnsi="Arial" w:cs="Arial"/>
          <w:sz w:val="24"/>
          <w:szCs w:val="24"/>
        </w:rPr>
        <w:t xml:space="preserve"> je tijelo odgovorno za prolaz goriva ili energije kroz točku kontrole kojoj podliježe trošarinska roba ili, ako se ne plaća trošarina, koje posjeduje dozvolu za obavljanje navedenih poslova u skladu sa zakonom kojim se uređuje tržište nafte i naftnih derivata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izvanredni događaj</w:t>
      </w:r>
      <w:r>
        <w:rPr>
          <w:rFonts w:ascii="Arial" w:eastAsia="Arial" w:hAnsi="Arial" w:cs="Arial"/>
          <w:sz w:val="24"/>
          <w:szCs w:val="24"/>
        </w:rPr>
        <w:t xml:space="preserve"> je svaki nenadani događaj ili okolnost, poput kvara u proizvodnom procesu, požara, eksplozije ili druge tehničko-</w:t>
      </w:r>
      <w:r>
        <w:rPr>
          <w:rFonts w:ascii="Arial" w:eastAsia="Arial" w:hAnsi="Arial" w:cs="Arial"/>
          <w:sz w:val="24"/>
          <w:szCs w:val="24"/>
        </w:rPr>
        <w:t xml:space="preserve">tehnološke smetnje, koji nije definiran kao velika nesreća, a koji uzrokuje ili može uzrokovati prekomjerno ispuštanje onečišćujućih tvari u zrak, značajno narušavanje kvalitete zraka ili neposrednu ugrozu zdravlja ljudi i okoliša</w:t>
      </w:r>
    </w:p>
    <w:p>
      <w:pPr>
        <w:pBdr/>
        <w:pStyle w:val="List Paragraph"/>
        <w:numPr>
          <w:ilvl w:val="0"/>
          <w:numId w:val="4"/>
        </w:numPr>
        <w:spacing w:before="240" w:after="0" w:line="276" w:lineRule="auto"/>
        <w:ind w:left="360"/>
        <w:jc w:val="both"/>
        <w:rPr>
          <w:rFonts w:ascii="Arial" w:eastAsia="Arial" w:hAnsi="Arial" w:cs="Arial"/>
          <w:i/>
          <w:iCs/>
          <w:sz w:val="24"/>
          <w:szCs w:val="24"/>
        </w:rPr>
      </w:pPr>
      <w:r>
        <w:rPr>
          <w:rFonts w:ascii="Arial" w:eastAsia="Arial" w:hAnsi="Arial" w:cs="Arial"/>
          <w:i/>
          <w:sz w:val="24"/>
          <w:szCs w:val="24"/>
        </w:rPr>
        <w:t xml:space="preserve">kratkoročni akcijski plan</w:t>
      </w:r>
      <w:r>
        <w:rPr>
          <w:rFonts w:ascii="Arial" w:eastAsia="Arial" w:hAnsi="Arial" w:cs="Arial"/>
          <w:sz w:val="24"/>
          <w:szCs w:val="24"/>
        </w:rPr>
        <w:t xml:space="preserve"> je plan u kojem se utvrđuju hitne mjere koje treba kratkoročno poduzeti kako bi se smanjio neposredni rizik ili trajanje prekoračenja pragova upozorenja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kritična razina</w:t>
      </w:r>
      <w:r>
        <w:rPr>
          <w:rFonts w:ascii="Arial" w:eastAsia="Arial" w:hAnsi="Arial" w:cs="Arial"/>
          <w:sz w:val="24"/>
          <w:szCs w:val="24"/>
        </w:rPr>
        <w:t xml:space="preserve"> je iznad koje se mogu pojaviti izravni štetni učinci na nekim receptorima kao što su drveće, ostale biljke ili prirodni ekosustavi, ali ne i na ljudima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kritične točke onečišćenja zraka</w:t>
      </w:r>
      <w:r>
        <w:rPr>
          <w:rFonts w:ascii="Arial" w:eastAsia="Arial" w:hAnsi="Arial" w:cs="Arial"/>
          <w:sz w:val="24"/>
          <w:szCs w:val="24"/>
        </w:rPr>
        <w:t xml:space="preserve"> su lokacije unutar zone s najvišim koncentracijama kojima će stanovništvo vjerojatno biti izravno ili neizravno izloženo u razdoblju koje je znatno u odnosu na prosječno razdoblje graničnih vrijednosti ili ciljnih vrijednosti, uključujući lokacije u kojima na razinu onečišćenja snažno utječu emisije iz izvora teškog onečišćenja, kao što su obližnje zagušene ceste s velikim prometom, jedan industrijski izvor ili industrijsko područje s mnogo izvora, luke, zračne luke, intenzivno grijanje stambenih prostora ili kombinacija navedenog</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kvaliteta zraka</w:t>
      </w:r>
      <w:r>
        <w:rPr>
          <w:rFonts w:ascii="Arial" w:eastAsia="Arial" w:hAnsi="Arial" w:cs="Arial"/>
          <w:sz w:val="24"/>
          <w:szCs w:val="24"/>
        </w:rPr>
        <w:t xml:space="preserve"> je svojstvo zraka kojim se iskazuje značajnost u njemu postojećih razina onečišćenosti</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metoda mjerenja</w:t>
      </w:r>
      <w:r>
        <w:rPr>
          <w:rFonts w:ascii="Arial" w:eastAsia="Arial" w:hAnsi="Arial" w:cs="Arial"/>
          <w:sz w:val="24"/>
          <w:szCs w:val="24"/>
        </w:rPr>
        <w:t xml:space="preserve"> je smislen niz postupaka koji se upotrebljavaju za provođenje mjerenja kvalitete zraka, koncentracija onečišćujućih tvari u zraku ili emisija onečišćujućih tvari u zrak</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mjerenja na stalnim mjestima</w:t>
      </w:r>
      <w:r>
        <w:rPr>
          <w:rFonts w:ascii="Arial" w:eastAsia="Arial" w:hAnsi="Arial" w:cs="Arial"/>
          <w:sz w:val="24"/>
          <w:szCs w:val="24"/>
        </w:rPr>
        <w:t xml:space="preserve"> su mjerenja koja se obavljaju na točkama uzorkovanja, bilo da se radi o neprekinutim mjerenjima ili nasumičnom uzorkovanju, na stalnim mjestima tijekom najmanje jedne kalendarske godine kako bi se utvrdile razine u skladu s relevantnim ciljevima za kvalitetu podataka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mjerenje</w:t>
      </w:r>
      <w:r>
        <w:rPr>
          <w:rFonts w:ascii="Arial" w:eastAsia="Arial" w:hAnsi="Arial" w:cs="Arial"/>
          <w:b/>
          <w:sz w:val="24"/>
          <w:szCs w:val="24"/>
        </w:rPr>
        <w:t xml:space="preserve"> </w:t>
      </w:r>
      <w:r>
        <w:rPr>
          <w:rFonts w:ascii="Arial" w:eastAsia="Arial" w:hAnsi="Arial" w:cs="Arial"/>
          <w:sz w:val="24"/>
          <w:szCs w:val="24"/>
        </w:rPr>
        <w:t xml:space="preserve">je skup postupaka kojima se određuju koncentracije onečišćujućih tvari u zraku, stope taloženja, emisije onečišćujućih tvari u zrak ili drugi pokazatelji kvalitete zraka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mjerenje posebne namjene</w:t>
      </w:r>
      <w:r>
        <w:rPr>
          <w:rFonts w:ascii="Arial" w:eastAsia="Arial" w:hAnsi="Arial" w:cs="Arial"/>
          <w:sz w:val="24"/>
          <w:szCs w:val="24"/>
        </w:rPr>
        <w:t xml:space="preserve"> je povremeno mjerenje i/ili uzorkovanje koncentracija onečišćujućih tvari na privremeno određenom mjernom mjestu radi definiranja procjene razine onečišćenosti zraka i daljnjeg postupanja u skladu s odredbama ovoga Zakona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mjerna</w:t>
      </w:r>
      <w:r>
        <w:rPr>
          <w:rFonts w:ascii="Arial" w:eastAsia="Arial" w:hAnsi="Arial" w:cs="Arial"/>
          <w:sz w:val="24"/>
          <w:szCs w:val="24"/>
        </w:rPr>
        <w:t xml:space="preserve"> </w:t>
      </w:r>
      <w:r>
        <w:rPr>
          <w:rFonts w:ascii="Arial" w:eastAsia="Arial" w:hAnsi="Arial" w:cs="Arial"/>
          <w:i/>
          <w:sz w:val="24"/>
          <w:szCs w:val="24"/>
        </w:rPr>
        <w:t xml:space="preserve">postaja </w:t>
      </w:r>
      <w:r>
        <w:rPr>
          <w:rFonts w:ascii="Arial" w:eastAsia="Arial" w:hAnsi="Arial" w:cs="Arial"/>
          <w:sz w:val="24"/>
          <w:szCs w:val="24"/>
        </w:rPr>
        <w:t xml:space="preserve">je nepokretni ili mobilni objekt opremljen za prikupljanje, obradu i prijenos mjernih/uzorkovanih rezultata te opažanje pojava značajnih za praćenje kvalitete zraka i može sadržavati jednu ili više točaka uzorkovanja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mjerni sustav</w:t>
      </w:r>
      <w:r>
        <w:rPr>
          <w:rFonts w:ascii="Arial" w:eastAsia="Arial" w:hAnsi="Arial" w:cs="Arial"/>
          <w:iCs/>
          <w:sz w:val="24"/>
          <w:szCs w:val="24"/>
        </w:rPr>
        <w:t xml:space="preserve"> je skup usklađenih metoda mjerenja, mjerne opreme, uređaja za uzorkovanje, komunikacijskih i računalnih mreža za prijenos i obradu podataka te pripadajućih laboratorija, namijenjen mjerenju jednog ili više pokazatelja kvalitete zraka na mjernom mjestu ili u mreži mjernih mjesta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motorno vozilo</w:t>
      </w:r>
      <w:r>
        <w:rPr>
          <w:rFonts w:ascii="Arial" w:eastAsia="Arial" w:hAnsi="Arial" w:cs="Arial"/>
          <w:sz w:val="24"/>
          <w:szCs w:val="24"/>
        </w:rPr>
        <w:t xml:space="preserve"> je svako cestovno vozilo koje se pokreće snagom vlastitog motora, osim vozila koja se kreću po tračnicama i pomoćnih pješačkih sredstava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mreža</w:t>
      </w:r>
      <w:r>
        <w:rPr>
          <w:rFonts w:ascii="Arial" w:eastAsia="Arial" w:hAnsi="Arial" w:cs="Arial"/>
          <w:sz w:val="24"/>
          <w:szCs w:val="24"/>
        </w:rPr>
        <w:t xml:space="preserve"> je skup dvije ili više mjernih postaja za praćenje kvalitete zraka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nacionalni referentni laboratorij</w:t>
      </w:r>
      <w:r>
        <w:rPr>
          <w:rFonts w:ascii="Arial" w:eastAsia="Arial" w:hAnsi="Arial" w:cs="Arial"/>
          <w:sz w:val="24"/>
          <w:szCs w:val="24"/>
        </w:rPr>
        <w:t xml:space="preserve"> je tijelo državne uprave i/ili ustanova koja je imenovana za obavljanje poslova osiguravanja točnosti mjerenja te prijenos i dijeljenje mjernih podataka kvalitete zraka kao i ostalih poslova definiranih ovim Zakonom. Nacionalni referentni laboratorij je i tijelo državne uprave i/ili ustanova koja je imenovana za obavljanje poslova praćenja emisija onečišćujućih tvari iz motora s unutarnjim izgaranjem za necestovne pokretne strojeve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necestovni pokretni stroj</w:t>
      </w:r>
      <w:r>
        <w:rPr>
          <w:rFonts w:ascii="Arial" w:eastAsia="Arial" w:hAnsi="Arial" w:cs="Arial"/>
          <w:sz w:val="24"/>
          <w:szCs w:val="24"/>
        </w:rPr>
        <w:t xml:space="preserve"> je svaki pokretni stroj, prenosiva oprema ili vozilo s karoserijom ili bez nje i kotačima ili bez njih koji nisu namijenjeni za cestovni prijevoz putnika ili robe i uključuju strojeve ugrađene na podvozje vozila namijenjenih za cestovni prijevoz putnika ili robe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neovisno inspekcijsko tijelo vrste A</w:t>
      </w:r>
      <w:r>
        <w:rPr>
          <w:rFonts w:ascii="Arial" w:eastAsia="Arial" w:hAnsi="Arial" w:cs="Arial"/>
          <w:sz w:val="24"/>
          <w:szCs w:val="24"/>
        </w:rPr>
        <w:t xml:space="preserve"> je pravna osoba koja obavlja poslove utvrđivanja kvalitete proizvoda i akreditirana je prema hrvatskoj normi koja utvrđuje opće zahtjeve za rad različitih vrsta tijela koja provode inspekciju</w:t>
      </w:r>
    </w:p>
    <w:p>
      <w:pPr>
        <w:pBdr/>
        <w:pStyle w:val="List Paragraph"/>
        <w:numPr>
          <w:ilvl w:val="0"/>
          <w:numId w:val="4"/>
        </w:numPr>
        <w:spacing w:before="240" w:after="0" w:line="276" w:lineRule="auto"/>
        <w:ind w:left="360"/>
        <w:jc w:val="both"/>
        <w:rPr>
          <w:rFonts w:ascii="Arial" w:eastAsia="Arial" w:hAnsi="Arial" w:cs="Arial"/>
          <w:i/>
          <w:sz w:val="24"/>
          <w:szCs w:val="24"/>
        </w:rPr>
      </w:pPr>
      <w:r>
        <w:rPr>
          <w:rFonts w:ascii="Arial" w:eastAsia="Arial" w:hAnsi="Arial" w:cs="Arial"/>
          <w:i/>
          <w:sz w:val="24"/>
          <w:szCs w:val="24"/>
        </w:rPr>
        <w:t xml:space="preserve">objektivna procjena</w:t>
      </w:r>
      <w:r>
        <w:rPr>
          <w:rFonts w:ascii="Arial" w:eastAsia="Arial" w:hAnsi="Arial" w:cs="Arial"/>
          <w:sz w:val="24"/>
          <w:szCs w:val="24"/>
        </w:rPr>
        <w:t xml:space="preserve"> su informacije o koncentraciji ili razini taloga pojedine onečišćujuće tvari koje su dobivene stručnom analizom i koje mogu uključivati upotrebu statističkih alata</w:t>
      </w:r>
    </w:p>
    <w:p>
      <w:pPr>
        <w:pBdr/>
        <w:pStyle w:val="List Paragraph"/>
        <w:numPr>
          <w:ilvl w:val="0"/>
          <w:numId w:val="4"/>
        </w:numPr>
        <w:spacing w:before="240" w:after="0" w:line="276" w:lineRule="auto"/>
        <w:ind w:left="360"/>
        <w:jc w:val="both"/>
        <w:rPr>
          <w:rFonts w:ascii="Arial" w:eastAsia="Arial" w:hAnsi="Arial" w:cs="Arial"/>
          <w:i/>
          <w:iCs/>
          <w:sz w:val="24"/>
          <w:szCs w:val="24"/>
        </w:rPr>
      </w:pPr>
      <w:r>
        <w:rPr>
          <w:rFonts w:ascii="Arial" w:eastAsia="Arial" w:hAnsi="Arial" w:cs="Arial"/>
          <w:i/>
          <w:iCs/>
          <w:sz w:val="24"/>
          <w:szCs w:val="24"/>
        </w:rPr>
        <w:t xml:space="preserve">obrtnik</w:t>
      </w:r>
      <w:r>
        <w:rPr>
          <w:rFonts w:ascii="Arial" w:eastAsia="Arial" w:hAnsi="Arial" w:cs="Arial"/>
          <w:sz w:val="24"/>
          <w:szCs w:val="24"/>
        </w:rPr>
        <w:t xml:space="preserve"> je fizička osoba koja samostalno obavlja obrt u skladu s propisom kojim se uređuje obrtništvo</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obveza smanjenja prosječne izloženost</w:t>
      </w:r>
      <w:r>
        <w:rPr>
          <w:rFonts w:ascii="Arial" w:eastAsia="Arial" w:hAnsi="Arial" w:cs="Arial"/>
          <w:sz w:val="24"/>
          <w:szCs w:val="24"/>
        </w:rPr>
        <w:t xml:space="preserve"> je postotak smanjenja prosječne izloženosti stanovništva, izražen kao pokazatelj prosječne izloženosti za prostornu jedinicu prosječne izloženosti, utvrđen s ciljem smanjenja štetnih učinaka na ljudsko zdravlje, koji treba postići u zadanom razdoblju i koji se nakon toga ne smije prekoračiti</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oksidativni potencijal lebdećih čestica</w:t>
      </w:r>
      <w:r>
        <w:rPr>
          <w:rFonts w:ascii="Arial" w:eastAsia="Arial" w:hAnsi="Arial" w:cs="Arial"/>
          <w:sz w:val="24"/>
          <w:szCs w:val="24"/>
        </w:rPr>
        <w:t xml:space="preserve"> je mjera kapaciteta lebdećih čestica za oksidaciju potencijalnih ciljanih molekula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onečišćeni zrak</w:t>
      </w:r>
      <w:r>
        <w:rPr>
          <w:rFonts w:ascii="Arial" w:eastAsia="Arial" w:hAnsi="Arial" w:cs="Arial"/>
          <w:sz w:val="24"/>
          <w:szCs w:val="24"/>
        </w:rPr>
        <w:t xml:space="preserve"> je zrak čija je kvaliteta takva da može narušiti zdravlje, kvalitetu življenja i/ili štetno utjecati na bilo koju sastavnicu okoliša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onečišćenja iz prirodnih izvora</w:t>
      </w:r>
      <w:r>
        <w:rPr>
          <w:rFonts w:ascii="Arial" w:eastAsia="Arial" w:hAnsi="Arial" w:cs="Arial"/>
          <w:sz w:val="24"/>
          <w:szCs w:val="24"/>
        </w:rPr>
        <w:t xml:space="preserve"> su emisije onečišćujućih tvari koje nisu izravno ni neizravno uzrokovane ljudskim aktivnostima, uključujući prirodne pojave kao što su vulkanske erupcije, seizmičke aktivnosti, geotermalne aktivnosti, požari na nepristupačnim područjima, snažni vjetrovi, posolica ili atmosfersko resuspendiranje - ponovno atmosfersko podizanje ili prijenos prirodnih čestica iz sušnih područja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onečišćivač</w:t>
      </w:r>
      <w:r>
        <w:rPr>
          <w:rFonts w:ascii="Arial" w:eastAsia="Arial" w:hAnsi="Arial" w:cs="Arial"/>
          <w:sz w:val="24"/>
          <w:szCs w:val="24"/>
        </w:rPr>
        <w:t xml:space="preserve"> je pravna osoba ili obrtnik čija djelatnost izravno ili neizravno onečišćuje zrak</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onečišćujuća tvar</w:t>
      </w:r>
      <w:r>
        <w:rPr>
          <w:rFonts w:ascii="Arial" w:eastAsia="Arial" w:hAnsi="Arial" w:cs="Arial"/>
          <w:sz w:val="24"/>
          <w:szCs w:val="24"/>
        </w:rPr>
        <w:t xml:space="preserve"> je svaka tvar prisutna u zraku koja može imati štetan učinak na ljudsko zdravlje ili okoliš</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operater</w:t>
      </w:r>
      <w:r>
        <w:rPr>
          <w:rFonts w:ascii="Arial" w:eastAsia="Arial" w:hAnsi="Arial" w:cs="Arial"/>
          <w:sz w:val="24"/>
          <w:szCs w:val="24"/>
        </w:rPr>
        <w:t xml:space="preserve"> je pravna osoba ili obrtnik </w:t>
      </w:r>
      <w:r>
        <w:rPr>
          <w:rFonts w:ascii="Arial" w:eastAsia="Arial" w:hAnsi="Arial" w:cs="Arial"/>
          <w:sz w:val="24"/>
          <w:szCs w:val="24"/>
        </w:rPr>
        <w:t xml:space="preserve">kako je definirano prema zakonu kojim se uređuje zaštita okoliša</w:t>
      </w:r>
    </w:p>
    <w:p>
      <w:pPr>
        <w:pBdr/>
        <w:pStyle w:val="List Paragraph"/>
        <w:numPr>
          <w:ilvl w:val="0"/>
          <w:numId w:val="4"/>
        </w:numPr>
        <w:spacing w:before="240" w:after="0" w:line="276" w:lineRule="auto"/>
        <w:ind w:left="360"/>
        <w:jc w:val="both"/>
        <w:rPr>
          <w:rFonts w:ascii="Arial" w:eastAsia="Arial" w:hAnsi="Arial" w:cs="Arial"/>
          <w:i/>
          <w:sz w:val="24"/>
          <w:szCs w:val="24"/>
        </w:rPr>
      </w:pPr>
      <w:r>
        <w:rPr>
          <w:rFonts w:ascii="Arial" w:eastAsia="Arial" w:hAnsi="Arial" w:cs="Arial"/>
          <w:i/>
          <w:sz w:val="24"/>
          <w:szCs w:val="24"/>
        </w:rPr>
        <w:t xml:space="preserve">osjetljivo stanovništvo i ranjive skupine</w:t>
      </w:r>
      <w:r>
        <w:rPr>
          <w:rFonts w:ascii="Arial" w:eastAsia="Arial" w:hAnsi="Arial" w:cs="Arial"/>
          <w:sz w:val="24"/>
          <w:szCs w:val="24"/>
        </w:rPr>
        <w:t xml:space="preserve"> su one skupine stanovništva koje su trajno ili privremeno osjetljivije ili ranjivije kada je riječ o učincima onečišćenja zraka od prosječnog stanovništva zbog posebnih obilježja zbog kojih su zdravstveni učinci izloženosti veći ili zato što imaju veću osjetljivost ili niži prag za učinke na zdravlje ili imaju smanjenu sposobnost samozaštite</w:t>
      </w:r>
    </w:p>
    <w:p>
      <w:pPr>
        <w:pBdr/>
        <w:pStyle w:val="List Paragraph"/>
        <w:numPr>
          <w:ilvl w:val="0"/>
          <w:numId w:val="4"/>
        </w:numPr>
        <w:spacing w:before="240" w:after="0" w:line="276" w:lineRule="auto"/>
        <w:ind w:left="360"/>
        <w:jc w:val="both"/>
        <w:rPr>
          <w:rFonts w:ascii="Arial" w:eastAsia="Arial" w:hAnsi="Arial" w:cs="Arial"/>
          <w:i/>
          <w:iCs/>
          <w:sz w:val="24"/>
          <w:szCs w:val="24"/>
        </w:rPr>
      </w:pPr>
      <w:r>
        <w:rPr>
          <w:rFonts w:ascii="Arial" w:eastAsia="Arial" w:hAnsi="Arial" w:cs="Arial"/>
          <w:i/>
          <w:sz w:val="24"/>
          <w:szCs w:val="24"/>
        </w:rPr>
        <w:t xml:space="preserve">ovlaštenik </w:t>
      </w:r>
      <w:r>
        <w:rPr>
          <w:rFonts w:ascii="Arial" w:eastAsia="Arial" w:hAnsi="Arial" w:cs="Arial"/>
          <w:sz w:val="24"/>
          <w:szCs w:val="24"/>
        </w:rPr>
        <w:t xml:space="preserve">je pravna osoba ili obrtnik koja prema zakonu kojim se uređuje zaštita okoliša posjeduje suglasnost za obavljanje stručnih poslova iz područja zaštite okoliša i prirode</w:t>
      </w:r>
    </w:p>
    <w:p>
      <w:pPr>
        <w:pBdr/>
        <w:pStyle w:val="List Paragraph"/>
        <w:numPr>
          <w:ilvl w:val="0"/>
          <w:numId w:val="4"/>
        </w:numPr>
        <w:spacing w:before="240" w:after="0" w:line="276" w:lineRule="auto"/>
        <w:ind w:left="360"/>
        <w:jc w:val="both"/>
        <w:rPr>
          <w:rFonts w:ascii="Arial" w:eastAsia="Arial" w:hAnsi="Arial" w:cs="Arial"/>
          <w:i/>
          <w:iCs/>
          <w:sz w:val="24"/>
          <w:szCs w:val="24"/>
        </w:rPr>
      </w:pPr>
      <w:r>
        <w:rPr>
          <w:rFonts w:ascii="Arial" w:eastAsia="Arial" w:hAnsi="Arial" w:cs="Arial"/>
          <w:i/>
          <w:sz w:val="24"/>
          <w:szCs w:val="24"/>
        </w:rPr>
        <w:t xml:space="preserve">plan djelovanja za kvalitetu zraka </w:t>
      </w:r>
      <w:r>
        <w:rPr>
          <w:rFonts w:ascii="Arial" w:eastAsia="Arial" w:hAnsi="Arial" w:cs="Arial"/>
          <w:sz w:val="24"/>
          <w:szCs w:val="24"/>
        </w:rPr>
        <w:t xml:space="preserve">je plan za kvalitetu zraka, donesen prije roka za postizanje graničnih vrijednosti i ciljnih vrijednosti, u kojem se utvrđuju politike i mjere za usklađivanje s tim graničnim vrijednostima i ciljnim vrijednostima unutar roka za postizanje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plan za kvalitetu zraka</w:t>
      </w:r>
      <w:r>
        <w:rPr>
          <w:rFonts w:ascii="Arial" w:eastAsia="Arial" w:hAnsi="Arial" w:cs="Arial"/>
          <w:sz w:val="24"/>
          <w:szCs w:val="24"/>
        </w:rPr>
        <w:t xml:space="preserve"> je plan u kojem su utvrđene politike i mjere za pridržavanje graničnih vrijednosti, ciljnih vrijednosti ili obveza smanjenja prosječne izloženosti nakon što su one prekoračene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PM</w:t>
      </w:r>
      <w:r>
        <w:rPr>
          <w:rFonts w:ascii="Arial" w:eastAsia="Arial" w:hAnsi="Arial" w:cs="Arial"/>
          <w:i/>
          <w:iCs/>
          <w:sz w:val="24"/>
          <w:szCs w:val="24"/>
          <w:vertAlign w:val="subscript"/>
        </w:rPr>
        <w:t xml:space="preserve">10</w:t>
      </w:r>
      <w:r>
        <w:rPr>
          <w:rFonts w:ascii="Arial" w:eastAsia="Arial" w:hAnsi="Arial" w:cs="Arial"/>
          <w:sz w:val="24"/>
          <w:szCs w:val="24"/>
        </w:rPr>
        <w:t xml:space="preserve"> je frakcija lebdećih čestica koja prolazi kroz ulazni otvor selektivan za veličinu čestica PM</w:t>
      </w:r>
      <w:r>
        <w:rPr>
          <w:rFonts w:ascii="Arial" w:eastAsia="Arial" w:hAnsi="Arial" w:cs="Arial"/>
          <w:sz w:val="24"/>
          <w:szCs w:val="24"/>
          <w:vertAlign w:val="subscript"/>
        </w:rPr>
        <w:t xml:space="preserve">10</w:t>
      </w:r>
      <w:r>
        <w:rPr>
          <w:rFonts w:ascii="Arial" w:eastAsia="Arial" w:hAnsi="Arial" w:cs="Arial"/>
          <w:sz w:val="24"/>
          <w:szCs w:val="24"/>
        </w:rPr>
        <w:t xml:space="preserve">, kako je definirano u referentnoj metodi za uzorkovanje i mjerenje PM</w:t>
      </w:r>
      <w:r>
        <w:rPr>
          <w:rFonts w:ascii="Arial" w:eastAsia="Arial" w:hAnsi="Arial" w:cs="Arial"/>
          <w:sz w:val="24"/>
          <w:szCs w:val="24"/>
          <w:vertAlign w:val="subscript"/>
        </w:rPr>
        <w:t xml:space="preserve">10</w:t>
      </w:r>
      <w:r>
        <w:rPr>
          <w:rFonts w:ascii="Arial" w:eastAsia="Arial" w:hAnsi="Arial" w:cs="Arial"/>
          <w:sz w:val="24"/>
          <w:szCs w:val="24"/>
        </w:rPr>
        <w:t xml:space="preserve">, EN 12341, s 50 % učinkovitosti u odstranjivanju čestica aerodinamičnog promjera 10 μm</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PM</w:t>
      </w:r>
      <w:r>
        <w:rPr>
          <w:rFonts w:ascii="Arial" w:eastAsia="Arial" w:hAnsi="Arial" w:cs="Arial"/>
          <w:i/>
          <w:iCs/>
          <w:sz w:val="24"/>
          <w:szCs w:val="24"/>
          <w:vertAlign w:val="subscript"/>
        </w:rPr>
        <w:t xml:space="preserve">2,5</w:t>
      </w:r>
      <w:r>
        <w:rPr>
          <w:rFonts w:ascii="Arial" w:eastAsia="Arial" w:hAnsi="Arial" w:cs="Arial"/>
          <w:sz w:val="24"/>
          <w:szCs w:val="24"/>
          <w:vertAlign w:val="subscript"/>
        </w:rPr>
        <w:t xml:space="preserve"> </w:t>
      </w:r>
      <w:r>
        <w:rPr>
          <w:rFonts w:ascii="Arial" w:eastAsia="Arial" w:hAnsi="Arial" w:cs="Arial"/>
          <w:sz w:val="24"/>
          <w:szCs w:val="24"/>
        </w:rPr>
        <w:t xml:space="preserve">je frakcija lebdećih čestica koja prolazi kroz ulazni otvor selektivan za veličinu čestica PM</w:t>
      </w:r>
      <w:r>
        <w:rPr>
          <w:rFonts w:ascii="Arial" w:eastAsia="Arial" w:hAnsi="Arial" w:cs="Arial"/>
          <w:sz w:val="24"/>
          <w:szCs w:val="24"/>
          <w:vertAlign w:val="subscript"/>
        </w:rPr>
        <w:t xml:space="preserve">2,5</w:t>
      </w:r>
      <w:r>
        <w:rPr>
          <w:rFonts w:ascii="Arial" w:eastAsia="Arial" w:hAnsi="Arial" w:cs="Arial"/>
          <w:sz w:val="24"/>
          <w:szCs w:val="24"/>
        </w:rPr>
        <w:t xml:space="preserve">, kako je definirano u referentnoj metodi za uzorkovanje i mjerenje PM</w:t>
      </w:r>
      <w:r>
        <w:rPr>
          <w:rFonts w:ascii="Arial" w:eastAsia="Arial" w:hAnsi="Arial" w:cs="Arial"/>
          <w:sz w:val="24"/>
          <w:szCs w:val="24"/>
          <w:vertAlign w:val="subscript"/>
        </w:rPr>
        <w:t xml:space="preserve">2,5</w:t>
      </w:r>
      <w:r>
        <w:rPr>
          <w:rFonts w:ascii="Arial" w:eastAsia="Arial" w:hAnsi="Arial" w:cs="Arial"/>
          <w:sz w:val="24"/>
          <w:szCs w:val="24"/>
        </w:rPr>
        <w:t xml:space="preserve">, EN 12341, s 50 % učinkovitosti u odstranjivanju čestica aerodinamičnog promjera 2,5 μm</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podatak kvalitete zraka</w:t>
      </w:r>
      <w:r>
        <w:rPr>
          <w:rFonts w:ascii="Arial" w:eastAsia="Arial" w:hAnsi="Arial" w:cs="Arial"/>
          <w:sz w:val="24"/>
          <w:szCs w:val="24"/>
        </w:rPr>
        <w:t xml:space="preserve"> je vrijednost svake izmjerene, izračunate ili procijenjene veličine koja se koristi za određivanje kvalitete zraka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pokazatelj kvalitete zraka</w:t>
      </w:r>
      <w:r>
        <w:rPr>
          <w:rFonts w:ascii="Arial" w:eastAsia="Arial" w:hAnsi="Arial" w:cs="Arial"/>
          <w:sz w:val="24"/>
          <w:szCs w:val="24"/>
        </w:rPr>
        <w:t xml:space="preserve"> je mjerljiva veličina nekog kemijskog elementa i/ili spoja odnosno fizikalnog stanja i/ili pojave, što uzrokuje promjenu kvalitete zraka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pokazatelj prosječne izloženosti</w:t>
      </w:r>
      <w:r>
        <w:rPr>
          <w:rFonts w:ascii="Arial" w:eastAsia="Arial" w:hAnsi="Arial" w:cs="Arial"/>
          <w:sz w:val="24"/>
          <w:szCs w:val="24"/>
        </w:rPr>
        <w:t xml:space="preserve"> je prosječna razina onečišćenosti određena na temelju mjerenja na gradskim pozadinskim lokacijama na cijelom području prostorne jedinice prosječne izloženosti ili, ako u toj jedinici nema gradskih područja, na ruralnim pozadinskim lokacijama, i koja odražava izloženost stanovništva, koja se koristi za provjeru ispunjava li se obveza smanjenja prosječne izloženosti i ciljana prosječna razina izloženosti za tu prostornu jedinicu</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policiklički aromatski ugljikovodici (PAU)</w:t>
      </w:r>
      <w:r>
        <w:rPr>
          <w:rFonts w:ascii="Arial" w:eastAsia="Arial" w:hAnsi="Arial" w:cs="Arial"/>
          <w:sz w:val="24"/>
          <w:szCs w:val="24"/>
        </w:rPr>
        <w:t xml:space="preserve"> su oni organski spojevi koje čine najmanje dva spojena aromatska prstena sačinjena isključivo od ugljika i vodika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pomorski objekt</w:t>
      </w:r>
      <w:r>
        <w:rPr>
          <w:rFonts w:ascii="Arial" w:eastAsia="Arial" w:hAnsi="Arial" w:cs="Arial"/>
          <w:sz w:val="24"/>
          <w:szCs w:val="24"/>
        </w:rPr>
        <w:t xml:space="preserve"> je plovni objekt, plutajući objekt i nepomični odobalni objekt kako su definirani u skladu sa zakonom kojim se uređuje pomorstvo</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praćenje emisije</w:t>
      </w:r>
      <w:r>
        <w:rPr>
          <w:rFonts w:ascii="Arial" w:eastAsia="Arial" w:hAnsi="Arial" w:cs="Arial"/>
          <w:sz w:val="24"/>
          <w:szCs w:val="24"/>
        </w:rPr>
        <w:t xml:space="preserve"> je mjerenje i/ili procjenjivanje emisije onečišćujućih tvari iz izvora onečišćivanja zraka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praćenje kvalitete zraka</w:t>
      </w:r>
      <w:r>
        <w:rPr>
          <w:rFonts w:ascii="Arial" w:eastAsia="Arial" w:hAnsi="Arial" w:cs="Arial"/>
          <w:sz w:val="24"/>
          <w:szCs w:val="24"/>
        </w:rPr>
        <w:t xml:space="preserve"> je sustavno mjerenje i/ili procjenjivanje razine onečišćenosti prema prostornom i vremenskom rasporedu</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prag obavješćivanja</w:t>
      </w:r>
      <w:r>
        <w:rPr>
          <w:rFonts w:ascii="Arial" w:eastAsia="Arial" w:hAnsi="Arial" w:cs="Arial"/>
          <w:sz w:val="24"/>
          <w:szCs w:val="24"/>
        </w:rPr>
        <w:t xml:space="preserve"> je razina iznad koje rizik za ljudsko zdravlje zbog kratkotrajnog izlaganja postoji za posebno osjetljivo stanovništvo i ranjive skupine i o kojoj je potrebno hitno i na odgovarajući način izvijestiti</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prag procjene</w:t>
      </w:r>
      <w:r>
        <w:rPr>
          <w:rFonts w:ascii="Arial" w:eastAsia="Arial" w:hAnsi="Arial" w:cs="Arial"/>
          <w:sz w:val="24"/>
          <w:szCs w:val="24"/>
        </w:rPr>
        <w:t xml:space="preserve"> je razina prema kojoj se određuje način procjene koji se treba koristiti za procjenu kvalitete zraka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prag upozorenja</w:t>
      </w:r>
      <w:r>
        <w:rPr>
          <w:rFonts w:ascii="Arial" w:eastAsia="Arial" w:hAnsi="Arial" w:cs="Arial"/>
          <w:sz w:val="24"/>
          <w:szCs w:val="24"/>
        </w:rPr>
        <w:t xml:space="preserve"> je razina iznad koje rizik za ljudsko zdravlje zbog kratkotrajnog izlaganja postoji za čitavo stanovništvo i kod koje se moraju poduzeti hitne mjere </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prekursori prizemnog ozona</w:t>
      </w:r>
      <w:r>
        <w:rPr>
          <w:rFonts w:ascii="Arial" w:eastAsia="Arial" w:hAnsi="Arial" w:cs="Arial"/>
          <w:sz w:val="24"/>
          <w:szCs w:val="24"/>
        </w:rPr>
        <w:t xml:space="preserve"> su tvari koje doprinose stvaranju prizemnog ozona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primjena modeliranja</w:t>
      </w:r>
      <w:r>
        <w:rPr>
          <w:rFonts w:ascii="Arial" w:eastAsia="Arial" w:hAnsi="Arial" w:cs="Arial"/>
          <w:sz w:val="24"/>
          <w:szCs w:val="24"/>
        </w:rPr>
        <w:t xml:space="preserve"> je primjena sustava modeliranja, koji se tumači kao lanac modela i podmodela, uključujući sve potrebne ulazne podatke, i svaka naknadna obrada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procjena</w:t>
      </w:r>
      <w:r>
        <w:rPr>
          <w:rFonts w:ascii="Arial" w:eastAsia="Arial" w:hAnsi="Arial" w:cs="Arial"/>
          <w:sz w:val="24"/>
          <w:szCs w:val="24"/>
        </w:rPr>
        <w:t xml:space="preserve"> je svaka metoda koja se koristi za mjerenje, izračunavanje, predviđanje ili procjenjivanje razina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proizvođač</w:t>
      </w:r>
      <w:r>
        <w:rPr>
          <w:rFonts w:ascii="Arial" w:eastAsia="Arial" w:hAnsi="Arial" w:cs="Arial"/>
          <w:sz w:val="24"/>
          <w:szCs w:val="24"/>
        </w:rPr>
        <w:t xml:space="preserve"> je svaka pravna osoba ili obrtnik kako je definirano Uredbom (EU) 2019/1020 od 20. lipnja 2019. o nadzoru tržišta i sukladnosti proizvoda i o izmjeni Direktive 2004/42/EZ i Uredbi (EZ) br. 765/2008 i (EU) br. 305/2011</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prostorna jedinica prosječne izloženosti</w:t>
      </w:r>
      <w:r>
        <w:rPr>
          <w:rFonts w:ascii="Arial" w:eastAsia="Arial" w:hAnsi="Arial" w:cs="Arial"/>
          <w:sz w:val="24"/>
          <w:szCs w:val="24"/>
        </w:rPr>
        <w:t xml:space="preserve"> je dio teritorija Republike Hrvatske određen za potrebe utvrđivanja pokazatelja prosječne izloženosti, koji odgovara regiji NUTS 1 ili NUTS 2 kako je utvrđeno u Uredbi (EZ) br. 1059/2003 Europskog parlamenta i Vijeća od 26. svibnja 2003. o uspostavi zajedničke klasifikacije prostornih jedinica za statistiku (NUTS) (SL L 154, 21.6.2003., str. 1.) ili kombinaciji dviju ili više susjednih regija razine NUTS 1 ili NUTS 2, pod uvjetom da je njihova ukupna kombinirana veličina manja od cijelog državnog teritorija te države članice i nije veća od 85 000 km</w:t>
      </w:r>
      <w:r>
        <w:rPr>
          <w:rFonts w:ascii="Arial" w:eastAsia="Arial" w:hAnsi="Arial" w:cs="Arial"/>
          <w:sz w:val="24"/>
          <w:szCs w:val="24"/>
          <w:vertAlign w:val="superscript"/>
        </w:rPr>
        <w:t xml:space="preserve">2</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prostorna reprezentativnost</w:t>
      </w:r>
      <w:r>
        <w:rPr>
          <w:rFonts w:ascii="Arial" w:eastAsia="Arial" w:hAnsi="Arial" w:cs="Arial"/>
          <w:sz w:val="24"/>
          <w:szCs w:val="24"/>
        </w:rPr>
        <w:t xml:space="preserve"> je pristup procjeni pri kojem su parametri kvalitete zraka zabilježeni na točki uzorkovanja reprezentativni za izričito određeno zemljopisno područje u mjeri u kojoj se parametri kvalitete zraka unutar tog područja ne razlikuju od parametara uočenih na točki uzorkovanja više od unaprijed utvrđene razine tolerancije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provjera ispravnosti mjernog instrumenta</w:t>
      </w:r>
      <w:r>
        <w:rPr>
          <w:rFonts w:ascii="Arial" w:eastAsia="Arial" w:hAnsi="Arial" w:cs="Arial"/>
          <w:sz w:val="24"/>
          <w:szCs w:val="24"/>
        </w:rPr>
        <w:t xml:space="preserve"> je skup postupaka kojima se provjerava ima li mjerni instrument sustavnu pogrešku i provodi se u skladu s mjeriteljskim zahtjevima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provjera kvalitete mjerenja</w:t>
      </w:r>
      <w:r>
        <w:rPr>
          <w:rFonts w:ascii="Arial" w:eastAsia="Arial" w:hAnsi="Arial" w:cs="Arial"/>
          <w:sz w:val="24"/>
          <w:szCs w:val="24"/>
        </w:rPr>
        <w:t xml:space="preserve"> je provjera postojanosti, točnosti i ponovljivosti mjerila, sljedivosti mjernog rezultata, mjerne točnosti mjernog pretvornika te provjera mjernih načela, metode ili postupka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razina </w:t>
      </w:r>
      <w:r>
        <w:rPr>
          <w:rFonts w:ascii="Arial" w:eastAsia="Arial" w:hAnsi="Arial" w:cs="Arial"/>
          <w:sz w:val="24"/>
          <w:szCs w:val="24"/>
        </w:rPr>
        <w:t xml:space="preserve">je koncentracija onečišćujuće tvari u zraku ili njezino taloženje na površini, u danom vremenu</w:t>
      </w:r>
    </w:p>
    <w:p>
      <w:pPr>
        <w:pBdr/>
        <w:pStyle w:val="List Paragraph"/>
        <w:numPr>
          <w:ilvl w:val="0"/>
          <w:numId w:val="4"/>
        </w:numPr>
        <w:spacing w:before="240" w:after="0" w:line="276" w:lineRule="auto"/>
        <w:ind w:left="360"/>
        <w:jc w:val="both"/>
        <w:rPr>
          <w:rFonts w:ascii="Arial" w:eastAsia="Arial" w:hAnsi="Arial" w:cs="Arial"/>
          <w:i/>
          <w:iCs/>
          <w:sz w:val="24"/>
          <w:szCs w:val="24"/>
        </w:rPr>
      </w:pPr>
      <w:r>
        <w:rPr>
          <w:rFonts w:ascii="Arial" w:eastAsia="Arial" w:hAnsi="Arial" w:cs="Arial"/>
          <w:i/>
          <w:sz w:val="24"/>
          <w:szCs w:val="24"/>
        </w:rPr>
        <w:t xml:space="preserve">ruralne pozadinske lokacije</w:t>
      </w:r>
      <w:r>
        <w:rPr>
          <w:rFonts w:ascii="Arial" w:eastAsia="Arial" w:hAnsi="Arial" w:cs="Arial"/>
          <w:sz w:val="24"/>
          <w:szCs w:val="24"/>
        </w:rPr>
        <w:t xml:space="preserve"> su mjesta u ruralnim područjima s niskom gustoćom stanovništva na kojima su razine onečišćenja zraka reprezentativne za izloženost općeg ruralnog stanovništva, vegetacije i prirodnih ekosustava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standardi kvalitete zraka</w:t>
      </w:r>
      <w:r>
        <w:rPr>
          <w:rFonts w:ascii="Arial" w:eastAsia="Arial" w:hAnsi="Arial" w:cs="Arial"/>
          <w:sz w:val="24"/>
          <w:szCs w:val="24"/>
        </w:rPr>
        <w:t xml:space="preserve"> su granične vrijednosti, ciljne vrijednosti, obveze smanjenja prosječne izloženosti, ciljne prosječne razine izloženosti, kritične razine, pragovi upozorenja, pragovi obavješćivanja i dugoročni ciljevi</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stavljanje na raspolaganje na tržištu</w:t>
      </w:r>
      <w:r>
        <w:rPr>
          <w:rFonts w:ascii="Arial" w:eastAsia="Arial" w:hAnsi="Arial" w:cs="Arial"/>
          <w:sz w:val="24"/>
          <w:szCs w:val="24"/>
        </w:rPr>
        <w:t xml:space="preserve"> je svaka isporuka proizvoda za distribuciju, potrošnju ili upotrebu na tržištu Europske unije u okviru trgovačke djelatnosti s plaćanjem ili bez plaćanja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stavljanje na tržište</w:t>
      </w:r>
      <w:r>
        <w:rPr>
          <w:rFonts w:ascii="Arial" w:eastAsia="Arial" w:hAnsi="Arial" w:cs="Arial"/>
          <w:sz w:val="24"/>
          <w:szCs w:val="24"/>
        </w:rPr>
        <w:t xml:space="preserve"> je prvo stavljanje proizvoda na raspolaganje na tržištu Europske unije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superlokacija za praćenje</w:t>
      </w:r>
      <w:r>
        <w:rPr>
          <w:rFonts w:ascii="Arial" w:eastAsia="Arial" w:hAnsi="Arial" w:cs="Arial"/>
          <w:sz w:val="24"/>
          <w:szCs w:val="24"/>
        </w:rPr>
        <w:t xml:space="preserve"> je postaja za praćenje na gradskoj pozadinskoj lokaciji ili ruralnoj pozadinskoj lokaciji koja kombinira više točaka uzorkovanja radi prikupljanja dugoročnih podataka o više onečišćujućih tvari</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trgovac</w:t>
      </w:r>
      <w:r>
        <w:rPr>
          <w:rFonts w:ascii="Arial" w:eastAsia="Arial" w:hAnsi="Arial" w:cs="Arial"/>
          <w:sz w:val="24"/>
          <w:szCs w:val="24"/>
        </w:rPr>
        <w:t xml:space="preserve"> je pravna osoba ili obrtnik različita od proizvođača i/ili uvoznika proizvoda i kada proizvođač ili uvoznik nemaju sjedište u Republici Hrvatskoj, odgovorna osigurati da su proizvodi koje stavlja na raspolaganje na tržištu označeni u skladu s posebnim propisom kojim se utvrđuje kvaliteta određenih boja i lakova i/ili proizvoda za završnu obradu vozila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ugađanje</w:t>
      </w:r>
      <w:r>
        <w:rPr>
          <w:rFonts w:ascii="Arial" w:eastAsia="Arial" w:hAnsi="Arial" w:cs="Arial"/>
          <w:sz w:val="24"/>
          <w:szCs w:val="24"/>
        </w:rPr>
        <w:t xml:space="preserve"> je postupak dovođenja mjernog instrumenta u tehničko stanje prikladno za uporabu</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ukupna plinovita živa</w:t>
      </w:r>
      <w:r>
        <w:rPr>
          <w:rFonts w:ascii="Arial" w:eastAsia="Arial" w:hAnsi="Arial" w:cs="Arial"/>
          <w:sz w:val="24"/>
          <w:szCs w:val="24"/>
        </w:rPr>
        <w:t xml:space="preserve"> su pare elementarne žive (Hg</w:t>
      </w:r>
      <w:r>
        <w:rPr>
          <w:rFonts w:ascii="Arial" w:eastAsia="Arial" w:hAnsi="Arial" w:cs="Arial"/>
          <w:sz w:val="24"/>
          <w:szCs w:val="24"/>
          <w:vertAlign w:val="superscript"/>
        </w:rPr>
        <w:t xml:space="preserve">0</w:t>
      </w:r>
      <w:r>
        <w:rPr>
          <w:rFonts w:ascii="Arial" w:eastAsia="Arial" w:hAnsi="Arial" w:cs="Arial"/>
          <w:sz w:val="24"/>
          <w:szCs w:val="24"/>
        </w:rPr>
        <w:t xml:space="preserve">) i reaktivna plinovita živa, tj. vrste žive topive u vodi s dovoljno visokim tlakom para da mogu postojati u plinovitom stanju</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ukupno taloženje</w:t>
      </w:r>
      <w:r>
        <w:rPr>
          <w:rFonts w:ascii="Arial" w:eastAsia="Arial" w:hAnsi="Arial" w:cs="Arial"/>
          <w:sz w:val="24"/>
          <w:szCs w:val="24"/>
        </w:rPr>
        <w:t xml:space="preserve"> je ukupna masa onečišćujućih tvari koja se iz atmosfere prenosi na površine, na primjer tlo, biljke, vodu ili zgrade na određenom području unutar zadanog razdoblja</w:t>
      </w:r>
    </w:p>
    <w:p>
      <w:pPr>
        <w:pBdr/>
        <w:pStyle w:val="List Paragraph"/>
        <w:numPr>
          <w:ilvl w:val="0"/>
          <w:numId w:val="4"/>
        </w:numPr>
        <w:spacing w:before="240" w:after="0" w:line="276" w:lineRule="auto"/>
        <w:ind w:left="360"/>
        <w:jc w:val="both"/>
        <w:rPr>
          <w:rFonts w:ascii="Arial" w:eastAsia="Arial" w:hAnsi="Arial" w:cs="Arial"/>
          <w:i/>
          <w:iCs/>
          <w:sz w:val="24"/>
          <w:szCs w:val="24"/>
        </w:rPr>
      </w:pPr>
      <w:r>
        <w:rPr>
          <w:rFonts w:ascii="Arial" w:eastAsia="Arial" w:hAnsi="Arial" w:cs="Arial"/>
          <w:i/>
          <w:sz w:val="24"/>
          <w:szCs w:val="24"/>
        </w:rPr>
        <w:t xml:space="preserve">ultrafine čestice</w:t>
      </w:r>
      <w:r>
        <w:rPr>
          <w:rFonts w:ascii="Arial" w:eastAsia="Arial" w:hAnsi="Arial" w:cs="Arial"/>
          <w:sz w:val="24"/>
          <w:szCs w:val="24"/>
        </w:rPr>
        <w:t xml:space="preserve"> su čestice promjera manjeg ili jednakog 100 nm, ako se ultrafine čestice mjere kao brojčane koncentracije čestica po kubičnom centimetru za raspon veličine s donjom granicom 10 nm i za raspon veličine bez ograničenja gornje granice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umjeravanje mjernog instrumenta</w:t>
      </w:r>
      <w:r>
        <w:rPr>
          <w:rFonts w:ascii="Arial" w:eastAsia="Arial" w:hAnsi="Arial" w:cs="Arial"/>
          <w:sz w:val="24"/>
          <w:szCs w:val="24"/>
        </w:rPr>
        <w:t xml:space="preserve"> je skup postupaka kojima se u određenim uvjetima uspostavlja odnos između vrijednosti veličina koje pokazuje neki mjerni </w:t>
      </w:r>
      <w:r>
        <w:rPr>
          <w:rFonts w:ascii="Arial" w:eastAsia="Arial" w:hAnsi="Arial" w:cs="Arial"/>
          <w:sz w:val="24"/>
          <w:szCs w:val="24"/>
        </w:rPr>
        <w:t xml:space="preserve">instrument ili mjerni sustav ili vrijednosti koje prikazuje neka tvarna mjera ili neka referentna tvar i odgovarajućih vrijednosti ostvarenih etalonom i provodi se u skladu s mjeriteljskim postupkom</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upravljanje kvalitetom zraka</w:t>
      </w:r>
      <w:r>
        <w:rPr>
          <w:rFonts w:ascii="Arial" w:eastAsia="Arial" w:hAnsi="Arial" w:cs="Arial"/>
          <w:sz w:val="24"/>
          <w:szCs w:val="24"/>
        </w:rPr>
        <w:t xml:space="preserve"> je osiguravanje izvršenja mjera kojima se provodi sprječavanje i smanjivanje onečišćivanja zraka na svim razinama, tako da se time ne ometa održivi razvitak</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uvoznik</w:t>
      </w:r>
      <w:r>
        <w:rPr>
          <w:rFonts w:ascii="Arial" w:eastAsia="Arial" w:hAnsi="Arial" w:cs="Arial"/>
          <w:sz w:val="24"/>
          <w:szCs w:val="24"/>
        </w:rPr>
        <w:t xml:space="preserve"> je svaka pravna osoba ili obrtnik kako je definirano Uredbom (EU) 2019/1020 od 20. lipnja 2019. o nadzoru tržišta i sukladnosti proizvoda i o izmjeni Direktive 2004/42/EZ i Uredbi (EZ) br. 765/2008 i (EU) br. 305/2011</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uzorkovanje</w:t>
      </w:r>
      <w:r>
        <w:rPr>
          <w:rFonts w:ascii="Arial" w:eastAsia="Arial" w:hAnsi="Arial" w:cs="Arial"/>
          <w:sz w:val="24"/>
          <w:szCs w:val="24"/>
        </w:rPr>
        <w:t xml:space="preserve"> je postupak sakupljanja pojedinačnih uzoraka zraka i oborina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validirani podatak kvalitete zraka</w:t>
      </w:r>
      <w:r>
        <w:rPr>
          <w:rFonts w:ascii="Arial" w:eastAsia="Arial" w:hAnsi="Arial" w:cs="Arial"/>
          <w:sz w:val="24"/>
          <w:szCs w:val="24"/>
        </w:rPr>
        <w:t xml:space="preserve"> je podatak dobiven metodama mjerenja koje se u skladu s odredbama ovoga Zakona i koji se koristi za procjenjivanje kvalitete zraka</w:t>
      </w:r>
    </w:p>
    <w:p>
      <w:pPr>
        <w:pBdr/>
        <w:pStyle w:val="List Paragraph"/>
        <w:numPr>
          <w:ilvl w:val="0"/>
          <w:numId w:val="4"/>
        </w:numPr>
        <w:spacing w:before="240" w:after="0" w:line="276" w:lineRule="auto"/>
        <w:ind w:left="360"/>
        <w:jc w:val="both"/>
        <w:rPr>
          <w:rFonts w:ascii="Arial" w:eastAsia="Arial" w:hAnsi="Arial" w:cs="Arial"/>
          <w:i/>
          <w:iCs/>
          <w:sz w:val="24"/>
          <w:szCs w:val="24"/>
        </w:rPr>
      </w:pPr>
      <w:r>
        <w:rPr>
          <w:rFonts w:ascii="Arial" w:eastAsia="Arial" w:hAnsi="Arial" w:cs="Arial"/>
          <w:i/>
          <w:sz w:val="24"/>
          <w:szCs w:val="24"/>
        </w:rPr>
        <w:t xml:space="preserve">velika nesreća</w:t>
      </w:r>
      <w:r>
        <w:rPr>
          <w:rFonts w:ascii="Arial" w:eastAsia="Arial" w:hAnsi="Arial" w:cs="Arial"/>
          <w:sz w:val="24"/>
          <w:szCs w:val="24"/>
        </w:rPr>
        <w:t xml:space="preserve"> je događaj kako je definirano zakonom kojim se uređuje područje zaštite okoliša i civilne zaštite te posebnim propisom kojim se uređuje sprječavanje velikih nesreća koje uključuju opasne tvari</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veliki grad</w:t>
      </w:r>
      <w:r>
        <w:rPr>
          <w:rFonts w:ascii="Arial" w:eastAsia="Arial" w:hAnsi="Arial" w:cs="Arial"/>
          <w:sz w:val="24"/>
          <w:szCs w:val="24"/>
        </w:rPr>
        <w:t xml:space="preserve"> je grad kako je definirano zakonom kojim se uređuju jedinice lokalne samouprave i jedinice područne (regionalne) samouprave</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vrijeme usrednjavanja</w:t>
      </w:r>
      <w:r>
        <w:rPr>
          <w:rFonts w:ascii="Arial" w:eastAsia="Arial" w:hAnsi="Arial" w:cs="Arial"/>
          <w:sz w:val="24"/>
          <w:szCs w:val="24"/>
        </w:rPr>
        <w:t xml:space="preserve"> je razdoblje propisanog trajanja, unutar kojeg srednja vrijednost po vremenu predstavlja pojedinačnu vrijednost razine onečišćenosti (prema zahtjevu norme HRN ISO 9169)</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zainteresirana javnost</w:t>
      </w:r>
      <w:r>
        <w:rPr>
          <w:rFonts w:ascii="Arial" w:eastAsia="Arial" w:hAnsi="Arial" w:cs="Arial"/>
          <w:sz w:val="24"/>
          <w:szCs w:val="24"/>
        </w:rPr>
        <w:t xml:space="preserve"> je jedna ili više fizičkih ili pravnih osoba na koje utječu ili bi mogle utjecati ili koje su zainteresirane za postupke odlučivanja povezane s provedbom članaka 24., 45. do 50. ili 52. ovoga Zakona. Za potrebe ovoga Zakona nevladine organizacije koje promiču zaštitu zdravlja ljudi ili okoliša i ispunjavaju sve zahtjeve koji proizlaze iz nacionalnog prava smatraju se zainteresiranima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iCs/>
          <w:sz w:val="24"/>
          <w:szCs w:val="24"/>
        </w:rPr>
        <w:t xml:space="preserve">zapovjednik pomorskog objekta</w:t>
      </w:r>
      <w:r>
        <w:rPr>
          <w:rFonts w:ascii="Arial" w:eastAsia="Arial" w:hAnsi="Arial" w:cs="Arial"/>
          <w:sz w:val="24"/>
          <w:szCs w:val="24"/>
        </w:rPr>
        <w:t xml:space="preserve"> je za potrebe ovoga Zakona osoba koja zapovijeda plovnim objektom, osoba koja upravlja plutajućim objektom i osoba koja upravlja nepomičnim odobalnim objektom i koji je dužan osigurati da pomorski objekt ispunjava uvjete iz članka 12. stavka 4. ovoga Zakona i uredbe iz članka 70. stavka 1. ovoga Zakona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zona </w:t>
      </w:r>
      <w:r>
        <w:rPr>
          <w:rFonts w:ascii="Arial" w:eastAsia="Arial" w:hAnsi="Arial" w:cs="Arial"/>
          <w:sz w:val="24"/>
          <w:szCs w:val="24"/>
        </w:rPr>
        <w:t xml:space="preserve">je dio državnog područja koji je Republika Hrvatska sama razgraničila za potrebe procjene i upravljanja kvalitetom zraka</w:t>
      </w:r>
    </w:p>
    <w:p>
      <w:pPr>
        <w:pBdr/>
        <w:pStyle w:val="List Paragraph"/>
        <w:numPr>
          <w:ilvl w:val="0"/>
          <w:numId w:val="4"/>
        </w:numPr>
        <w:spacing w:before="240" w:after="0" w:line="276" w:lineRule="auto"/>
        <w:ind w:left="360"/>
        <w:jc w:val="both"/>
        <w:rPr>
          <w:rFonts w:ascii="Arial" w:eastAsia="Arial" w:hAnsi="Arial" w:cs="Arial"/>
          <w:sz w:val="24"/>
          <w:szCs w:val="24"/>
        </w:rPr>
      </w:pPr>
      <w:r>
        <w:rPr>
          <w:rFonts w:ascii="Arial" w:eastAsia="Arial" w:hAnsi="Arial" w:cs="Arial"/>
          <w:i/>
          <w:sz w:val="24"/>
          <w:szCs w:val="24"/>
        </w:rPr>
        <w:t xml:space="preserve">zrak</w:t>
      </w:r>
      <w:r>
        <w:rPr>
          <w:rFonts w:ascii="Arial" w:eastAsia="Arial" w:hAnsi="Arial" w:cs="Arial"/>
          <w:sz w:val="24"/>
          <w:szCs w:val="24"/>
        </w:rPr>
        <w:t xml:space="preserve"> je zrak u troposferi, izuzev mjesta rada kako su definirana člankom 2. Direktive Vijeća 89/654/EEZ od 30. studenoga 1989. o minimalnim sigurnosnim i zdravstvenim zahtjevima za mjesto rada (prva pojedinačna direktiva u smislu članka 16. stavka 1. Direktive 89/391/EEZ) (SL L 393, 30.12.1989., str. 1.) kada se primjenjuju odredbe o zdravlju i sigurnosti na radu i kojima javnost nema redovan pristup.</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Uvoz proizvoda iz treće države na carinsko područje Europske unije na području Republike Hrvatske smatra se stavljanjem na tržište.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Osim pojmova iz stavka 1. ovoga članka primjenjuju se i pojmovi koji imaju jednako značenje kao pojmovi korišteni u aktima Europske unije iz članka 2. stavka 2.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Za norme i metode mjerenja za koje nije navedena godina izdanja u ovom Zakonu primjenjuju se njihova zadnja važeća izdanja objavljena u službenom glasilu Hrvatskog zavoda za norme.</w:t>
      </w:r>
    </w:p>
    <w:p>
      <w:pPr>
        <w:pBdr/>
        <w:pStyle w:val="Heading 4"/>
        <w:spacing/>
        <w:ind/>
        <w:rPr/>
      </w:pPr>
      <w:r>
        <w:rPr/>
        <w:t xml:space="preserve">Članak 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Izrazi koji se koriste u ovome Zakonu, a imaju rodno značenje odnose se jednako na muški i ženski rod.</w:t>
      </w:r>
    </w:p>
    <w:p>
      <w:pPr>
        <w:pBdr/>
        <w:pStyle w:val="Heading 2"/>
        <w:spacing/>
        <w:ind/>
        <w:rPr/>
      </w:pPr>
      <w:r>
        <w:rPr/>
        <w:t xml:space="preserve">DIO DRUGI</w:t>
      </w:r>
    </w:p>
    <w:p>
      <w:pPr>
        <w:pBdr/>
        <w:pStyle w:val="Heading 2"/>
        <w:spacing/>
        <w:ind/>
        <w:rPr/>
      </w:pPr>
      <w:r>
        <w:rPr/>
        <w:t xml:space="preserve">MATERIJALNE I POSTUPOVNE ODREDBE</w:t>
      </w:r>
    </w:p>
    <w:p>
      <w:pPr>
        <w:pBdr/>
        <w:pStyle w:val="Heading 2"/>
        <w:spacing/>
        <w:ind/>
        <w:rPr/>
      </w:pPr>
      <w:r>
        <w:rPr/>
        <w:t xml:space="preserve">GLAVA I.</w:t>
      </w:r>
    </w:p>
    <w:p>
      <w:pPr>
        <w:pBdr/>
        <w:pStyle w:val="Heading 2"/>
        <w:spacing/>
        <w:ind/>
        <w:rPr/>
      </w:pPr>
      <w:r>
        <w:rPr/>
        <w:t xml:space="preserve">ZAJEDNIČKE ODREDBE</w:t>
      </w:r>
    </w:p>
    <w:p>
      <w:pPr>
        <w:pBdr/>
        <w:pStyle w:val="Heading 3"/>
        <w:spacing/>
        <w:ind/>
        <w:rPr/>
      </w:pPr>
      <w:r>
        <w:rPr/>
        <w:t xml:space="preserve">Načelo održivosti i usklađenosti</w:t>
      </w:r>
    </w:p>
    <w:p>
      <w:pPr>
        <w:pBdr/>
        <w:pStyle w:val="Heading 4"/>
        <w:spacing/>
        <w:ind/>
        <w:rPr/>
      </w:pPr>
      <w:r>
        <w:rPr/>
        <w:t xml:space="preserve">Članak 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Mjere koje se poduzimaju radi zaštite i poboljšanja kvalitete zraka ne smiju ugroziti ostale sastavnice okoliša, kvalitetu življenja sadašnjih i budućih naraštaja te ne smiju biti u suprotnosti s propisima u područjima zaštite na radu i zaštite zdravlja ljudi.</w:t>
      </w:r>
    </w:p>
    <w:p>
      <w:pPr>
        <w:pBdr/>
        <w:pStyle w:val="Heading 3"/>
        <w:spacing/>
        <w:ind/>
        <w:rPr/>
      </w:pPr>
      <w:r>
        <w:rPr/>
        <w:t xml:space="preserve">Ciljevi mjera zaštite i poboljšanja kvalitete zraka</w:t>
      </w:r>
    </w:p>
    <w:p>
      <w:pPr>
        <w:pBdr/>
        <w:pStyle w:val="Heading 4"/>
        <w:spacing/>
        <w:ind/>
        <w:rPr/>
      </w:pPr>
      <w:r>
        <w:rPr/>
        <w:t xml:space="preserve">Članak 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Mjere zaštite i poboljšanja kvalitete zraka određuju se radi: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izbjegavanja, sprječavanja ili smanjenja štetnih posljedica na ljudsko zdravlje, kvalitetu življenja i okoliš u cjelini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sprječavanja i smanjivanja onečišćivanja koja utječu na kvalitetu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očuvanja kvalitete zraka ako je zrak čist te poboljšavanja kvalitete zraka u slučajevima onečišćenosti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korištenja učinkovitijih tehnologija s obzirom na potrošnju energije te poticanja uporabe obnovljivih izvora energije u svrhu smanjenja doprinosa onečišćenju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uspostave, održavanja i unapređivanja cjelovitog sustava upravljanja kvalitetom zraka na teritoriju Republike Hrvatske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procjene kvalitete zraka i pribavljanja odgovarajućih podataka o kvaliteti zraka na temelju standardiziranih metoda i mjerila koje se primjenjuju na području Europske unije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osiguravanja dostupnosti javnosti informacija o kvaliteti zraka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izvršenja obveza preuzetih međunarodnim ugovorima i sporazumima kojih je Republika Hrvatska stranka te sudjelovanja u međunarodnoj suradnji u području zaštite zraka.</w:t>
      </w:r>
    </w:p>
    <w:p>
      <w:pPr>
        <w:pBdr/>
        <w:pStyle w:val="Heading 3"/>
        <w:spacing/>
        <w:ind/>
        <w:rPr/>
      </w:pPr>
      <w:r>
        <w:rPr/>
        <w:t xml:space="preserve">Provedba akata Europske unije</w:t>
      </w:r>
    </w:p>
    <w:p>
      <w:pPr>
        <w:pBdr/>
        <w:pStyle w:val="Heading 4"/>
        <w:spacing/>
        <w:ind/>
        <w:rPr/>
      </w:pPr>
      <w:r>
        <w:rPr/>
        <w:t xml:space="preserve">Članak 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Nadležno tijelo za provedbu akata Europske unije iz članka 2. stavka 2. ovoga Zakona je tijelo državne uprave nadležno za zaštitu okoliša (u daljnjem tekstu: Ministarstvo), osim ako ovim Zakonom nije drukčije propisano.</w:t>
      </w:r>
    </w:p>
    <w:p>
      <w:pPr>
        <w:pBdr/>
        <w:pStyle w:val="Heading 3"/>
        <w:spacing/>
        <w:ind/>
        <w:rPr/>
      </w:pPr>
      <w:r>
        <w:rPr/>
        <w:t xml:space="preserve">Nadležnosti</w:t>
      </w:r>
    </w:p>
    <w:p>
      <w:pPr>
        <w:pBdr/>
        <w:pStyle w:val="Heading 4"/>
        <w:spacing/>
        <w:ind/>
        <w:rPr/>
      </w:pPr>
      <w:bookmarkStart w:name="_Ref225324187" w:id="0"/>
      <w:r>
        <w:rPr/>
        <w:t xml:space="preserve">Članak 9.</w:t>
      </w:r>
      <w:bookmarkEnd w:id="0"/>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Učinkovitost zaštite i poboljšanja kvalitete zraka osiguravaju Hrvatski sabor i Vlada Republike Hrvatske (u daljnjem tekstu: Vlada) te jedinice lokalne i područne (regionalne) samouprave unutar svoje i ovim Zakonom određene nadležnosti.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Upravne i stručne poslove zaštite i poboljšanja kvalitete zraka te provedbu mjera zaštite i poboljšanja kvalitete zraka provode i osiguravaju tijela državne uprave nadležna za zaštitu okoliša i prirode, upravna tijela jedinica lokalne i područne (regionalne) samouprave nadležna za obavljanje poslova zaštite okoliša te pravne osobe koje imaju javne ovlasti.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Procjenjivanje kvalitete zraka na teritoriju Republike Hrvatske provodi Državni hidrometeorološki zavod u suradnji s Institutom za medicinska istraživanja i medicinu rada.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Osiguravanje adekvatnog funkcioniranja i održavanja državne mreže za praćenje kvalitete zraka u skladu sa člankom 30. ovoga Zakona provodi Državni hidrometeorološki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Mjerenje kvalitete zraka na točkama uzorkovanja državne mreže za praćenje kvalitete zraka iz članka 27. ovoga Zakona, osiguravanje točnosti mjerenja te prijenos i dijeljenje mjernih podataka provode Nacionalni referentni laboratoriji iz članka 11.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Potvrđivanje osposobljenosti referentnih i ispitnih laboratorija u području kvalitete zraka na području Republike Hrvatske, metode, mjernu opremu, mjerne postaje i mjerne sustave, kroz postupak akreditacije, u skladu s nacionalnim propisima kojima se utvrđuju zahtjevi za akreditaciju i za nadzor tržišta u odnosu na stavljanje proizvoda na tržište, provodi Hrvatska akreditacijska agencija.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Dostupnost izvješća, putem poveznica na akreditirane ispitne laboratorije u Europskoj uniji koji provode ispitivanje mjerne opreme za praćenje kvalitete zraka i izdaju ispitna izvješća, na vlastitim mrežnim stranicama osigurava Državni zavod za mjeriteljstvo.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Promicanje točnosti primjene modeliranja provodi Državni hidrometeorološki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Analizu metoda procjene provodi Povjerenstvo za praćenje rada Nacionalnih referentnih laboratorija iz članka 11. stavka 12.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(10) Usklađivanje (koordinaciju) programa osiguranja kvalitete na svojem državnom području, ako ih za cijelu Europsku uniju organizira Europska komisija, provodi Ministarstvo uz podršku Nacionalnih referentnih laboratorija iz članka 11.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(11) Ministarstvo surađuje s nadležnim tijelima država članica Europske unije i Europskom komisijom, među ostalim na prekograničnom onečišćenju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(12) Izradu plana za kvalitetu zraka iz članka 45. stavka 1. ovoga Zakona osigurava nadležno upravno tijelo jedinice lokalne samouprave odnosno Grada Zagreba za svoje </w:t>
      </w:r>
      <w:r>
        <w:rPr>
          <w:rFonts w:ascii="Arial" w:eastAsia="Arial" w:hAnsi="Arial" w:cs="Arial"/>
          <w:sz w:val="24"/>
          <w:szCs w:val="24"/>
        </w:rPr>
        <w:t xml:space="preserve">administrativno područje, a donosi ga predstavničko tijelo jedinice lokalne samouprave odnosno Grada Zagreba.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(13) Izradu plana djelovanja za kvalitetu zraka iz članka 46. stavka 1. ovoga Zakona osigurava nadležno upravno tijelo jedinice lokalne samouprave odnosno Grada Zagreba za svoje administrativno područje, a donosi ga predstavničko tijelo jedinice lokalne samouprave odnosno Grada Zagreba. </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(14) Izradu plana za kvalitetu zraka za prizemni ozon iz članka 45. stavka 4. ovoga Zakona, plana djelovanja za kvalitetu zraka za prizemni ozon iz članka 46. stavka 2. ovoga Zakona i plana za kvalitetu zraka za ispunjenje obveze smanjenja prosječne izloženosti iz članka 45. stavka 12. ovoga Zakona osigurava i predlaže Ministarstvo, a odlukom donosi Vlada.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(15) Izradu stručnih podloga, analiza i modeliranje kvalitete zraka za izradu plana za kvalitetu zraka iz članka 45. stavka 1. ovoga Zakona, plana djelovanja za kvalitetu zraka iz članka 46. stavka 1. ovoga Zakona, plana za kvalitetu zraka za prizemni ozon iz članka 45. stavka 4. ovoga Zakona, plana djelovanja za kvalitetu zraka za prizemni ozon iz članka 46. stavka 2. ovoga Zakona, plana za kvalitetu zraka za ispunjenje obveze smanjenja prosječne izloženosti iz članka 45. stavka 12. ovoga Zakona i kratkoročnog akcijskog plana iz članka 52. ovoga Zakona obavlja Državni hidrometeorološki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(16) Izradu kratkoročnog akcijskog plana iz članka 52. ovoga Zakona osigurava nadležno upravno tijelo jedinice lokalne samouprave odnosno Grada Zagreba za svoje administrativno područje, a donosi ga predstavničko tijelo jedinice lokalne samouprave odnosno Grada Zagreba.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(17) Pružanje i održavanje prikaza indeksa kvalitete zraka i drugih relevantnih javnih informacija osigurava Ministarstvo – Zavod za zaštitu okoliša i prirode (u daljnjem tekstu: Zavod) u suradnji s Nacionalnim referentnim laboratorijima iz članka 11. ovoga Zakona i ispitnim laboratorijima, temeljem Dodatka VI.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(18) Praćenje kvalitete zraka, praćenje emisija onečišćujućih tvari u zrak iz nepokretnih izvora, provjeru ispravnosti mjernog sustava za kontinuirano mjerenje emisija iz nepokretnih izvora obavljaju ispitni laboratoriji koji su ishodili dozvolu iz članka 78.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(19) Poslove organizacije i provođenja ispitivanja sposobnosti ispitnih laboratorija za praćenje kvalitete zraka međulaboratorijskim usporedbama na nacionalnoj razini, a u okviru poslova osiguravanja točnosti mjerenja te prijenosa i dijeljenja mjernih podataka kvalitete zraka, provode referentni laboratoriji koji su ishodili dozvolu iz članka 83.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(20) Praćenje kvalitete proizvoda obavljaju ispitni laboratoriji akreditirani za ispitivanje kvalitete proizvoda i/ili neovisna inspekcijska tijela vrste 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(21) Poslove izrade nacionalnih inventara, godišnjih inventara emisija, projekcija emisija, prostorno raščlanjenih inventara, inventara velikih točkastih izvora, prilagođenih inventara emisija, prema potrebi i informativnih izvješća o inventaru emisija obavlja Zavod, a za pojedine stručne poslove Zavod može angažirati ovlaštenike u skladu sa zakonom kojim se uređuje zaštita okoliša.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(22) Dostavu podataka iz stavka 21. ovoga članka, u skladu s međunarodnim obvezama, obavlja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(23) Za poslove iz stavka 21. ovoga članka tijela državne uprave i pravne osobe s javnim ovlastima nadležna za poslove zaštite okoliša, energetike, gospodarstva, poljoprivrede, šumarstva, vodnoga gospodarstva, mora, prometa, poslove službene statistike, trgovačka društva i svi poslovni subjekti koji prikupljaju i/ili posjeduju podatke o djelatnostima po sektorima, kojima se ispuštaju onečišćujuće tvari u zrak, u skladu s uredbom iz članka 62. ovoga Zakona moraju te podatke dostaviti Zavodu.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(24) Praćenje negativnih utjecaja onečišćenja zraka na ekosustave, osobito zakiseljavanja, eutrofikacije i prizemnog ozona</w:t>
      </w:r>
      <w:r>
        <w:rPr>
          <w:rFonts w:ascii="Arial" w:eastAsia="Arial" w:hAnsi="Arial" w:cs="Arial"/>
          <w:sz w:val="24"/>
          <w:szCs w:val="24"/>
        </w:rPr>
        <w:t xml:space="preserve"> iz članka 63. ovoga Zakona, koordinira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(25) Informacijski sustav zaštite zraka iz članka 55. ovoga Zakona vodi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(26) Poslove evidencije i praćenja emisija onečišćujućih tvari u zrak iz pokretnih izvora iz članka 12. stavka 3. podstavka 1. i 2. ovoga Zakona kao javnu ovlast provodi Fakultet strojarstva i brodogradnje Sveučilišta u Zagrebu.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(27) Tijela državne uprave i pravne osobe s javnim ovlastima nadležna za registraciju vozila, tehničke preglede vozila, carinske poslove i službenu statistiku dužni su, bez naknade i u elektroničkom obliku, dostavljati podatke potrebne za obavljanje poslova iz stavka 26.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(28) </w:t>
      </w:r>
      <w:r>
        <w:rPr>
          <w:rFonts w:ascii="Arial" w:eastAsia="Arial" w:hAnsi="Arial" w:cs="Arial"/>
          <w:sz w:val="24"/>
          <w:szCs w:val="24"/>
        </w:rPr>
        <w:t xml:space="preserve">Ministarstvo u postupku izdavanja, izmjene i/ili dopune, te preispitivanja okolišne dozvole, u skladu sa zakonom kojim se uređuje zaštita okoliša, provodi i stručnu ocjenu zahtjeva operatera te izdaje mišljenje u kojem utvrđuje uvjete zaštite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(29) Nadležna tijela iz stavaka 3., 5., 8., 18. i 19. ovoga članka moraju biti usklađena sa zahtjevima za osiguranje kvalitete za procjenu kvalitete zraka i validaciju podataka.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(30) Građani, kao pojedinci i/ili organizirani radi zaštite zraka u strukovne udruge i udruge pridonose ostvarivanju ciljeva zaštite i poboljšanja kvalitete zraka te provedbi učinkovite zaštite i poboljšanja kvalitete zraka.</w:t>
      </w:r>
    </w:p>
    <w:p>
      <w:pPr>
        <w:pBdr/>
        <w:pStyle w:val="Heading 3"/>
        <w:spacing/>
        <w:ind/>
        <w:rPr/>
      </w:pPr>
      <w:r>
        <w:rPr/>
        <w:t xml:space="preserve">Promicanje točnosti modeliranja</w:t>
      </w:r>
    </w:p>
    <w:p>
      <w:pPr>
        <w:pBdr/>
        <w:pStyle w:val="Heading 4"/>
        <w:spacing/>
        <w:ind/>
        <w:rPr/>
      </w:pPr>
      <w:r>
        <w:rPr/>
        <w:t xml:space="preserve">Članak 10.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Promicanje točnosti primjena modeliranja iz članka 9. stavka 8. ovoga Zakona provodi se: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primjenom modeliranja za potrebe procjene iz članaka 21. i 22.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primjenom modeliranja za potrebe određivanja prostorne reprezentativnosti mjernih mjesta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primjenom modeliranja za potrebe izrade projekcija kvalitete zraka koji su sastavni dio planova za kvalitetu zraka iz članka 45.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primjenom modeliranja za potrebe izvješćivanja iz članka 57. ovoga Zakona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primjenom modeliranja za određivanje doprinosa pojedinog izvora emisija razinama onečišćujućih tvari u zraku za potrebe izrade planova za kvalitetu zraka iz članka 45. ovoga Zakona.</w:t>
      </w:r>
    </w:p>
    <w:p>
      <w:pPr>
        <w:pBdr/>
        <w:pStyle w:val="Heading 3"/>
        <w:spacing/>
        <w:ind/>
        <w:rPr/>
      </w:pPr>
      <w:r>
        <w:rPr/>
        <w:t xml:space="preserve">Nacionalni referentni laboratoriji, poslovi nacionalnih referentnih laboratorija i Povjerenstvo za praćenje rada Nacionalnih referentnih laboratorija</w:t>
      </w:r>
    </w:p>
    <w:p>
      <w:pPr>
        <w:pBdr/>
        <w:pStyle w:val="Heading 4"/>
        <w:spacing/>
        <w:ind/>
        <w:rPr/>
      </w:pPr>
      <w:r>
        <w:rPr/>
        <w:t xml:space="preserve">Članak 11.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Državni hidrometeorološki zavod je Nacionalni referentni laboratorij za: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mjerenje plinovitih onečišćujućih tvari: sumporovog dioksida, dušikovog dioksida i dušikovih oksida, benzena, ugljikovog monoksida, prizemnog ozona i ukupne plinovite žive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određivanje ukupnog taloženja arsena, kadmija, olova, nikla, žive, benzo(a)pirena i drugih policikličkih aromatskih ugljikovodika.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Institut za medicinska istraživanja i medicinu rada je Nacionalni referentni laboratorij za: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uzorkovanje i fizikalno-</w:t>
      </w:r>
      <w:r>
        <w:rPr>
          <w:rFonts w:ascii="Arial" w:eastAsia="Arial" w:hAnsi="Arial" w:cs="Arial"/>
          <w:sz w:val="24"/>
          <w:szCs w:val="24"/>
        </w:rPr>
        <w:t xml:space="preserve">kemijske analize lebdećih čestica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u dijelu koji se odnosi na određivanje arsena, kadmija, olova, nikla, benzo(a)pirena i ostalih policikličkih aromatskih ugljikovodika u zraku, elementnog ugljika (EC) i organskog ugljika (OC) u zraku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w:t>
      </w:r>
      <w:r>
        <w:rPr/>
        <w:t xml:space="preserve"> </w:t>
      </w:r>
      <w:r>
        <w:rPr>
          <w:rFonts w:ascii="Arial" w:eastAsia="Arial" w:hAnsi="Arial" w:cs="Arial"/>
          <w:sz w:val="24"/>
          <w:szCs w:val="24"/>
        </w:rPr>
        <w:t xml:space="preserve">uzorkovanje i određivanje </w:t>
      </w:r>
      <w:r>
        <w:rPr>
          <w:rFonts w:ascii="Arial" w:eastAsia="Arial" w:hAnsi="Arial" w:cs="Arial"/>
          <w:sz w:val="24"/>
          <w:szCs w:val="24"/>
        </w:rPr>
        <w:t xml:space="preserve">SO</w:t>
      </w:r>
      <w:r>
        <w:rPr>
          <w:rFonts w:ascii="Arial" w:eastAsia="Arial" w:hAnsi="Arial" w:cs="Arial"/>
          <w:sz w:val="24"/>
          <w:szCs w:val="24"/>
          <w:vertAlign w:val="subscript"/>
        </w:rPr>
        <w:t xml:space="preserve">4</w:t>
      </w:r>
      <w:r>
        <w:rPr>
          <w:rFonts w:ascii="Arial" w:eastAsia="Arial" w:hAnsi="Arial" w:cs="Arial"/>
          <w:sz w:val="24"/>
          <w:szCs w:val="24"/>
          <w:vertAlign w:val="superscript"/>
        </w:rPr>
        <w:t xml:space="preserve">2-</w:t>
      </w:r>
      <w:r>
        <w:rPr>
          <w:rFonts w:ascii="Arial" w:eastAsia="Arial" w:hAnsi="Arial" w:cs="Arial"/>
          <w:sz w:val="24"/>
          <w:szCs w:val="24"/>
        </w:rPr>
        <w:t xml:space="preserve">, Cl</w:t>
      </w:r>
      <w:r>
        <w:rPr>
          <w:rFonts w:ascii="Arial" w:eastAsia="Arial" w:hAnsi="Arial" w:cs="Arial"/>
          <w:sz w:val="24"/>
          <w:szCs w:val="24"/>
          <w:vertAlign w:val="superscript"/>
        </w:rPr>
        <w:t xml:space="preserve">-</w:t>
      </w:r>
      <w:r>
        <w:rPr>
          <w:rFonts w:ascii="Arial" w:eastAsia="Arial" w:hAnsi="Arial" w:cs="Arial"/>
          <w:sz w:val="24"/>
          <w:szCs w:val="24"/>
        </w:rPr>
        <w:t xml:space="preserve">, NH</w:t>
      </w:r>
      <w:r>
        <w:rPr>
          <w:rFonts w:ascii="Arial" w:eastAsia="Arial" w:hAnsi="Arial" w:cs="Arial"/>
          <w:sz w:val="24"/>
          <w:szCs w:val="24"/>
          <w:vertAlign w:val="subscript"/>
        </w:rPr>
        <w:t xml:space="preserve">4</w:t>
      </w:r>
      <w:r>
        <w:rPr>
          <w:rFonts w:ascii="Arial" w:eastAsia="Arial" w:hAnsi="Arial" w:cs="Arial"/>
          <w:b/>
          <w:sz w:val="24"/>
          <w:szCs w:val="24"/>
          <w:vertAlign w:val="superscript"/>
        </w:rPr>
        <w:t xml:space="preserve">+</w:t>
      </w:r>
      <w:r>
        <w:rPr>
          <w:rFonts w:ascii="Arial" w:eastAsia="Arial" w:hAnsi="Arial" w:cs="Arial"/>
          <w:sz w:val="24"/>
          <w:szCs w:val="24"/>
        </w:rPr>
        <w:t xml:space="preserve">, Na</w:t>
      </w:r>
      <w:r>
        <w:rPr>
          <w:rFonts w:ascii="Arial" w:eastAsia="Arial" w:hAnsi="Arial" w:cs="Arial"/>
          <w:b/>
          <w:sz w:val="24"/>
          <w:szCs w:val="24"/>
          <w:vertAlign w:val="superscript"/>
        </w:rPr>
        <w:t xml:space="preserve">+</w:t>
      </w:r>
      <w:r>
        <w:rPr>
          <w:rFonts w:ascii="Arial" w:eastAsia="Arial" w:hAnsi="Arial" w:cs="Arial"/>
          <w:sz w:val="24"/>
          <w:szCs w:val="24"/>
        </w:rPr>
        <w:t xml:space="preserve">, K</w:t>
      </w:r>
      <w:r>
        <w:rPr>
          <w:rFonts w:ascii="Arial" w:eastAsia="Arial" w:hAnsi="Arial" w:cs="Arial"/>
          <w:b/>
          <w:sz w:val="24"/>
          <w:szCs w:val="24"/>
          <w:vertAlign w:val="superscript"/>
        </w:rPr>
        <w:t xml:space="preserve">+</w:t>
      </w:r>
      <w:r>
        <w:rPr>
          <w:rFonts w:ascii="Arial" w:eastAsia="Arial" w:hAnsi="Arial" w:cs="Arial"/>
          <w:sz w:val="24"/>
          <w:szCs w:val="24"/>
        </w:rPr>
        <w:t xml:space="preserve">, Mg</w:t>
      </w:r>
      <w:r>
        <w:rPr>
          <w:rFonts w:ascii="Arial" w:eastAsia="Arial" w:hAnsi="Arial" w:cs="Arial"/>
          <w:sz w:val="24"/>
          <w:szCs w:val="24"/>
          <w:vertAlign w:val="superscript"/>
        </w:rPr>
        <w:t xml:space="preserve">2</w:t>
      </w:r>
      <w:r>
        <w:rPr>
          <w:rFonts w:ascii="Arial" w:eastAsia="Arial" w:hAnsi="Arial" w:cs="Arial"/>
          <w:b/>
          <w:sz w:val="24"/>
          <w:szCs w:val="24"/>
          <w:vertAlign w:val="superscript"/>
        </w:rPr>
        <w:t xml:space="preserve">+</w:t>
      </w:r>
      <w:r>
        <w:rPr>
          <w:rFonts w:ascii="Arial" w:eastAsia="Arial" w:hAnsi="Arial" w:cs="Arial"/>
          <w:sz w:val="24"/>
          <w:szCs w:val="24"/>
        </w:rPr>
        <w:t xml:space="preserve">, Ca</w:t>
      </w:r>
      <w:r>
        <w:rPr>
          <w:rFonts w:ascii="Arial" w:eastAsia="Arial" w:hAnsi="Arial" w:cs="Arial"/>
          <w:sz w:val="24"/>
          <w:szCs w:val="24"/>
          <w:vertAlign w:val="superscript"/>
        </w:rPr>
        <w:t xml:space="preserve">2</w:t>
      </w:r>
      <w:r>
        <w:rPr>
          <w:rFonts w:ascii="Arial" w:eastAsia="Arial" w:hAnsi="Arial" w:cs="Arial"/>
          <w:b/>
          <w:sz w:val="24"/>
          <w:szCs w:val="24"/>
          <w:vertAlign w:val="superscript"/>
        </w:rPr>
        <w:t xml:space="preserve">+</w:t>
      </w:r>
      <w:r>
        <w:rPr>
          <w:rFonts w:ascii="Arial" w:eastAsia="Arial" w:hAnsi="Arial" w:cs="Arial"/>
          <w:b/>
          <w:sz w:val="24"/>
          <w:szCs w:val="24"/>
        </w:rPr>
        <w:t xml:space="preserve"> </w:t>
      </w:r>
      <w:r>
        <w:rPr>
          <w:rFonts w:ascii="Arial" w:eastAsia="Arial" w:hAnsi="Arial" w:cs="Arial"/>
          <w:sz w:val="24"/>
          <w:szCs w:val="24"/>
        </w:rPr>
        <w:t xml:space="preserve">u PM</w:t>
      </w:r>
      <w:r>
        <w:rPr>
          <w:rFonts w:ascii="Arial" w:eastAsia="Arial" w:hAnsi="Arial" w:cs="Arial"/>
          <w:sz w:val="24"/>
          <w:szCs w:val="24"/>
          <w:vertAlign w:val="subscript"/>
        </w:rPr>
        <w:t xml:space="preserve">2,5</w:t>
      </w:r>
      <w:r>
        <w:rPr>
          <w:rFonts w:ascii="Arial" w:eastAsia="Arial" w:hAnsi="Arial" w:cs="Arial"/>
          <w:sz w:val="24"/>
          <w:szCs w:val="24"/>
        </w:rPr>
        <w:t xml:space="preserve"> u zraku.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Fakultet strojarstva i brodogradnje je Nacionalni referentni laboratorij za: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mjerenje emisija onečišćujućih tvari iz motora s unutarnjim izgaranjem za necestovne pokretne strojeve.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Nacionalni referentni laboratoriji iz stavaka 1. i 2 ovoga članka obavljaju sljedeće poslove: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sudjeluju na ispitivanjima sposobnosti međulaboratorijskim usporedbama s drugim referentnim laboratorijima država članica Europske unije koje organizira Europska komisija, najmanje svake tri godine za one referentne metode za koje se ispitivanja organiziraju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surađuju s referentnim laboratorijima za praćenje kvalitete zraka država članica Europske unije u svrhu osiguranja usporedivosti i kvalitete mjerenja i s Europskom komisijom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osiguravaju da se mjerenja provode referentnim metodama ili izdaju potvrde da se za druge metode mjerenja provode testovi ekvivalencije u skladu sa standardima Europske komisije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izdaju ispitnim laboratorijima Potvrdu o stručno-</w:t>
      </w:r>
      <w:r>
        <w:rPr>
          <w:rFonts w:ascii="Arial" w:eastAsia="Arial" w:hAnsi="Arial" w:cs="Arial"/>
          <w:sz w:val="24"/>
          <w:szCs w:val="24"/>
        </w:rPr>
        <w:t xml:space="preserve">tehničkoj osposobljenosti za svaku metodu mjerenja posebno na temelju provjere mjerne sljedivosti i rezultatima provedenog postupka ispitivanja ekvivalentnosti za druge metode mjerenja za koje je ispitni laboratorij podnio dokaz</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osiguravaju i provjeravaju mjernu sljedivost ispitnih laboratorija za praćenje kvalitete zraka kojima su izdali Potvrdu o stručno-</w:t>
      </w:r>
      <w:r>
        <w:rPr>
          <w:rFonts w:ascii="Arial" w:eastAsia="Arial" w:hAnsi="Arial" w:cs="Arial"/>
          <w:sz w:val="24"/>
          <w:szCs w:val="24"/>
        </w:rPr>
        <w:t xml:space="preserve">tehničkoj osposobljenosti u skladu s usklađenom normom za ispitne i umjerne laboratorije jedanput godišnje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podupiru rad Europske mreže referentnih laboratorija koju je osnovala Europska komisija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prate, proučavaju i unapređuju stanje u području praćenja kvalitete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pružaju znanstveno-</w:t>
      </w:r>
      <w:r>
        <w:rPr>
          <w:rFonts w:ascii="Arial" w:eastAsia="Arial" w:hAnsi="Arial" w:cs="Arial"/>
          <w:sz w:val="24"/>
          <w:szCs w:val="24"/>
        </w:rPr>
        <w:t xml:space="preserve">stručnu i tehničku pomoć iz područja praćenja kvalitete zraka na zahtjev Ministarstva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daju ocjene i mišljenja za metode, postupke i programe praćenja kvalitete zraka iz djelokruga nacionalnih referentnih laboratorija.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Nacionalni referentni laboratoriji iz stavaka 1. i 2. ovoga članka obavljaju poslove iz stavka 4. podstavaka 1. do 7. ovoga članka na način propisan pravilnikom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Nacionalni referentni laboratorij iz stavka 3. ovoga članka obavlja sljedeće poslove: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mjerenje emisija onečišćujućih tvari iz necestovnih pokretnih strojeva </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prikupljanje podataka i vođenje evidencije o emisijama onečišćujućih tvari iz pokretnih izvora iz članka 12. stavka 3. podstavka 1. i 2. ovoga Zakona </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dostava podataka o emisijama onečišćujućih tvari iz pokretnih izvora iz članka 12. stavka 3. podstavka 1. i 2. ovoga Zakona prema Zavodu za potrebe Registra iz članka 69. stavka 1. ovoga Zakona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izrada i dostava proračuna o emisijama onečišćujućih tvari iz pokretnih izvora iz članka 12. stavka 3. podstavka 1. i 2. ovoga Zakona prema Zavodu za potrebe izrade nacionalnih inventara emisija i izvješćivanja.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Uz poslove iz stavka 4. ovoga članka Nacionalni referentni laboratoriji iz stavaka 1. i 2. ovoga članka mogu obavljati i poslove iz članka 83. stavka 1. ovoga Zakona ako su akreditirani prema zahtjevu usklađene norme za ispitivanje sposobnosti i raspolažu mjernom opremom i radnim prostorom za potrebe provođenja redovitih ispitivanja sposobnosti ispitnih laboratorija za praćenje kvalitete zraka međulaboratorijskim usporedbama.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Sredstva za sudjelovanje nacionalnih referentnih laboratorija iz stavaka 1. i 2. ovoga članka na međunarodnim ispitivanjima sposobnosti laboratorija i za suradnju s državama članicama Europske unije i Europskom komisijom u svrhu osiguranja usporedivosti i kvalitete mjerenja osiguravaju se iz državnog proračuna Republike Hrvatske i/ili iz proračuna nacionalnih referentnih laboratorija.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Sredstva za obavljanje poslova Nacionalnog referentnog laboratorija iz stavka 3. ovoga članka osiguravaju se iz državnog proračuna Republike Hrvatske.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(10) Nacionalni referentni laboratoriji iz stavaka 1. i 2. ovoga članka dostavljaju Ministarstvu godišnji program rada za poslove iz stavka 4.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(11) Nacionalni referentni laboratorij iz stavka 3. ovoga članka dostavlja Državnom zavodu za mjeriteljstvo i Ministarstvu godišnji program rada za poslove iz stavka 6.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(12) Povjerenstvo za praćenje rada Nacionalnih referentnih laboratorija iz stavaka 1. i 2. ovoga članka osniva ministar odlukom, a način rada povjerenstva propisan je pravilnikom iz članka 23. ovoga Zakona.</w:t>
      </w:r>
    </w:p>
    <w:p>
      <w:pPr>
        <w:pBdr/>
        <w:pStyle w:val="Heading 3"/>
        <w:spacing/>
        <w:ind/>
        <w:rPr/>
      </w:pPr>
      <w:r>
        <w:rPr/>
        <w:t xml:space="preserve">Izvori onečišćenja zraka</w:t>
      </w:r>
    </w:p>
    <w:p>
      <w:pPr>
        <w:pBdr/>
        <w:pStyle w:val="Heading 4"/>
        <w:spacing/>
        <w:ind/>
        <w:rPr/>
      </w:pPr>
      <w:r>
        <w:rPr/>
        <w:t xml:space="preserve">Članak 12.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Izvori onečišćivanja zraka su nepokretni i pokretni emisijski izvori.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Nepokretni izvori jesu: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točkasti: kod kojih se onečišćujuće tvari ispuštaju u zrak kroz za to oblikovane ispuste iz postrojenja, tehnoloških procesa, industrijskih pogona, uređaja, građevina i slično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difuzni: kod kojih se onečišćujuće tvari unose u zrak bez određenog ispusta/dimnjaka iz uređaja, aktivnosti vezanih uz industrijska postrojenja i radne površine.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Pokretni izvori su prijevozna sredstva koja ispuštaju onečišćujuće tvari u zrak i to:</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cestovna motorna vozila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necestovni pokretni strojevi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željeznička vozila s vlastitim pogonom</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pomorski objekti i objekti unutarnje plovidbe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zrakoplovi.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Izvori iz stavka 1. ovoga članka moraju biti izgrađeni i/ili proizvedeni, opremljeni, korišteni i održavani tako da ne ispuštaju u zrak onečišćujuće tvari iznad graničnih vrijednosti emisije, odnosno da ne ispuštaju/unose u zrak onečišćujuće tvari u količinama koje mogu narušiti kvalitetu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Granične vrijednosti emisija onečišćujućih tvari iz pokretnih izvora propisuju se posebnim propisima kojima se uređuju emisije za svaki od pokretnih izvora iz stavka 3.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Nepokretni izvori u smislu stavka 2. ovoga članka nisu građevine i uređaji u kojima se priprema hrana ili su uvjeti i način rada za te građevine i uređaje određeni posebnim propisom</w:t>
      </w:r>
      <w:r>
        <w:rPr>
          <w:rFonts w:ascii="Arial" w:eastAsia="Arial" w:hAnsi="Arial" w:cs="Arial"/>
          <w:i/>
          <w:iCs/>
          <w:sz w:val="24"/>
          <w:szCs w:val="24"/>
        </w:rPr>
        <w:t xml:space="preserve"> </w:t>
      </w:r>
      <w:r>
        <w:rPr>
          <w:rFonts w:ascii="Arial" w:eastAsia="Arial" w:hAnsi="Arial" w:cs="Arial"/>
          <w:sz w:val="24"/>
          <w:szCs w:val="24"/>
        </w:rPr>
        <w:t xml:space="preserve">kojim se uređuje područje obavljanja ugostiteljske djelatnosti.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Nepokretni izvori u smislu stavka 2. ovoga članka nisu površine i druga mjesta na kojima se jednokratno ili povremeno provodi agrotehnička mjera gnojidbe stajskim gnojem ili su uvjeti određeni posebnim propisima.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Nepokretni izvori u smislu stavka 2. ovog članka nisu površine i druga mjesta na kojima se skladišti građevni materijal te drugi materijali i sirovine, uključujući i privremeno skladištenje.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Nepokretni izvori u smislu stavka 2. ovog članka nisu lokacije na kojima se izvode građevinski radovi prema posebnom propisu kojim se uređuje građenje.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(10) Nepokretni izvori u smislu stavka 2. ovoga članka nisu kućna ložišta fizičkih osoba s obzirom na to da se ne smatraju postrojenjima u smislu ovoga Zakona i čiji su uvjeti rada i održavanja određeni posebnim propisima.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(11) Emisije iz nepokretnih izvora iz stavaka 6. do 10. ovoga članka uzimaju se u obzir pri procjenjivanju kvalitete zraka, izradi inventara emisija, modeliranju kvalitete zraka te izradi i provedbi planova za kvalitetu zraka, planova djelovanja za kvalitetu zraka i kratkoročnih akcijskih planova iz ovoga Zakona, kada se procjenom utvrdi da je njihov utjecaj značajan.</w:t>
      </w:r>
    </w:p>
    <w:p>
      <w:pPr>
        <w:pBdr/>
        <w:pStyle w:val="Heading 2"/>
        <w:spacing/>
        <w:ind/>
        <w:rPr/>
      </w:pPr>
      <w:r>
        <w:rPr/>
        <w:t xml:space="preserve">GLAVA II.</w:t>
      </w:r>
    </w:p>
    <w:p>
      <w:pPr>
        <w:pBdr/>
        <w:pStyle w:val="Heading 2"/>
        <w:spacing/>
        <w:ind/>
        <w:rPr/>
      </w:pPr>
      <w:r>
        <w:rPr/>
        <w:t xml:space="preserve">AKTI STRATEŠKOG PLANIRANJA</w:t>
      </w:r>
    </w:p>
    <w:p>
      <w:pPr>
        <w:pBdr/>
        <w:pStyle w:val="Heading 3"/>
        <w:spacing/>
        <w:ind/>
        <w:rPr/>
      </w:pPr>
      <w:r>
        <w:rPr/>
        <w:t xml:space="preserve">Plan zaštite zraka</w:t>
      </w:r>
    </w:p>
    <w:p>
      <w:pPr>
        <w:pBdr/>
        <w:pStyle w:val="Heading 4"/>
        <w:spacing/>
        <w:ind/>
        <w:rPr/>
      </w:pPr>
      <w:r>
        <w:rPr/>
        <w:t xml:space="preserve">Članak 13.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Plan zaštite zraka određuje ciljeve i prioritete u zaštiti zraka u Republici Hrvatskoj te je sastavni dio Plana zaštite okoliša koji se donosi u skladu sa zakonom kojim se uređuje zaštita okoliša.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Plan zaštite zraka iz stavka 1. ovoga članka sadrži: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ocjenu stanja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prioritetne mjere i aktivnosti u području zaštite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preventivne mjere za očuvanje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 za postizanje graničnih vrijednosti za određene onečišćujuće tvari u zraku u zadanom roku ako su prekoračene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 za postizanje dugoročnih ciljeva za prizemni ozon u zraku</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 za smanjivanje emisija onečišćujućih tvari po djelatnostima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 za smanjivanje emisija postojanih organskih onečišćujućih tvari i teških metala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 za poticanje porasta energetske učinkovitosti i uporabu obnovljive energije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 za smanjivanje ukupnih emisija iz prometa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 za smanjivanje nepovoljnih učinaka zakiseljavanja, eutrofikacije i fotokemijskog onečišćenja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način provedbe, redoslijed ostvarivanja i rokove izvršavanja mjera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obveznike provedbe mjera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međunarodne obveze Republike Hrvatske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procjenu sredstava za provedbu Plana i redoslijed korištenja sredstava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analizu troškova i time stvorene koristi poboljšanja kvalitete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Plan zaštite zraka iz stavka 1. ovoga članka donosi Vlada odlukom.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Plan zaštite zraka iz stavka 1. ovoga članka se donosi za razdoblje od deset godina.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Plan se objavljuje u »Narodnim novinama«.</w:t>
      </w:r>
    </w:p>
    <w:p>
      <w:pPr>
        <w:pBdr/>
        <w:pStyle w:val="Heading 3"/>
        <w:spacing/>
        <w:ind/>
        <w:rPr/>
      </w:pPr>
      <w:r>
        <w:rPr/>
        <w:t xml:space="preserve">Izvješće o stanju kvalitete zraka za područje Republike Hrvatske</w:t>
      </w:r>
    </w:p>
    <w:p>
      <w:pPr>
        <w:pBdr/>
        <w:pStyle w:val="Heading 4"/>
        <w:spacing/>
        <w:ind/>
        <w:rPr/>
      </w:pPr>
      <w:r>
        <w:rPr/>
        <w:t xml:space="preserve">Članak 14.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Za potrebe praćenja ostvarenja ciljeva Plana iz članka 13. ovoga Zakona i drugih dokumenata važnih za zaštitu zraka te za uvid u stanje kvalitete zraka izrađuje se Izvješće o stanju kvalitete zraka za područje Republike Hrvatske (u daljnjem tekstu: Izvješće) za razdoblje od pet godina.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Izvješće iz stavka 1. ovoga članka sadrži: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stanje kvalitete zraka: područja i razine onečišćenosti, trajanje određenih znakovitih razina onečišćenosti, opće informacije o području, vrste i ocjene onečišćivanja, </w:t>
      </w:r>
      <w:r>
        <w:rPr>
          <w:rFonts w:ascii="Arial" w:eastAsia="Arial" w:hAnsi="Arial" w:cs="Arial"/>
          <w:sz w:val="24"/>
          <w:szCs w:val="24"/>
        </w:rPr>
        <w:t xml:space="preserve">porijeklo onečišćenosti, analiza čimbenika koji su uzrokovali onečišćenost zraka, pojedinosti o poduzetim mjerama i projektima za poboljšanje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ocjenu provedenih mjera i njihove učinkovitosti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ostvarivanje mjera iz Plana i drugih dokumenata zaštite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obveza iz međunarodnih ugovora iz područja zaštite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o inspekcijskom postupanju i izrečenim kaznama prema odredbama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o korištenju financijskih sredstava za zaštitu i poboljšanje kvalitete zraka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prijedlog izmjena i dopuna postojećih dokumenata te druge podatke od značenja za zaštitu kvalitete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Izvješće iz stavka 1. ovoga članka izrađuje Zavod, a Ministarstvo ga podnosi Vladi.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Izvješće iz stavka 1. ovoga članka se objavljuje na mrežnim stranicama Ministarstva.</w:t>
      </w:r>
    </w:p>
    <w:p>
      <w:pPr>
        <w:pBdr/>
        <w:pStyle w:val="Heading 3"/>
        <w:spacing/>
        <w:ind/>
        <w:rPr/>
      </w:pPr>
      <w:r>
        <w:rPr/>
        <w:t xml:space="preserve">Program zaštite zraka</w:t>
      </w:r>
    </w:p>
    <w:p>
      <w:pPr>
        <w:pBdr/>
        <w:pStyle w:val="Heading 4"/>
        <w:spacing/>
        <w:ind/>
        <w:rPr/>
      </w:pPr>
      <w:r>
        <w:rPr/>
        <w:t xml:space="preserve">Članak 15.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Predstavničko tijelo jedinice područne (regionalne) samouprave, Grada Zagreba i velikoga grada donosi Program zaštite zraka koji može biti sastavni dio programa zaštite okoliša za područje područne (regionalne) samouprave, Grada Zagreba i velikoga grada i koji se donosi u skladu sa zakonom kojim se uređuje zaštita okoliša.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Program zaštite zraka iz stavka 1. ovoga članka sadrži: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ocjenu stanja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prioritetne mjere i aktivnosti u području zaštite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preventivne mjere za očuvanje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 za smanjivanje emisija onečišćujućih tvari po djelatnostima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 za smanjivanje ukupnih emisija iz prometa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 za poticanje porasta energetske učinkovitosti i uporabu obnovljive energije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način provedbe, redoslijed ostvarivanja i rokove izvršavanja mjera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obveznike provedbe mjera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procjenu sredstava za provedbu programa i redoslijed korištenja sredstava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analizu troškova i time stvorene koristi poboljšanja kvalitete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Program zaštite zraka iz stavka 1. ovoga članka se donosi za razdoblje od četiri godine.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Predstavničko tijelo jedinice lokalne i područne (regionalne) samouprave Program zaštite zraka iz stavka 1. ovoga članka objavljuje u službenom glasilu.</w:t>
      </w:r>
    </w:p>
    <w:p>
      <w:pPr>
        <w:pBdr/>
        <w:pStyle w:val="Heading 3"/>
        <w:spacing/>
        <w:ind/>
        <w:rPr/>
      </w:pPr>
      <w:r>
        <w:rPr/>
        <w:t xml:space="preserve">Izvješće o provedbi Programa zaštite zraka</w:t>
      </w:r>
    </w:p>
    <w:p>
      <w:pPr>
        <w:pBdr/>
        <w:pStyle w:val="Heading 4"/>
        <w:spacing/>
        <w:ind/>
        <w:rPr/>
      </w:pPr>
      <w:r>
        <w:rPr/>
        <w:t xml:space="preserve">Članak 16.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O provedbi Programa zaštite zraka iz članka 15. ovoga Zakona upravno tijelo područne (regionalne) samouprave, Grada Zagreba i velikoga grada nadležno za </w:t>
      </w:r>
      <w:r>
        <w:rPr>
          <w:rFonts w:ascii="Arial" w:eastAsia="Arial" w:hAnsi="Arial" w:cs="Arial"/>
          <w:sz w:val="24"/>
          <w:szCs w:val="24"/>
        </w:rPr>
        <w:t xml:space="preserve">zaštitu okoliša (u daljnjem tekstu: nadležno upravno tijelo) izrađuje izvješće za razdoblje od četiri godine koje usvaja predstavničko tijelo područne (regionalne) samouprave, Grada Zagreba i velikoga grada.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Sadržaj Izvješća iz stavka 1. ovoga članka sukladan je propisanom sadržaju Izvješća iz članka 14. stavka 2.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Predstavničko tijelo jedinice lokalne i područne (regionalne) samouprave objavljuje Izvješće u službenom glasilu.</w:t>
      </w:r>
    </w:p>
    <w:p>
      <w:pPr>
        <w:pBdr/>
        <w:pStyle w:val="Heading 3"/>
        <w:spacing/>
        <w:ind/>
        <w:rPr/>
      </w:pPr>
      <w:r>
        <w:rPr/>
        <w:t xml:space="preserve">Program kontrole onečišćenja zraka</w:t>
      </w:r>
    </w:p>
    <w:p>
      <w:pPr>
        <w:pBdr/>
        <w:pStyle w:val="Heading 4"/>
        <w:spacing/>
        <w:ind/>
        <w:rPr/>
      </w:pPr>
      <w:r>
        <w:rPr/>
        <w:t xml:space="preserve">Članak 17.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 cilju postizanja sukladnosti s nacionalnim obvezama smanjenja emisija utvrđenih u uredbi iz članka 62. ovoga Zakona izrađuje se, usvaja i provodi Program kontrole onečišćenja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Nositelj izrade Programa kontrole onečišćenja zraka je Ministarstvo.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Sadržaj i način izrade Programa kontrole onečišćenja zraka se donosi u skladu s uredbom iz članka 62.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Program kontrole onečišćenja zraka na prijedlog Ministarstva donosi Vlada odlukom.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Ministarstvo o prijedlogu Programa kontrole onečišćenja zraka i svim izmjenama i dopunama, prije dovršetka prijedloga te donošenja od strane Vlade, provodi savjetovanje s javnošću u skladu s nacionalnim propisima, kojima je uređeno sudjelovanje javnosti u pitanjima zaštite okoliša i savjetovanje s nadležnim tijelima za koja je vjerojatno da se, zbog njihovih posebnih okolišnih nadležnosti u području onečišćenja zraka, kvalitete i upravljanja na nacionalnoj razini, na njih odnosi provedba Programa kontrole onečišćenja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Ministarstvo o prijedlogu Programa kontrole onečišćenja zraka i svim bitnim izmjenama i dopunama, prije dovršetka prijedloga te donošenja od strane Vlade, prema potrebi provodi i prekogranična savjetovanja.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Program kontrole onečišćenja zraka izmjenjuje se i dopunjuje najmanje svake četiri godine.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Politike i mjere smanjenja emisija sadržane u Programu kontrole onečišćenja zraka ažuriraju se u roku od 18 mjeseci od podnošenja najnovijeg inventara emisija ili nacionalnih projekcija emisija na području Republike Hrvatske ako se prema podnesenim podacima obveze smanjenja emisija utvrđenih u uredbi iz članka 62. ovoga Zakona ne poštuju ili postoji rizik nepoštovanja.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Program kontrole onečišćenja zraka te njegove izmjene i dopune objavljuju se na mrežnim stranicama Ministarstva.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(10) Ministarstvo obavještava Europsku komisiju o donošenju Programa kontrole onečišćenja zraka i o donošenju izmjena i dopuna Programa kontrole onečišćenja zraka te dostavlja relevantne informacije iz Programa kontrole onečišćenja zraka u odgovarajućem formatu.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(11) O donošenju izmjena i dopuna Programa kontrole onečišćenja zraka Ministarstvo obavještava Europsku komisiju u roku od dva mjeseca od donošenja.</w:t>
      </w:r>
    </w:p>
    <w:p>
      <w:pPr>
        <w:pBdr/>
        <w:pStyle w:val="Heading 3"/>
        <w:spacing/>
        <w:ind/>
        <w:rPr/>
      </w:pPr>
      <w:r>
        <w:rPr/>
        <w:t xml:space="preserve">Savjetovanje s javnošću pri izradi Plana zaštite zraka, Programa zaštite zraka i Programa kontrole onečišćenja zraka</w:t>
      </w:r>
    </w:p>
    <w:p>
      <w:pPr>
        <w:pBdr/>
        <w:pStyle w:val="Heading 4"/>
        <w:spacing/>
        <w:ind/>
        <w:rPr/>
      </w:pPr>
      <w:r>
        <w:rPr/>
        <w:t xml:space="preserve">Članak 18.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Tijela nadležna za donošenje Plana iz članka 13. ovoga Zakona i Izvješća iz članka 14. ovoga Zakona dužna su, u skladu sa zakonom kojim se uređuje pravo na pristup informacijama i uredbom kojom se uređuje informiranje i sudjelovanje javnosti u pitanjima zaštite okoliša, o nacrtima tih planova, kao i o svim njihovim značajnim izmjenama i dopunama, provesti savjetovanje s javnošću i s nadležnim tijelima na koja će se, s obzirom na njihove odgovornosti u području onečišćenja zraka i kvalitete zraka, vjerojatno odnositi provedba plana.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Ovaj članak primjenjuje se na odgovarajući način i na donošenje Programa zaštite zraka iz članka 15. ovoga Zakona i izvješća područne (regionalne) samouprave, Grada Zagreba i velikoga grada iz članka 16. ovoga Zakona te na donošenje Programa kontrole onečišćenja zraka iz članka 17. ovoga Zakona.</w:t>
      </w:r>
    </w:p>
    <w:p>
      <w:pPr>
        <w:pBdr/>
        <w:pStyle w:val="Heading 3"/>
        <w:spacing/>
        <w:ind/>
        <w:rPr/>
      </w:pPr>
      <w:r>
        <w:rPr/>
        <w:t xml:space="preserve">Nacionalni planovi, programi i izvješća</w:t>
      </w:r>
    </w:p>
    <w:p>
      <w:pPr>
        <w:pBdr/>
        <w:pStyle w:val="Heading 4"/>
        <w:spacing/>
        <w:ind/>
        <w:rPr/>
      </w:pPr>
      <w:r>
        <w:rPr/>
        <w:t xml:space="preserve">Članak 19.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Radi provedbe ispunjenja ugovornih obveza preuzetih međunarodnim ugovorima i sporazumima iz područja zaštite zraka prema potrebi se donose nacionalni planovi, programi i izvješća.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Prijedlog planova, programa i izvješća iz stavka 1. ovoga članka izrađuje Ministarstvo, a odlukom donosi Vlada.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Planovi, programi i izvješća iz stavka 1. ovoga članka objavljuju se na mrežnim stranicama Ministarstva.</w:t>
      </w:r>
    </w:p>
    <w:p>
      <w:pPr>
        <w:pBdr/>
        <w:pStyle w:val="Heading 2"/>
        <w:spacing/>
        <w:ind/>
        <w:rPr/>
      </w:pPr>
      <w:r>
        <w:rPr/>
        <w:t xml:space="preserve">GLAVA III.</w:t>
      </w:r>
    </w:p>
    <w:p>
      <w:pPr>
        <w:pBdr/>
        <w:pStyle w:val="Heading 2"/>
        <w:spacing/>
        <w:ind/>
        <w:rPr/>
      </w:pPr>
      <w:r>
        <w:rPr/>
        <w:t xml:space="preserve">PRAĆENJE, PROCJENA KVALITETE ZRAKA I STOPA TALOŽENJA</w:t>
      </w:r>
    </w:p>
    <w:p>
      <w:pPr>
        <w:pBdr/>
        <w:pStyle w:val="Heading 3"/>
        <w:spacing/>
        <w:ind/>
        <w:rPr/>
      </w:pPr>
      <w:r>
        <w:rPr/>
        <w:t xml:space="preserve">Uspostavljanje zona i prostornih jedinica prosječne izloženosti</w:t>
      </w:r>
    </w:p>
    <w:p>
      <w:pPr>
        <w:pBdr/>
        <w:pStyle w:val="Heading 4"/>
        <w:spacing/>
        <w:ind/>
        <w:rPr/>
      </w:pPr>
      <w:r>
        <w:rPr/>
        <w:t xml:space="preserve">Članak 20.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Za potrebe procjene kvalitete zraka i upravljanje kvalitetom zraka na teritoriju Republike Hrvatske uspostavljaju se zone, prostorne jedinice za prizemni ozon i prostorne jedinice prosječne izloženosti za PM</w:t>
      </w:r>
      <w:r>
        <w:rPr>
          <w:rFonts w:ascii="Arial" w:eastAsia="Arial" w:hAnsi="Arial" w:cs="Arial"/>
          <w:sz w:val="24"/>
          <w:szCs w:val="24"/>
          <w:vertAlign w:val="subscript"/>
        </w:rPr>
        <w:t xml:space="preserve">2,5</w:t>
      </w:r>
      <w:r>
        <w:rPr>
          <w:rFonts w:ascii="Arial" w:eastAsia="Arial" w:hAnsi="Arial" w:cs="Arial"/>
          <w:sz w:val="24"/>
          <w:szCs w:val="24"/>
        </w:rPr>
        <w:t xml:space="preserve"> i NO</w:t>
      </w:r>
      <w:r>
        <w:rPr>
          <w:rFonts w:ascii="Arial" w:eastAsia="Arial" w:hAnsi="Arial" w:cs="Arial"/>
          <w:sz w:val="24"/>
          <w:szCs w:val="24"/>
          <w:vertAlign w:val="subscript"/>
        </w:rPr>
        <w:t xml:space="preserve">2</w:t>
      </w:r>
      <w:r>
        <w:rPr>
          <w:rFonts w:ascii="Arial" w:eastAsia="Arial" w:hAnsi="Arial" w:cs="Arial"/>
          <w:sz w:val="24"/>
          <w:szCs w:val="24"/>
        </w:rPr>
        <w:t xml:space="preserve">, uključujući, ako je primjereno i aglomeracije.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Procjena kvalitete zraka i upravljanje kvalitetom zraka provode se u svim zonama, prostornim jedinicama za prizemni ozon i prostornim jedinicama prosječne izloženosti.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Ocjenu kvalitete zraka na teritoriju Republike Hrvatske za razdoblje od pet godina izrađuje Državni hidrometeorološki zavod na temelju procjenjivanja koje se provodi u skladu s člankom 9. stavkom 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Ocjenu kvalitete zraka iz stavka 3. ovoga članka donosi ministar odlukom.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Ocjena kvalitete zraka objavljuje se na mrežnim stranicama Ministarstva.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Zone, prostorne jedinice za prizemni ozon i prostorne jedinice prosječne izloženosti te njihovu klasifikaciju prema razinama onečišćenosti zraka na temelju Ocjene kvalitete zraka iz stavka 3. ovoga članka propisuje Vlada uredbom.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U slučaju značajnih promjena u djelatnostima koje mogu utjecati na koncentracije onečišćujućih tvari u zraku, klasifikacija zona iz stavka 6. ovoga članka se može provjeriti i ranije od roka utvrđenoga u stavku 3.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Ako se na temelju Ocjene kvalitete zraka iz stavka 3. ovoga članka utvrdi promjena u klasifikaciji zona ili prostornih jedinica prosječne izloženosti, Vlada izmjenjuje uredbu iz stavka 6. ovoga članka ili donosi novu u roku od 12 mjeseci od donošenja Ocjene.</w:t>
      </w:r>
    </w:p>
    <w:p>
      <w:pPr>
        <w:pBdr/>
        <w:pStyle w:val="Heading 3"/>
        <w:spacing/>
        <w:ind/>
        <w:rPr/>
      </w:pPr>
      <w:r>
        <w:rPr/>
        <w:t xml:space="preserve">Način procjene</w:t>
      </w:r>
    </w:p>
    <w:p>
      <w:pPr>
        <w:pBdr/>
        <w:pStyle w:val="Heading 4"/>
        <w:spacing/>
        <w:ind/>
        <w:rPr/>
      </w:pPr>
      <w:r>
        <w:rPr/>
        <w:t xml:space="preserve">Članak 21.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Pragovi procjene utvrđeni u Dodatku II. ovoga Zakona primjenjuju se na sumporov dioksid, dušikov dioksid i dušikove okside, lebdeće čestice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benzen, ugljikov monoksid, arsen, kadmij, olovo, nikal, benzo(a)piren i prizemni ozon u zraku, a svaka zona klasificira se u odnosu na te pragove procjene.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Klasifikacija iz stavka 1. ovoga članka preispituje se najmanje svakih pet godina u skladu s postupkom utvrđenim u stavcima 4. i 5.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Klasifikacija se češće preispituje u slučaju promjena u aktivnostima koje utječu na koncentracije u zraku sumporova dioksida, dušikova dioksida i dušikovih oksida, lebdećih čestica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benzena, ugljikova monoksida, arsena, kadmija, olova, nikla, benzo(a)pirena ili prizemnog ozona.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Prekoračenja pragova procjene utvrđenih u Dodatku II. ovoga Zakona određuju se na temelju koncentracija tijekom prethodnih pet godina ako postoji dovoljno podataka, a prag procjene je prekoračen ako je prekoračen tijekom najmanje tri odvojene godine u prethodnih pet godina.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Ako su dostupni podatci za manje od pet godina, mogu se kombinirati kratkotrajne mjerne kampanje indikativnim mjerenjima tijekom razdoblja od godinu dana i na lokacijama koje su vjerojatno tipične za najviše razine onečišćenja, s informacijama iz registra emisija i rezultatima dobivenima iz primjena modeliranja, kako bi odredile prekoračenja pragova procjene.</w:t>
      </w:r>
    </w:p>
    <w:p>
      <w:pPr>
        <w:pBdr/>
        <w:pStyle w:val="Heading 3"/>
        <w:spacing/>
        <w:ind/>
        <w:rPr/>
      </w:pPr>
      <w:r>
        <w:rPr/>
        <w:t xml:space="preserve">Kriteriji procjene</w:t>
      </w:r>
    </w:p>
    <w:p>
      <w:pPr>
        <w:pBdr/>
        <w:pStyle w:val="Heading 4"/>
        <w:spacing/>
        <w:ind/>
        <w:rPr/>
      </w:pPr>
      <w:r>
        <w:rPr/>
        <w:t xml:space="preserve">Članak 22.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Procjenjivanje kvalitete zraka provodi se u svim zonama s obzirom na onečišćujuće tvari iz članka 21. stavka 1. ovoga Zakona, u skladu s kriterijima utvrđenima u stavcima od 2. do 13. ovoga članka i pravilnikom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 svim zonama klasificiranima iznad pragova procjene utvrđenih za onečišćujuće tvari iz članka 21. stavka 1. ovoga Zakona, za procjenu kvalitete zraka koriste se mjerenja na stalnim mjestima.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Mjerenja na stalnim mjestima iz stavka 2. ovoga članka mogu se dopuniti primjenom modeliranja ili indikativnim mjerenjima za procjenu kvalitete zraka kako bi </w:t>
      </w:r>
      <w:r>
        <w:rPr>
          <w:rFonts w:ascii="Arial" w:eastAsia="Arial" w:hAnsi="Arial" w:cs="Arial"/>
          <w:sz w:val="24"/>
          <w:szCs w:val="24"/>
        </w:rPr>
        <w:t xml:space="preserve">se dobile odgovarajuće informacije o prostornoj raspoređenosti onečišćujućih tvari u zraku i prostornoj reprezentativnosti mjerenja na stalnim mjernim mjestima.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Dvije godine nakon donošenja provedbenog akta koji se odnosi na tehničke detalje primjene modeliranja i indikativnih mjerenja za procjenjivanje kvalitete zraka te određivanja prostorne reprezentativnosti za točke uzorkovanja, uz mjerenja na stalnim mjestima primjenjuje se modeliranje ili indikativna mjerenja kako bi se procijenila kvaliteta zraka u svim zonama u kojima razina onečišćujućih tvari prekoračuje relevantnu graničnu vrijednost ili ciljnu vrijednost utvrđenu u Dodatku I.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Primjene modeliranja ili indikativna mjerenja iz stavka 4. ovoga članka pružaju informacije o prostornoj raspoređenosti onečišćujućih tvari, a kada se upotrebljavaju primjene modeliranja, one pružaju i informacije o prostornoj reprezentativnosti mjerenja na stalnim mjestima i provode se onoliko često koliko je to primjereno, a najmanje svakih pet godina.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U svim zonama klasificiranima ispod pragova procjene utvrđenih za onečišćujuće tvari iz članka 21. stavka 1. ovoga Zakona, za procjenu kvalitete zraka dovoljno je koristiti primjene modeliranja, indikativna mjerenja ili objektivne procjene, ili njihovu kombinaciju.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Rezultati modeliranja primijenjenoga u skladu sa stavcima 4. i 5. ili stavkom 6. ovoga članka ili člankom 24. stavkom 3. ovoga Zakona ili indikativnih mjerenja uzimaju se u obzir u svrhu procjene kvalitete zraka s obzirom na granične vrijednosti i ciljne vrijednosti.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Ako primjene modeliranja koje se upotrebljavaju u skladu sa stavcima 4. i 5. ili 6. ovoga članka pokažu da je prekoračena bilo koja granična vrijednost ili ciljna vrijednost u području zone koje nije obuhvaćeno mjerenjima na stalnim mjestima i njihovom području prostorne reprezentativnosti, može se upotrijebiti barem jedno dodatno mjerenje na stalnim mjestima ili indikativno mjerenje na mogućim dodatnim kritičnim točkama onečišćenja zraka u zoni kako je utvrđeno primjenom modeliranja.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Ako primjene modeliranja koje se upotrebljavaju u skladu s člankom 24. stavkom 3. ovoga Zakona pokažu prekoračenje bilo koje granične vrijednosti ili ciljne vrijednosti u području zone koje nije obuhvaćeno mjerenjima na stalnim mjestima i njihovom području prostorne reprezentativnosti, na mogućim dodatnim kritičnim točkama onečišćenja zraka u zoni, kako je utvrđena primjenom modeliranja, upotrebljava se najmanje jedno dodatno mjerenje na stalnim mjestima ili indikativno mjerenje.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(10) Ako se upotrebljavaju dodatna mjerenja na stalnim mjestima, ta se mjerenja utvrđuju u roku od dvije kalendarske godine nakon prekoračenja utvrđenog primjenom modeliranja.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(11) Ako se upotrebljavaju dodatna indikativna mjerenja, ta se mjerenja utvrđuju u roku od jedne kalendarske godine nakon prekoračenja utvrđenog primjenom modeliranja.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(12) Mjerenja iz stavka 10. i 11. ovoga članka provode se najmanje jednu kalendarsku godinu u skladu s minimalnim zahtjevima u pogledu obuhvata podataka utvrđenima pravilnikom iz članka 23. ovoga Zakona kako bi se procijenila razina koncentracije relevantne onečišćujuće tvari.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(13) Ako se odabere ne provoditi dodatna mjerenja na stalnim mjestima ili indikativna mjerenja, za procjenu kvalitete zraka upotrebljava se prekoračenje koje je dobiveno primjenom modeliranja.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(14) Upotreba bio-</w:t>
      </w:r>
      <w:r>
        <w:rPr>
          <w:rFonts w:ascii="Arial" w:eastAsia="Arial" w:hAnsi="Arial" w:cs="Arial"/>
          <w:sz w:val="24"/>
          <w:szCs w:val="24"/>
        </w:rPr>
        <w:t xml:space="preserve">indikatora razmatra se ako je potrebno procijeniti regionalne obrasce utjecaja na ekosustave, među ostalim u skladu s praćenjem koje se provodi na temelju nacionalnog propisa o smanjenju nacionalnih emisija određenih onečišćujućih tvari u zraku.</w:t>
      </w:r>
    </w:p>
    <w:p>
      <w:pPr>
        <w:pBdr/>
        <w:pStyle w:val="Heading 3"/>
        <w:spacing/>
        <w:ind/>
        <w:rPr/>
      </w:pPr>
      <w:r>
        <w:rPr/>
        <w:t xml:space="preserve">Praćenje kvalitete zraka</w:t>
      </w:r>
    </w:p>
    <w:p>
      <w:pPr>
        <w:pBdr/>
        <w:pStyle w:val="Heading 4"/>
        <w:spacing/>
        <w:ind/>
        <w:rPr/>
      </w:pPr>
      <w:r>
        <w:rPr/>
        <w:t xml:space="preserve">Članak 23.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Način praćenja kvalitete zraka, pravila za procjenjivanje kvalitete zraka i lokacije točaka uzorkovanja, razmještaj točaka uzorkovanja na makrorazini i mikrorazini, odabir lokacija, njihova preispitivanja i dokumentacija, kriteriji za određivanje najmanjeg broja točaka uzorkovanja, ciljevi kvalitete podataka za mjerenje i primjenu modeliranja, referentne metode za procjenjivanje koncentracija u zraku i stope taloženja,</w:t>
      </w:r>
      <w:r>
        <w:rPr>
          <w:rFonts w:ascii="Arial" w:eastAsia="Arial" w:hAnsi="Arial" w:cs="Arial"/>
          <w:sz w:val="24"/>
          <w:szCs w:val="24"/>
        </w:rPr>
        <w:t xml:space="preserve"> </w:t>
      </w:r>
      <w:r>
        <w:rPr>
          <w:rFonts w:ascii="Arial" w:eastAsia="Arial" w:hAnsi="Arial" w:cs="Arial"/>
          <w:sz w:val="24"/>
          <w:szCs w:val="24"/>
        </w:rPr>
        <w:t xml:space="preserve">uvjeti primjene modeliranja kvalitete zraka, način dokazivanja ekvivalentnosti za druge metode mjerenja, način provjere kvalitete mjerenja i podataka, kao i način obrade i prikaza rezultata i usklađenost s hrvatskim normama, način provjere ispravnosti i umjeravanja mjernih instrumenata, mjerenja onečišćujućih tvari na gradskim pozadinskim i ruralnim pozadinskim superlokacijama za praćenje kvalitete zraka, način dostavljanja podataka za potrebe informacijskog sustava zaštite zraka i sadržaj godišnjeg izvješća propisuje ministar pravilnikom.</w:t>
      </w:r>
    </w:p>
    <w:p>
      <w:pPr>
        <w:pBdr/>
        <w:pStyle w:val="Heading 3"/>
        <w:spacing/>
        <w:ind/>
        <w:rPr/>
      </w:pPr>
      <w:r>
        <w:rPr/>
        <w:t xml:space="preserve">Točke uzorkovanja</w:t>
      </w:r>
    </w:p>
    <w:p>
      <w:pPr>
        <w:pBdr/>
        <w:pStyle w:val="Heading 4"/>
        <w:spacing/>
        <w:ind/>
        <w:rPr>
          <w:bCs/>
        </w:rPr>
      </w:pPr>
      <w:r>
        <w:rPr/>
        <w:t xml:space="preserve">Članak 24.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Lokacije točaka uzorkovanja za mjerenje onečišćujućih tvari iz članka 21. stavka 1. ovoga Zakona određuju se u skladu s kriterijima iz pravilnika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 svakoj zoni u kojoj razina onečišćujućih tvari prekoračuje prag procjene utvrđen u Dodatku II. ovoga Zakona broj točaka uzorkovanja za svaku onečišćujuću tvar ne smije biti manji od minimalnog broja točaka uzorkovanja utvrđenog u pravilniku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Za zone u kojima razina onečišćujućih tvari prekoračuje relevantni prag procjene utvrđen u Dodatku II. ovoga Zakona, ali ne prekoračuje odgovarajuće granične vrijednosti, ciljne vrijednosti i kritične razine utvrđene u Dodatku I. ovoga Zakona, broj točaka uzorkovanja za mjerenja na stalnim mjestima može se smanjiti do 50 % u skladu s pravilnikom iz članka 23. ovoga Zakona pod uvjetom da su ispunjeni sljedeći uvjeti: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a) indikativna mjerenja ili primjene modeliranja daju dovoljno informacija za procjenu kvalitete zraka s obzirom na granične vrijednosti, ciljne vrijednosti, kritične razine, pragove upozorenja i pragove obavješćivanja, kao i odgovarajuće informacije za javnost, uz informacije koje daju točke uzorkovanja za mjerenja na stalnim mjestima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b) broj točaka uzorkovanja koje treba postaviti i prostorna rezolucija indikativnog mjerenja i primjena modeliranja dovoljni su za određivanje koncentracije relevantnih onečišćujućih tvari u skladu s ciljevima kvalitete podataka utvrđenima u pravilniku iz članka 23. ovoga Zakona i omogućuju da rezultati procjene ispune zahtjeve navedene u istom pravilniku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c) broj indikativnih mjerenja, ako se upotrebljava radi ispunjavanja zahtjeva ovoga stavka, barem je jednak broju mjerenja na stalnim mjestima koja se zamjenjuju, a indikativna mjerenja ravnomjerno su raspoređena tijekom kalendarske godine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d) za prizemni ozon, dušikov dioksid mjeri se na svim preostalim točkama uzorkovanja za mjerenje prizemnog ozona, osim na ruralnim pozadinskim lokacijama za mjerenje prizemnog ozona u skladu s pravilnikom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U Republici Hrvatskoj uspostavljaju se jedna ili više točaka uzorkovanja za praćenje koncentracija prekursora prizemnog ozona u skladu s kriterijima opisanima u pravilniku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Dušikov dioksid mjeri se na najmanje 50 % točaka uzorkovanja za prizemni ozon prema zahtjevima pravilnika iz članka 23. ovoga Zakona, a to se mjerenje provodi kontinuirano, osim na ruralnim pozadinskim lokacijama.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Osigurava se, u skladu s pravilnikom iz članka 23. ovoga Zakona, da raspodjela točaka uzorkovanja za izračunavanje pokazatelja prosječne izloženosti za PM</w:t>
      </w:r>
      <w:r>
        <w:rPr>
          <w:rFonts w:ascii="Arial" w:eastAsia="Arial" w:hAnsi="Arial" w:cs="Arial"/>
          <w:sz w:val="24"/>
          <w:szCs w:val="24"/>
          <w:vertAlign w:val="subscript"/>
        </w:rPr>
        <w:t xml:space="preserve">2,5</w:t>
      </w:r>
      <w:r>
        <w:rPr>
          <w:rFonts w:ascii="Arial" w:eastAsia="Arial" w:hAnsi="Arial" w:cs="Arial"/>
          <w:sz w:val="24"/>
          <w:szCs w:val="24"/>
        </w:rPr>
        <w:t xml:space="preserve"> i dušikov dioksid na odgovarajući način odražava opću izloženost stanovništva, a broj točaka uzorkovanja ne smije biti manji od onoga koji je određen istim pravilnikom.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Točke uzorkovanja na kojima su u prethodne tri godine prekoračene bilo koje relevantne granične vrijednosti ili ciljne vrijednosti utvrđene u Dodatku I. odjeljku 1. ovoga Zakona ne smiju se premjestiti, osim ako je premještanje potrebno zbog posebnih okolnosti, uključujući prostorni razvoj, a premještanje takvih točaka uzorkovanja podupire se primjenama modeliranja ili indikativnim mjerenjima i, kad god je to moguće, osigurava kontinuitet mjerenja i provodi se unutar njihova područja prostorne reprezentativnosti te se detaljno obrazloženje svakog premještanja takvih točaka uzorkovanja u potpunosti dokumentira u skladu sa zahtjevima pravilnika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Radi procjene doprinosa benzo(a)pirena u zraku, prate se drugi relevantni policiklički aromatski ugljikovodici na ograničenom broju točaka uzorkovanja, a uključuju barem: benzo(a) antracen, benzo(b)fluoranten, benzo(j)fluoranten, benzo(k)fluoranten, indeno(1,2,3-</w:t>
      </w:r>
      <w:r>
        <w:rPr>
          <w:rFonts w:ascii="Arial" w:eastAsia="Arial" w:hAnsi="Arial" w:cs="Arial"/>
          <w:sz w:val="24"/>
          <w:szCs w:val="24"/>
        </w:rPr>
        <w:t xml:space="preserve">cd)piren i dibenz(a,h)antracen te se točke uzorkovanja tih policikličkih aromatskih ugljikovodika nalaze se na točkama uzorkovanja za benzo(a)piren te se odabiru tako da je moguće utvrditi geografske varijacije i dugoročne trendove.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Osim praćenja koje se zahtijeva na temelju članka 25. ovoga Zakona, prate se razine ultrafinih čestica u skladu s pravilnikom iz članka 23. ovoga Zakona, a praćenje koncentracija crnog ugljika može se provoditi na istim lokacijama.</w:t>
      </w:r>
    </w:p>
    <w:p>
      <w:pPr>
        <w:pBdr/>
        <w:pStyle w:val="Heading 3"/>
        <w:spacing/>
        <w:ind/>
        <w:rPr/>
      </w:pPr>
      <w:r>
        <w:rPr/>
        <w:t xml:space="preserve">Superlokacije za praćenje</w:t>
      </w:r>
    </w:p>
    <w:p>
      <w:pPr>
        <w:pBdr/>
        <w:pStyle w:val="Heading 4"/>
        <w:spacing/>
        <w:ind/>
        <w:rPr/>
      </w:pPr>
      <w:r>
        <w:rPr/>
        <w:t xml:space="preserve">Članak 25.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Na teritoriju Republike Hrvatske uspostavlja se najmanje jedna superlokacija za praćenje na gradskoj pozadinskoj lokaciji.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Na teritoriju Republike Hrvatske uspostavlja se najmanje jedna superlokacija za praćenje na ruralnoj pozadinskoj lokaciji.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Razmještaj superlokacija za praćenje iz stavaka 1. i 2. ovoga članka utvrđuje se u skladu s pravilnikom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Mjerenja na superlokacijama za praćenje na gradskim pozadinskim lokacijama i ruralnim pozadinskim lokacijama uključuju onečišćujuće tvari navedene u Dodatku IV. odjeljku 1. tablicama 1. i 2. ovoga Zakona, a mogu uključivati i onečišćujuće tvari navedene u tablici 3. istog odjeljka.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Prema potrebi praćenje kvalitete zraka na superlokacijama je usklađeno sa strategijom praćenja i programom mjerenja EMEP-a i ACTRIS-a te praćenjem utjecaja onečišćenja zraka koje se provodi na temelju nacionalnog propisa o smanjenju nacionalnih emisija određenih atmosferskih onečišćujućih tvari.</w:t>
      </w:r>
    </w:p>
    <w:p>
      <w:pPr>
        <w:pBdr/>
        <w:pStyle w:val="Heading 3"/>
        <w:spacing/>
        <w:ind/>
        <w:rPr/>
      </w:pPr>
      <w:r>
        <w:rPr/>
        <w:t xml:space="preserve">Točke uzorkovanja za praćenje kvalitete zraka u Republici Hrvatskoj</w:t>
      </w:r>
    </w:p>
    <w:p>
      <w:pPr>
        <w:pBdr/>
        <w:pStyle w:val="Heading 4"/>
        <w:spacing/>
        <w:ind/>
        <w:rPr/>
      </w:pPr>
      <w:r>
        <w:rPr/>
        <w:t xml:space="preserve">Članak 26.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Praćenje kvalitete zraka u Republici Hrvatskoj provodi se 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točkama uzorkovanja državne mreže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točkama uzorkovanja na području jedinica lokalne i područne (regionalne) samouprave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točkama uzorkovanja onečišćivača.</w:t>
      </w:r>
    </w:p>
    <w:p>
      <w:pPr>
        <w:pBdr/>
        <w:pStyle w:val="Heading 3"/>
        <w:spacing/>
        <w:ind/>
        <w:rPr/>
      </w:pPr>
      <w:r>
        <w:rPr/>
        <w:t xml:space="preserve">Državna mreža za praćenje kvalitete zraka</w:t>
      </w:r>
    </w:p>
    <w:p>
      <w:pPr>
        <w:pBdr/>
        <w:pStyle w:val="Heading 4"/>
        <w:spacing/>
        <w:ind/>
        <w:rPr/>
      </w:pPr>
      <w:r>
        <w:rPr/>
        <w:t xml:space="preserve">Članak 27.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Za praćenje kvalitete zraka u zonama u Republici Hrvatskoj uspostavlja se državna mreža za praćenje kvalitete zraka (u daljnjem tekstu: državna mreža).</w:t>
      </w:r>
    </w:p>
    <w:p>
      <w:pPr>
        <w:pBdr/>
        <w:pStyle w:val="Normal"/>
        <w:spacing w:before="240" w:after="0" w:line="240" w:lineRule="auto"/>
        <w:ind/>
        <w:jc w:val="both"/>
        <w:rPr>
          <w:sz w:val="24"/>
          <w:szCs w:val="24"/>
        </w:rPr>
      </w:pPr>
      <w:r>
        <w:rPr>
          <w:rFonts w:ascii="Arial" w:eastAsia="Arial" w:hAnsi="Arial" w:cs="Arial"/>
          <w:sz w:val="24"/>
          <w:szCs w:val="24"/>
        </w:rPr>
        <w:t xml:space="preserve">(2) Državna mreža sastavni je dio praćenja stanja okoliša i financira se iz državnog proračuna Republike Hrvatske i/ili sredstvima Fonda za zaštitu okoliša i energetsku učinkovitost.</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Praćenje kvalitete zraka u državnoj mreži provode Nacionalni referentni laboratoriji u skladu s člankom 30. ovoga Zakona.</w:t>
      </w:r>
    </w:p>
    <w:p>
      <w:pPr>
        <w:pBdr/>
        <w:pStyle w:val="Heading 3"/>
        <w:spacing/>
        <w:ind/>
        <w:rPr/>
      </w:pPr>
      <w:r>
        <w:rPr/>
        <w:t xml:space="preserve">Točke uzorkovanja u državnoj mreži</w:t>
      </w:r>
    </w:p>
    <w:p>
      <w:pPr>
        <w:pBdr/>
        <w:pStyle w:val="Heading 4"/>
        <w:spacing/>
        <w:ind/>
        <w:rPr/>
      </w:pPr>
      <w:r>
        <w:rPr/>
        <w:t xml:space="preserve">Članak 28.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Državna mreža iz članka 27. ovoga Zakona sastoji se od točaka uzorkovanja iz članaka 24. i 25. ovoga Zakona za praćenje koncentracija onečišćujućih tvari u zraku za zaštitu zdravlja ljudi i kvalitetu življenja te zaštitu vegetacije i prirodnih ekosustava.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Minimalni broj i lokacije točaka uzorkovanja, iz stavka 1. ovoga članka, za praćenje koncentracija onečišćujućih tvari u zraku određuju se prema mjerilima određenim pravilnikom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Popis i lokacije točaka uzorkovanja iz stavka 1. ovoga članka te popis točaka uzorkovanja za praćenje koncentracija sumporova dioksida, dušikova dioksida i dušikovih oksida, lebdećih čestica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olova, benzena, ugljikova monoksida, prizemnog ozona i prekursora prizemnog ozona, arsena, kadmija, žive, nikla, benzo(a)pirena i drugih policikličkih aromatskih ugljikovodika te tvari koje izazivaju zabrinutost kao što su ultrafine čestice, crni i elementarni ugljik, amonijak te oksidativni potencijal lebdećih čestica u zraku koji se koriste za uzajamnu razmjenu informacija i izvješćivanja o kvaliteti zraka između Ministarstva i Europske komisije propisuje Vlada uredbom.</w:t>
      </w:r>
    </w:p>
    <w:p>
      <w:pPr>
        <w:pBdr/>
        <w:pStyle w:val="Heading 3"/>
        <w:spacing/>
        <w:ind/>
        <w:rPr/>
      </w:pPr>
      <w:r>
        <w:rPr/>
        <w:t xml:space="preserve">Program praćenja razine onečišćenosti zraka u državnoj mreži</w:t>
      </w:r>
    </w:p>
    <w:p>
      <w:pPr>
        <w:pBdr/>
        <w:pStyle w:val="Heading 4"/>
        <w:spacing/>
        <w:ind/>
        <w:rPr/>
      </w:pPr>
      <w:r>
        <w:rPr/>
        <w:t xml:space="preserve">Članak 29.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Praćenje kvalitete zraka u državnoj mreži iz članka 27. stavka 1. ovoga Zakona obavlja se prema Programu praćenja razine onečišćenosti zraka u državnoj mreži.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Program praćenja iz stavka 1. ovoga članka sadrži, za svaku točku uzorkovanja koja je definirana uredbom iz članka 28. stavka 3. ovoga Zakona, popis pokazatelja kvalitete zraka, gustoću mjerenja i mjerno razdoblje.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Program praćenja iz stavka 1. ovoga članka donosi ministar odlukom.</w:t>
      </w:r>
    </w:p>
    <w:p>
      <w:pPr>
        <w:pBdr/>
        <w:pStyle w:val="Heading 3"/>
        <w:spacing/>
        <w:ind/>
        <w:rPr/>
      </w:pPr>
      <w:r>
        <w:rPr/>
        <w:t xml:space="preserve">Praćenje kvalitete zraka i funkcioniranje državne mreže</w:t>
      </w:r>
    </w:p>
    <w:p>
      <w:pPr>
        <w:pBdr/>
        <w:pStyle w:val="Heading 4"/>
        <w:spacing/>
        <w:ind/>
        <w:rPr/>
      </w:pPr>
      <w:r>
        <w:rPr/>
        <w:t xml:space="preserve">Članak 30.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Državni hidrometeorološki zavod upravlja radom državne mreže, osigurava izgradnju novih postaja u državnoj mreži, osigurava praćenje kvalitete zraka što uključuje mjerenje plinovitih onečišćujućih tvari, fizikalno-</w:t>
      </w:r>
      <w:r>
        <w:rPr>
          <w:rFonts w:ascii="Arial" w:eastAsia="Arial" w:hAnsi="Arial" w:cs="Arial"/>
          <w:sz w:val="24"/>
          <w:szCs w:val="24"/>
        </w:rPr>
        <w:t xml:space="preserve">kemijske analize oborine, prikupljanje podataka, osiguranje kvalitete i provjere mjerenja i podataka, ugađanje i provjeru tehničkih karakteristika mjerne opreme u skladu s referentnim metodama mjerenja te obradu i prikaz rezultata mjerenja i odgovoran je za provođenje programa praćenja iz članka 29. ovoga Zakona na tim postajama.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Praćenje kvalitete zraka na postajama iz državne mreže za plinovite onečišćujuće tvari sumporov dioksid, dušikov dioksid i dušikovi oksidi, benzen, ugljikov monoksid, prizemni ozon, prekursori prizemnog ozona, amonijak, ukupna plinovita živa i sumporovodik, lebdećih čestica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automatskim metodama, crnog ugljika te ukupnog taloženja arsena, kadmija, olova, nikla, žive, benzo(a)pirena i drugih policikličkih aromatskih ugljikovodika obavlja Državni hidrometeorološki zavod uz ispunjavanje uvjeta iz članka 88.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Praćenje kvalitete zraka na postajama iz državne mreže u dijelu koji se odnosi na fizikalno-</w:t>
      </w:r>
      <w:r>
        <w:rPr>
          <w:rFonts w:ascii="Arial" w:eastAsia="Arial" w:hAnsi="Arial" w:cs="Arial"/>
          <w:sz w:val="24"/>
          <w:szCs w:val="24"/>
        </w:rPr>
        <w:t xml:space="preserve">kemijske analize lebdećih čestica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 </w:t>
      </w:r>
      <w:r>
        <w:rPr>
          <w:rFonts w:ascii="Arial" w:eastAsia="Arial" w:hAnsi="Arial" w:cs="Arial"/>
          <w:sz w:val="24"/>
          <w:szCs w:val="24"/>
        </w:rPr>
        <w:t xml:space="preserve">određivanje arsena, kadmija, olova, nikla, benzo(a)pirena i ostalih policikličkih aromatskih ugljikovodika u zraku, elementnog ugljika (EC) i organskog ugljika (OC) u zraku te uzorkovanje i određivanje SO</w:t>
      </w:r>
      <w:r>
        <w:rPr>
          <w:rFonts w:ascii="Arial" w:eastAsia="Arial" w:hAnsi="Arial" w:cs="Arial"/>
          <w:sz w:val="24"/>
          <w:szCs w:val="24"/>
          <w:vertAlign w:val="subscript"/>
        </w:rPr>
        <w:t xml:space="preserve">4</w:t>
      </w:r>
      <w:r>
        <w:rPr>
          <w:rFonts w:ascii="Arial" w:eastAsia="Arial" w:hAnsi="Arial" w:cs="Arial"/>
          <w:sz w:val="24"/>
          <w:szCs w:val="24"/>
          <w:vertAlign w:val="superscript"/>
        </w:rPr>
        <w:t xml:space="preserve">2-</w:t>
      </w:r>
      <w:r>
        <w:rPr>
          <w:rFonts w:ascii="Arial" w:eastAsia="Arial" w:hAnsi="Arial" w:cs="Arial"/>
          <w:sz w:val="24"/>
          <w:szCs w:val="24"/>
        </w:rPr>
        <w:t xml:space="preserve">, Cl</w:t>
      </w:r>
      <w:r>
        <w:rPr>
          <w:rFonts w:ascii="Arial" w:eastAsia="Arial" w:hAnsi="Arial" w:cs="Arial"/>
          <w:sz w:val="24"/>
          <w:szCs w:val="24"/>
          <w:vertAlign w:val="superscript"/>
        </w:rPr>
        <w:t xml:space="preserve">-</w:t>
      </w:r>
      <w:r>
        <w:rPr>
          <w:rFonts w:ascii="Arial" w:eastAsia="Arial" w:hAnsi="Arial" w:cs="Arial"/>
          <w:sz w:val="24"/>
          <w:szCs w:val="24"/>
        </w:rPr>
        <w:t xml:space="preserve">, NH</w:t>
      </w:r>
      <w:r>
        <w:rPr>
          <w:rFonts w:ascii="Arial" w:eastAsia="Arial" w:hAnsi="Arial" w:cs="Arial"/>
          <w:sz w:val="24"/>
          <w:szCs w:val="24"/>
          <w:vertAlign w:val="subscript"/>
        </w:rPr>
        <w:t xml:space="preserve">4</w:t>
      </w:r>
      <w:r>
        <w:rPr>
          <w:rFonts w:ascii="Arial" w:eastAsia="Arial" w:hAnsi="Arial" w:cs="Arial"/>
          <w:b/>
          <w:bCs/>
          <w:sz w:val="24"/>
          <w:szCs w:val="24"/>
          <w:vertAlign w:val="superscript"/>
        </w:rPr>
        <w:t xml:space="preserve">+</w:t>
      </w:r>
      <w:r>
        <w:rPr>
          <w:rFonts w:ascii="Arial" w:eastAsia="Arial" w:hAnsi="Arial" w:cs="Arial"/>
          <w:sz w:val="24"/>
          <w:szCs w:val="24"/>
        </w:rPr>
        <w:t xml:space="preserve">, Na</w:t>
      </w:r>
      <w:r>
        <w:rPr>
          <w:rFonts w:ascii="Arial" w:eastAsia="Arial" w:hAnsi="Arial" w:cs="Arial"/>
          <w:b/>
          <w:bCs/>
          <w:sz w:val="24"/>
          <w:szCs w:val="24"/>
          <w:vertAlign w:val="superscript"/>
        </w:rPr>
        <w:t xml:space="preserve">+</w:t>
      </w:r>
      <w:r>
        <w:rPr>
          <w:rFonts w:ascii="Arial" w:eastAsia="Arial" w:hAnsi="Arial" w:cs="Arial"/>
          <w:sz w:val="24"/>
          <w:szCs w:val="24"/>
        </w:rPr>
        <w:t xml:space="preserve">, K</w:t>
      </w:r>
      <w:r>
        <w:rPr>
          <w:rFonts w:ascii="Arial" w:eastAsia="Arial" w:hAnsi="Arial" w:cs="Arial"/>
          <w:b/>
          <w:bCs/>
          <w:sz w:val="24"/>
          <w:szCs w:val="24"/>
          <w:vertAlign w:val="superscript"/>
        </w:rPr>
        <w:t xml:space="preserve">+</w:t>
      </w:r>
      <w:r>
        <w:rPr>
          <w:rFonts w:ascii="Arial" w:eastAsia="Arial" w:hAnsi="Arial" w:cs="Arial"/>
          <w:sz w:val="24"/>
          <w:szCs w:val="24"/>
        </w:rPr>
        <w:t xml:space="preserve">, Mg</w:t>
      </w:r>
      <w:r>
        <w:rPr>
          <w:rFonts w:ascii="Arial" w:eastAsia="Arial" w:hAnsi="Arial" w:cs="Arial"/>
          <w:sz w:val="24"/>
          <w:szCs w:val="24"/>
          <w:vertAlign w:val="superscript"/>
        </w:rPr>
        <w:t xml:space="preserve">2</w:t>
      </w:r>
      <w:r>
        <w:rPr>
          <w:rFonts w:ascii="Arial" w:eastAsia="Arial" w:hAnsi="Arial" w:cs="Arial"/>
          <w:b/>
          <w:bCs/>
          <w:sz w:val="24"/>
          <w:szCs w:val="24"/>
          <w:vertAlign w:val="superscript"/>
        </w:rPr>
        <w:t xml:space="preserve">+</w:t>
      </w:r>
      <w:r>
        <w:rPr>
          <w:rFonts w:ascii="Arial" w:eastAsia="Arial" w:hAnsi="Arial" w:cs="Arial"/>
          <w:sz w:val="24"/>
          <w:szCs w:val="24"/>
        </w:rPr>
        <w:t xml:space="preserve"> i Ca</w:t>
      </w:r>
      <w:r>
        <w:rPr>
          <w:rFonts w:ascii="Arial" w:eastAsia="Arial" w:hAnsi="Arial" w:cs="Arial"/>
          <w:sz w:val="24"/>
          <w:szCs w:val="24"/>
          <w:vertAlign w:val="superscript"/>
        </w:rPr>
        <w:t xml:space="preserve">2</w:t>
      </w:r>
      <w:r>
        <w:rPr>
          <w:rFonts w:ascii="Arial" w:eastAsia="Arial" w:hAnsi="Arial" w:cs="Arial"/>
          <w:b/>
          <w:bCs/>
          <w:sz w:val="24"/>
          <w:szCs w:val="24"/>
          <w:vertAlign w:val="superscript"/>
        </w:rPr>
        <w:t xml:space="preserve">+</w:t>
      </w:r>
      <w:r>
        <w:rPr>
          <w:rFonts w:ascii="Arial" w:eastAsia="Arial" w:hAnsi="Arial" w:cs="Arial"/>
          <w:sz w:val="24"/>
          <w:szCs w:val="24"/>
        </w:rPr>
        <w:t xml:space="preserve"> u PM</w:t>
      </w:r>
      <w:r>
        <w:rPr>
          <w:rFonts w:ascii="Arial" w:eastAsia="Arial" w:hAnsi="Arial" w:cs="Arial"/>
          <w:sz w:val="24"/>
          <w:szCs w:val="24"/>
          <w:vertAlign w:val="subscript"/>
        </w:rPr>
        <w:t xml:space="preserve">2,5</w:t>
      </w:r>
      <w:r>
        <w:rPr>
          <w:rFonts w:ascii="Arial" w:eastAsia="Arial" w:hAnsi="Arial" w:cs="Arial"/>
          <w:sz w:val="24"/>
          <w:szCs w:val="24"/>
        </w:rPr>
        <w:t xml:space="preserve"> u zraku, mjerenje ultrafinih čestica</w:t>
      </w:r>
      <w:r>
        <w:rPr>
          <w:rFonts w:ascii="Arial" w:eastAsia="Arial" w:hAnsi="Arial" w:cs="Arial"/>
          <w:sz w:val="24"/>
          <w:szCs w:val="24"/>
          <w:vertAlign w:val="subscript"/>
        </w:rPr>
        <w:t xml:space="preserve"> </w:t>
      </w:r>
      <w:r>
        <w:rPr>
          <w:rFonts w:ascii="Arial" w:eastAsia="Arial" w:hAnsi="Arial" w:cs="Arial"/>
          <w:sz w:val="24"/>
          <w:szCs w:val="24"/>
        </w:rPr>
        <w:t xml:space="preserve">i raspodjele njihove</w:t>
      </w:r>
      <w:r>
        <w:rPr>
          <w:rFonts w:ascii="Arial" w:eastAsia="Arial" w:hAnsi="Arial" w:cs="Arial"/>
          <w:sz w:val="24"/>
          <w:szCs w:val="24"/>
          <w:vertAlign w:val="subscript"/>
        </w:rPr>
        <w:t xml:space="preserve"> </w:t>
      </w:r>
      <w:r>
        <w:rPr>
          <w:rFonts w:ascii="Arial" w:eastAsia="Arial" w:hAnsi="Arial" w:cs="Arial"/>
          <w:sz w:val="24"/>
          <w:szCs w:val="24"/>
        </w:rPr>
        <w:t xml:space="preserve">veličine, levoglukozana i oksidativnog potencijal te ekvivalenciju nereferentnih metoda za određivanje masenih koncentracija lebdećih čestica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obavlja Institut za medicinska istraživanja i medicinu rada uz ispunjavanje uvjeta iz članka 88.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Državni hidrometeorološki zavod obavlja i fizikalno-</w:t>
      </w:r>
      <w:r>
        <w:rPr>
          <w:rFonts w:ascii="Arial" w:eastAsia="Arial" w:hAnsi="Arial" w:cs="Arial"/>
          <w:sz w:val="24"/>
          <w:szCs w:val="24"/>
        </w:rPr>
        <w:t xml:space="preserve">kemijsku analizu oborine u skladu s međunarodnim smjernicama i dobrom stručnom praksom (EMEP).</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Državni hidrometeorološki zavod i Institut za medicinska istraživanja i medicinu rada dostavljaju Ministarstvu godišnji plan provedbe Programa praćenja iz članka 29. ovoga Zakona do 30. rujna tekuće godine za sljedeću kalendarsku godinu.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Godišnji plan provedbe Programa iz stavka 5. ovoga članka odobrava Povjerenstvo za praćenje rada Nacionalnih referentnih laboratorija iz članka 11. stavka 12.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Državni hidrometeorološki zavod i Institut za medicinska istraživanja i medicinu rada dužni su osigurati kontinuirani prijenos jednosatnih ažuriranih podataka, dostaviti validirane podatke u Informacijski sustav zaštite zraka i dostaviti Ministarstvu izvješće o razinama onečišćenosti i ocjeni kvalitete zraka do 30. travnja tekuće godine za proteklu kalendarsku godinu.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Ako Državni hidrometeorološki zavod i Institut za medicinska istraživanja i medicinu rada nisu u mogućnosti obavljati poslove iz stavaka 2. i 3. ovoga članka zbog </w:t>
      </w:r>
      <w:r>
        <w:rPr>
          <w:rFonts w:ascii="Arial" w:eastAsia="Arial" w:hAnsi="Arial" w:cs="Arial"/>
          <w:sz w:val="24"/>
          <w:szCs w:val="24"/>
        </w:rPr>
        <w:t xml:space="preserve">neispunjavanja propisanih uvjeta iz članka 88. ovoga Zakona ili zbog više sile, dužni su osigurati provedbu tih poslova bez odgađanja, ali ne duže od šest mjeseci.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Iznimno od odredbe stavka 8. ovoga članka, Državni hidrometeorološki zavod i Institut za medicinska istraživanja i medicinu rada mogu osigurati provedbu poslova na rok duži od šest mjeseci uz prethodnu suglasnost Ministarstva.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(10) Podaci kvalitete zraka iz državne mreže koriste se za potrebe Godišnjeg izvješća o praćenju kvalitete zraka iz članka 59. ovoga Zakona, sastavni su dio informacijskog sustava zaštite zraka iz članka 55. ovoga Zakona i objavljuju se na mrežnim stranicama Ministarstva.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(11) Ministarstvo provodi nadzor nad radom državne mreže.</w:t>
      </w:r>
    </w:p>
    <w:p>
      <w:pPr>
        <w:pBdr/>
        <w:pStyle w:val="Heading 3"/>
        <w:spacing/>
        <w:ind/>
        <w:rPr/>
      </w:pPr>
      <w:r>
        <w:rPr>
          <w:iCs/>
        </w:rPr>
        <w:t xml:space="preserve">Točke uzorkovanja za praćenje kvalitete zraka jedinica lokalne i regionalne samouprave</w:t>
      </w:r>
    </w:p>
    <w:p>
      <w:pPr>
        <w:pBdr/>
        <w:pStyle w:val="Heading 4"/>
        <w:spacing/>
        <w:ind/>
        <w:rPr/>
      </w:pPr>
      <w:r>
        <w:rPr/>
        <w:t xml:space="preserve">Članak 31.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Jedinice lokalne i područne (regionalne) samouprave mogu uspostaviti točke uzorkovanja za praćenje kvalitete zraka na svome području ako procijene da su razine onečišćenosti više od propisanih graničnih vrijednosti odnosno ako procijene da za to postoje opravdani razlozi, a osobito u slučaju pojačanog razvoja industrije, proširenja poslovnih i industrijskih zona i drugo.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Predstavničko tijelo jedinica iz stavka 1. ovoga članka određuje lokacije točaka uzorkovanja za praćenje kvalitete zraka, donosi program mjerenja razine onečišćenosti i osigurava uvjete njegove provedbe.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Jedinice lokalne i područne (regionalne) samouprave koje uspostavljaju točke uzorkovanja za praćenje kvalitete zraka na svome području, dužni su ih uspostaviti u skladu s odredbama pravilnika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Nadležno upravno tijelo jedinice iz stavka 1. ovoga članka obavlja nadzor nad provođenjem aktivnosti iz stavaka 1. i 3. ovoga članka i objavljuje podatke o obavljenim mjerenjima.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Nadležno upravno tijelo jedinice iz stavka 1. ovoga članka osigurava kontinuirani prijenos jednosatnih ažuriranih podataka u skladu s člankom 55. ovoga Zakona, osigurava dostavu validiranih podataka u Informacijski sustav zaštite zraka te dostavlja Ministarstvu izvješće o razinama onečišćenosti i ocjeni kvalitete zraka do 30. travnja tekuće godine za proteklu kalendarsku godinu.</w:t>
      </w:r>
    </w:p>
    <w:p>
      <w:pPr>
        <w:pBdr/>
        <w:pStyle w:val="Heading 3"/>
        <w:spacing/>
        <w:ind/>
        <w:rPr/>
      </w:pPr>
      <w:r>
        <w:rPr>
          <w:iCs/>
        </w:rPr>
        <w:t xml:space="preserve">Točke uzorkovanja za praćenje kvalitete zraka onečišćivača</w:t>
      </w:r>
    </w:p>
    <w:p>
      <w:pPr>
        <w:pBdr/>
        <w:pStyle w:val="Heading 4"/>
        <w:spacing/>
        <w:ind/>
        <w:rPr/>
      </w:pPr>
      <w:r>
        <w:rPr/>
        <w:t xml:space="preserve">Članak 32.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Onečišćivač je dužan osigurati praćenje kvalitete zraka prema rješenju o prihvatljivosti zahvata za okoliš i/ili rješenju o okolišnoj dozvoli i/ili sanacijskom programu u skladu sa zakonom kojim se uređuje zaštita okoliša.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Ispitni laboratorij koji obavlja mjerenja za onečišćivača iz stavka 1. ovoga članka dužan je osigurati kontinuirani prijenos jednosatnih ažuriranih podataka u skladu s člankom 55. ovoga Zakona te validirane podatke i izvješće o razinama onečišćenosti i ocjeni kvalitete zraka dostaviti nadležnom upravnom tijelu jedinice lokalne i područne (regionalne) samouprave, do 31. ožujka tekuće godine za proteklu kalendarsku godinu.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Nadležno upravno tijelo jedinice iz stavka 2. ovoga članka osigurava dostavu validiranih podataka u Informacijski sustav zaštite zraka i dostavlja Ministarstvu izvješće o razinama onečišćenosti i ocjeni kvalitete zraka do 30. travnja tekuće godine za proteklu kalendarsku godinu.</w:t>
      </w:r>
    </w:p>
    <w:p>
      <w:pPr>
        <w:pBdr/>
        <w:pStyle w:val="Heading 3"/>
        <w:spacing/>
        <w:ind/>
        <w:rPr/>
      </w:pPr>
      <w:r>
        <w:rPr/>
        <w:t xml:space="preserve">Vidljivost podataka praćenja kvalitete zraka</w:t>
      </w:r>
    </w:p>
    <w:p>
      <w:pPr>
        <w:pBdr/>
        <w:pStyle w:val="Heading 4"/>
        <w:spacing/>
        <w:ind/>
        <w:rPr/>
      </w:pPr>
      <w:r>
        <w:rPr/>
        <w:t xml:space="preserve">Članak 33.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Podaci praćenja iz članaka 31. i 32. ovoga Zakona su javni i objavljuju se jedanput godišnje na mrežnim stranicama jedinice lokalne i područne (regionalne) samouprave u sažetom opsegu i na način razumljiv širokoj javnosti.</w:t>
      </w:r>
    </w:p>
    <w:p>
      <w:pPr>
        <w:pBdr/>
        <w:pStyle w:val="Normal"/>
        <w:spacing w:before="240" w:line="240" w:lineRule="auto"/>
        <w:ind/>
        <w:jc w:val="both"/>
        <w:rPr>
          <w:rFonts w:ascii="Arial" w:eastAsia="Arial" w:hAnsi="Arial" w:cs="Arial"/>
          <w:sz w:val="24"/>
          <w:szCs w:val="24"/>
        </w:rPr>
      </w:pPr>
      <w:r>
        <w:rPr>
          <w:rFonts w:ascii="Arial" w:eastAsia="Arial" w:hAnsi="Arial" w:cs="Arial"/>
          <w:sz w:val="24"/>
          <w:szCs w:val="24"/>
        </w:rPr>
        <w:t xml:space="preserve">(2) Podaci iz stavka 1. ovoga članka koriste se za potrebe Godišnjeg izvješća o praćenju kvalitete zraka iz članka 59. ovoga Zakona i sastavni su dio informacijskog sustava zaštite zraka iz članka 55. ovoga Zakona.</w:t>
      </w:r>
    </w:p>
    <w:p>
      <w:pPr>
        <w:pBdr/>
        <w:pStyle w:val="Heading 3"/>
        <w:spacing/>
        <w:ind/>
        <w:rPr/>
      </w:pPr>
      <w:r>
        <w:rPr/>
        <w:t xml:space="preserve">Mjerenja posebne namjene</w:t>
      </w:r>
    </w:p>
    <w:p>
      <w:pPr>
        <w:pBdr/>
        <w:pStyle w:val="Heading 4"/>
        <w:spacing/>
        <w:ind/>
        <w:rPr/>
      </w:pPr>
      <w:r>
        <w:rPr/>
        <w:t xml:space="preserve">Članak 34.</w:t>
      </w:r>
    </w:p>
    <w:p>
      <w:pPr>
        <w:pBdr/>
        <w:pStyle w:val="Normal"/>
        <w:spacing w:before="240" w:line="240" w:lineRule="auto"/>
        <w:ind/>
        <w:jc w:val="both"/>
        <w:rPr>
          <w:rFonts w:ascii="Arial" w:eastAsia="Arial" w:hAnsi="Arial" w:cs="Arial"/>
          <w:sz w:val="24"/>
          <w:szCs w:val="24"/>
        </w:rPr>
      </w:pPr>
      <w:r>
        <w:rPr>
          <w:rFonts w:ascii="Arial" w:eastAsia="Arial" w:hAnsi="Arial" w:cs="Arial"/>
          <w:sz w:val="24"/>
          <w:szCs w:val="24"/>
        </w:rPr>
        <w:t xml:space="preserve">(1) Na zahtjev inspektora zaštite okoliša Državnog inspektorata (u daljnjem tekstu: inspektor zaštite okoliša) ili po prijavi građana da je došlo do onečišćenja zraka, izvršno tijelo jedinice lokalne samouprave odnosno Grada Zagreba utvrđuje opravdanost zahtjeva ili prijave i u roku od pet dana od primitka zahtjeva ili prijave donosi odluku o potrebi provedbe mjerenja posebne namjene odnosno procjene razine onečišćenosti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Odluka iz stavka 1. ovoga članka sadrži razdoblje mjerenja ili procjene razine onečišćenja zraka te način plaćanja troškova provedbe mjerenja posebne namjene ili procjene razine onečišćenosti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Provedba mjerenja posebne namjene iz stavka 1. ovoga članka mora se provesti u skladu s pravilnikom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Ako izvršno tijelo jedinice lokalne samouprave odnosno Grada Zagreba donese odluku iz stavka 1. ovoga članka kojom se ne predviđa provedba mjerenja posebne namjene odnosno procjena razine onečišćenosti</w:t>
      </w:r>
      <w:r>
        <w:rPr>
          <w:rFonts w:ascii="Arial" w:eastAsia="Arial" w:hAnsi="Arial" w:cs="Arial"/>
          <w:sz w:val="24"/>
          <w:szCs w:val="24"/>
        </w:rPr>
        <w:t xml:space="preserve"> </w:t>
      </w:r>
      <w:r>
        <w:rPr>
          <w:rFonts w:ascii="Arial" w:eastAsia="Arial" w:hAnsi="Arial" w:cs="Arial"/>
          <w:sz w:val="24"/>
          <w:szCs w:val="24"/>
        </w:rPr>
        <w:t xml:space="preserve">zraka, odluka mora sadržavati relevantne dokaze i obrazloženja na temelju kojih se dokazuje da nije potrebno obaviti mjerenja posebne namjene odnosno procjenu razine onečišćenosti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Inspektor zaštite okoliša dostavlja Ministarstvu obavijest o zahtjevu upućenom izvršnom tijelu jedinice lokalne samouprave odnosno Grada Zagreba o potrebi donošenja odluke o provedbi mjerenja posebne namjene ili procjene razine onečišćenosti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Ako se mjerenjem ili procjenom utvrdi da nije došlo do prekomjerne onečišćenosti ili je došlo do prekomjerne onečišćenosti zraka, a onečišćivač nije poznat, troškove snosi jedinica lokalne samouprave čije je izvršno tijelo donijelo odluku iz stavka 1.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Ako se mjerenjem ili procjenom utvrdi prekomjerna onečišćenost zraka, a onečišćivač je poznat, troškove mjerenja ili procjene snosi onečišćivač prema odluci iz stavka 1. ovoga članka.</w:t>
      </w:r>
    </w:p>
    <w:p>
      <w:pPr>
        <w:pBdr/>
        <w:pStyle w:val="Heading 3"/>
        <w:spacing/>
        <w:ind/>
        <w:rPr>
          <w:iCs/>
        </w:rPr>
      </w:pPr>
      <w:r>
        <w:rPr/>
        <w:t xml:space="preserve">Izvanredni događaji i velike nesreće</w:t>
      </w:r>
    </w:p>
    <w:p>
      <w:pPr>
        <w:pBdr/>
        <w:pStyle w:val="Heading 4"/>
        <w:spacing/>
        <w:ind/>
        <w:rPr/>
      </w:pPr>
      <w:r>
        <w:rPr/>
        <w:t xml:space="preserve">Članak 35.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 slučaju izvanrednog događaja i/ili velike nesreće koja narušava kvalitetu zraka i zdravlje ljudi, izvršno tijelo jedinice lokalne samouprave osigurava provedbu mjerenja kvalitete zraka u najkraćem mogućem roku.</w:t>
      </w:r>
    </w:p>
    <w:p>
      <w:pPr>
        <w:pBdr/>
        <w:pStyle w:val="Normal"/>
        <w:spacing w:before="240" w:after="0" w:line="240" w:lineRule="auto"/>
        <w:ind/>
        <w:jc w:val="both"/>
        <w:rPr>
          <w:sz w:val="24"/>
          <w:szCs w:val="24"/>
        </w:rPr>
      </w:pPr>
      <w:r>
        <w:rPr>
          <w:rFonts w:ascii="Arial" w:eastAsia="Arial" w:hAnsi="Arial" w:cs="Arial"/>
          <w:sz w:val="24"/>
          <w:szCs w:val="24"/>
        </w:rPr>
        <w:t xml:space="preserve">(2) Provedbu mjerenja kvalitete zraka iz stavka 1. ovoga članka provodi Državni hidrometeorološki zavod.</w:t>
      </w:r>
    </w:p>
    <w:p>
      <w:pPr>
        <w:pBdr/>
        <w:pStyle w:val="Normal"/>
        <w:spacing w:before="240" w:after="240"/>
        <w:ind/>
        <w:jc w:val="both"/>
        <w:rPr>
          <w:sz w:val="24"/>
          <w:szCs w:val="24"/>
        </w:rPr>
      </w:pPr>
      <w:r>
        <w:rPr>
          <w:rFonts w:ascii="Arial" w:eastAsia="Arial" w:hAnsi="Arial" w:cs="Arial"/>
          <w:sz w:val="24"/>
          <w:szCs w:val="24"/>
        </w:rPr>
        <w:t xml:space="preserve">(3) Sredstva za provedbu mjerenja kvalitete zraka iz stavka 1. ovoga članka osiguravaju se iz državnog proračuna Republike Hrvatske.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Mjerenjima iz stavka 1. ovoga članka obuhvaćaju se koncentracije sumporova dioksida, dušikova dioksida, prizemnog ozona te lebdećih čestica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za koje su pragovi upozorenja i pragovi obavješćivanja utvrđeni u Dodatku I. odjeljku 4. ovoga Zakona te po potrebi i druge onečišćujuće tvari za koje su propisane granične vrijednosti u Dodatku I. odjeljku 1.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Ocjenu utjecaja izmjerenih razina onečišćenosti na zdravlje ljudi i preporuke za zaštitu zdravlja daje ministarstvo nadležno za zdravstvo ili ured za zdravstvo jedinice lokalne samouprave odnosno Grada Zagreba, na temelju podataka mjerenja koje dostavlja Državni hidrometeorološki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Ukoliko izvršno tijelo jedinice lokalne samouprave nije postupilo prema stavku 1. ovoga članka, inspektor tijela državne uprave nadležnog za inspekcijske poslove u području civilne zaštite (u daljnjem tekstu: inspektor civilne zaštite) donosi usmeno rješenje o provedbi mjerenja kvalitete zraka iz stavka 1.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Protiv usmenog rješenja iz stavka 6. ovoga članka može se izjaviti žalba Ravnateljstvu civilne zaštite Ministarstva unutarnjih poslova u roku od 15 dana od dana izricanja rješenja.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Žalba ne odgađa izvršenje rješenja.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Izvršno tijelo jedinice lokalne samouprave odnosno Grada Zagreba žurno informira javnost putem svih dostupnih medija o zabilježenim i očekivanim razinama onečišćenja zraka i mjerama koje se mogu poduzeti u svrhu zaštite zdravlja ljudi.</w:t>
      </w:r>
    </w:p>
    <w:p>
      <w:pPr>
        <w:pBdr/>
        <w:pStyle w:val="Normal"/>
        <w:spacing w:before="240" w:after="0" w:line="240" w:lineRule="auto"/>
        <w:ind/>
        <w:jc w:val="both"/>
        <w:rPr>
          <w:sz w:val="24"/>
          <w:szCs w:val="24"/>
        </w:rPr>
      </w:pPr>
      <w:r>
        <w:rPr>
          <w:rFonts w:ascii="Arial" w:eastAsia="Arial" w:hAnsi="Arial" w:cs="Arial"/>
          <w:sz w:val="24"/>
          <w:szCs w:val="24"/>
        </w:rPr>
        <w:t xml:space="preserve">(10) Onečišćivač za kojeg je u inspekcijskom nadzoru utvrđeno da je uzrokovao izvanredni događaj i/ili veliku nesreću iz stavka 1. ovoga članka, dužan je osigurati i financirati sve mjere za smanjivanje onečišćenja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(11) Šumski požari se ne smatraju izvanrednim događajem ni velikom nesrećom iz stavka 1. ovoga članka.</w:t>
      </w:r>
    </w:p>
    <w:p>
      <w:pPr>
        <w:pBdr/>
        <w:pStyle w:val="Heading 2"/>
        <w:spacing/>
        <w:ind/>
        <w:rPr/>
      </w:pPr>
      <w:r>
        <w:rPr/>
        <w:t xml:space="preserve">GLAVA IV.</w:t>
      </w:r>
    </w:p>
    <w:p>
      <w:pPr>
        <w:pBdr/>
        <w:pStyle w:val="Heading 2"/>
        <w:spacing/>
        <w:ind/>
        <w:rPr/>
      </w:pPr>
      <w:r>
        <w:rPr/>
        <w:t xml:space="preserve">UPRAVLJANJE KVALITETOM ZRAKA</w:t>
      </w:r>
    </w:p>
    <w:p>
      <w:pPr>
        <w:pBdr/>
        <w:pStyle w:val="Heading 3"/>
        <w:spacing/>
        <w:ind/>
        <w:rPr/>
      </w:pPr>
      <w:r>
        <w:rPr/>
        <w:t xml:space="preserve">Zahtjevi u slučajevima kada su razine niže od graničnih vrijednosti, ciljnih vrijednosti i ciljanih prosječnih koncentracija izloženosti</w:t>
      </w:r>
    </w:p>
    <w:p>
      <w:pPr>
        <w:pBdr/>
        <w:pStyle w:val="Heading 4"/>
        <w:spacing/>
        <w:ind/>
        <w:rPr>
          <w:i/>
        </w:rPr>
      </w:pPr>
      <w:r>
        <w:rPr/>
        <w:t xml:space="preserve">Članak 36.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 zonama u kojima su razine onečišćujućih tvari u zraku niže od graničnih vrijednosti utvrđenih u Dodatku I. odjeljku 1. tablicama 1. i 2. ovoga Zakona održavaju se razine tih onečišćujućih tvari ispod graničnih vrijednosti.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 zonama u kojima su razine onečišćujućih tvari u zraku niže od predmetnih ciljnih vrijednosti utvrđenih u Dodatku I. odjeljku 1. tablici 3. ovoga Zakona poduzimaju se nužne mjere koje ne zahtijevaju nerazmjerne troškove da se te razine zadrže ispod ciljnih vrijednosti.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U zonama u kojima su razine prizemnog ozona u zraku niže od predmetnih ciljnih vrijednosti utvrđenih u Dodatku I. odjeljku 2. točki B. ovoga Zakona poduzimaju se nužne mjere koje ne zahtijevaju nerazmjerne troškove da se te razine zadrže ispod ciljnih vrijednosti.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Dugoročni ciljevi za prizemni ozon utvrđeni u Dodatku I. odjeljku 2. točki C. ovoga Zakona nastoje se postići, a kada se postignu nastoje se održati razine prizemnog ozona ispod predmetnih dugoročnih ciljeva u mjeri u kojoj to faktori, uključujući prekograničnu narav onečišćenja prizemnim ozonom, hlapive organske spojeve (HOS) iz biogenskih izvora i meteorološke prilike, dozvoljavaju i uz uvjet da nužne mjere ne podrazumijevaju nerazmjerne troškove.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U prostornim jedinicama prosječne izloženosti u kojima su pokazatelji prosječne izloženosti za PM</w:t>
      </w:r>
      <w:r>
        <w:rPr>
          <w:rFonts w:ascii="Arial" w:eastAsia="Arial" w:hAnsi="Arial" w:cs="Arial"/>
          <w:sz w:val="24"/>
          <w:szCs w:val="24"/>
          <w:vertAlign w:val="subscript"/>
        </w:rPr>
        <w:t xml:space="preserve">2,5</w:t>
      </w:r>
      <w:r>
        <w:rPr>
          <w:rFonts w:ascii="Arial" w:eastAsia="Arial" w:hAnsi="Arial" w:cs="Arial"/>
          <w:sz w:val="24"/>
          <w:szCs w:val="24"/>
        </w:rPr>
        <w:t xml:space="preserve"> i NO</w:t>
      </w:r>
      <w:r>
        <w:rPr>
          <w:rFonts w:ascii="Arial" w:eastAsia="Arial" w:hAnsi="Arial" w:cs="Arial"/>
          <w:sz w:val="24"/>
          <w:szCs w:val="24"/>
          <w:vertAlign w:val="subscript"/>
        </w:rPr>
        <w:t xml:space="preserve">2</w:t>
      </w:r>
      <w:r>
        <w:rPr>
          <w:rFonts w:ascii="Arial" w:eastAsia="Arial" w:hAnsi="Arial" w:cs="Arial"/>
          <w:sz w:val="24"/>
          <w:szCs w:val="24"/>
        </w:rPr>
        <w:t xml:space="preserve"> niži od predmetne vrijednosti ciljane prosječne razine izloženosti za te onečišćujuće tvari kako je utvrđeno u Dodatku I. odjeljku 5. ovoga Zakona, održavaju se razine tih onečišćujućih tvari ispod ciljanih prosječnih razina izloženosti.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Najbolja kvaliteta zraka i visoka razina zaštite zdravlja ljudi i okoliša i razine kvalitete zraka ispod pragova procjene utvrđenih u Dodatku II ovoga Zakona, nastoje se postići i zadržati radi ostvarenja cilja nulte stope onečišćenja iz članka 1. stavka 1. ovoga Zakona, u skladu s preporukama Svjetske zdravstvene organizacije.</w:t>
      </w:r>
    </w:p>
    <w:p>
      <w:pPr>
        <w:pBdr/>
        <w:pStyle w:val="Heading 3"/>
        <w:spacing/>
        <w:ind/>
        <w:rPr/>
      </w:pPr>
      <w:r>
        <w:rPr/>
        <w:t xml:space="preserve">Granične vrijednosti, ciljne vrijednosti i obveze smanjenja prosječne izloženosti</w:t>
      </w:r>
    </w:p>
    <w:p>
      <w:pPr>
        <w:pBdr/>
        <w:pStyle w:val="Heading 4"/>
        <w:spacing/>
        <w:ind/>
        <w:rPr/>
      </w:pPr>
      <w:r>
        <w:rPr/>
        <w:t xml:space="preserve">Članak 37.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 zonama na teritoriju Republike Hrvatske osigurava se da razine onečišćujućih tvari u zraku ne prelaze granične vrijednosti utvrđene u Dodatku I. odjeljku 1.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 zonama na teritoriju Republike Hrvatske, poduzimanjem svih potrebnih mjera koje ne zahtijevaju nerazmjerne troškove, osigurava se da razine onečišćujućih tvari ne prekoračuju ciljne vrijednosti utvrđene u Dodatku I. odjeljku 1. tablici 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U zonama na teritoriju Republike Hrvatske, poduzimanjem svih potrebnih mjera koje ne zahtijevaju nerazmjerne troškove, osigurava se da razine prizemnog ozona ne prekoračuju ciljne vrijednosti utvrđene u Dodatku I. odjeljku 2. točki B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Osigurava se postizanje obveza smanjenja prosječne izloženosti za PM</w:t>
      </w:r>
      <w:r>
        <w:rPr>
          <w:rFonts w:ascii="Arial" w:eastAsia="Arial" w:hAnsi="Arial" w:cs="Arial"/>
          <w:sz w:val="24"/>
          <w:szCs w:val="24"/>
          <w:vertAlign w:val="subscript"/>
        </w:rPr>
        <w:t xml:space="preserve">2,5</w:t>
      </w:r>
      <w:r>
        <w:rPr>
          <w:rFonts w:ascii="Arial" w:eastAsia="Arial" w:hAnsi="Arial" w:cs="Arial"/>
          <w:sz w:val="24"/>
          <w:szCs w:val="24"/>
        </w:rPr>
        <w:t xml:space="preserve"> i NO</w:t>
      </w:r>
      <w:r>
        <w:rPr>
          <w:rFonts w:ascii="Arial" w:eastAsia="Arial" w:hAnsi="Arial" w:cs="Arial"/>
          <w:sz w:val="24"/>
          <w:szCs w:val="24"/>
          <w:vertAlign w:val="subscript"/>
        </w:rPr>
        <w:t xml:space="preserve">2</w:t>
      </w:r>
      <w:r>
        <w:rPr>
          <w:rFonts w:ascii="Arial" w:eastAsia="Arial" w:hAnsi="Arial" w:cs="Arial"/>
          <w:sz w:val="24"/>
          <w:szCs w:val="24"/>
        </w:rPr>
        <w:t xml:space="preserve"> kako su utvrđene u Dodatku I. odjeljku 5. točki B ovoga Zakona u prostornim </w:t>
      </w:r>
      <w:r>
        <w:rPr>
          <w:rFonts w:ascii="Arial" w:eastAsia="Arial" w:hAnsi="Arial" w:cs="Arial"/>
          <w:sz w:val="24"/>
          <w:szCs w:val="24"/>
        </w:rPr>
        <w:t xml:space="preserve">jedinicama prosječne izloženosti ako prekoračuju ciljane prosječne razine izloženosti utvrđene u Dodatku I. odjeljku 5. točki C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Usklađenost sa stavcima 1., 2., 3. i 4. ovoga članka procjenjuje se u skladu s pravilnikom iz članka 23.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Pokazatelji prosječne izloženosti procjenjuju se u skladu s Dodatkom I. odjeljkom 5. točkom A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Rokovi za postizanje graničnih vrijednosti utvrđeni u Dodatku I. odjeljku 1. tablici 1. ovoga Zakona mogu se odgoditi u skladu s člankom 43. ovoga Zakona.</w:t>
      </w:r>
    </w:p>
    <w:p>
      <w:pPr>
        <w:pBdr/>
        <w:pStyle w:val="Normal"/>
        <w:spacing w:before="240" w:after="0" w:line="240" w:lineRule="auto"/>
        <w:ind/>
        <w:jc w:val="both"/>
        <w:rPr/>
      </w:pPr>
      <w:r>
        <w:rPr>
          <w:rFonts w:ascii="Arial" w:eastAsia="Arial" w:hAnsi="Arial" w:cs="Arial"/>
          <w:sz w:val="24"/>
          <w:szCs w:val="24"/>
        </w:rPr>
        <w:t xml:space="preserve">(8) U zonama na teritoriju Republike Hrvatske osigurava se da razine onečišćujućih tvari u zraku ne prelaze granične vrijednosti za kvalitetu življenja utvrđene u Dodatku III. ovoga Zakona.</w:t>
      </w:r>
    </w:p>
    <w:p>
      <w:pPr>
        <w:pBdr/>
        <w:pStyle w:val="Heading 3"/>
        <w:spacing/>
        <w:ind/>
        <w:rPr/>
      </w:pPr>
      <w:r>
        <w:rPr/>
        <w:t xml:space="preserve">Kritične razine za zaštitu vegetacije i prirodnih ekosustava</w:t>
      </w:r>
    </w:p>
    <w:p>
      <w:pPr>
        <w:pBdr/>
        <w:pStyle w:val="Heading 4"/>
        <w:spacing/>
        <w:ind/>
        <w:rPr/>
      </w:pPr>
      <w:r>
        <w:rPr/>
        <w:t xml:space="preserve">Članak 38.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Osigurava se usklađenost razina sumporovog dioksida i dušikovih oksida s kritičnim razinama utvrđenima u Dodatku I.</w:t>
      </w:r>
      <w:r>
        <w:rPr>
          <w:rFonts w:ascii="Arial" w:eastAsia="Arial" w:hAnsi="Arial" w:cs="Arial"/>
          <w:sz w:val="24"/>
          <w:szCs w:val="24"/>
        </w:rPr>
        <w:t xml:space="preserve"> </w:t>
      </w:r>
      <w:r>
        <w:rPr>
          <w:rFonts w:ascii="Arial" w:eastAsia="Arial" w:hAnsi="Arial" w:cs="Arial"/>
          <w:sz w:val="24"/>
          <w:szCs w:val="24"/>
        </w:rPr>
        <w:t xml:space="preserve">odjeljku 3. ovoga Zakona, prema razinama kvalitete zraka procijenjenim u skladu pravilnikom iz članka 23. ovoga Zakona.</w:t>
      </w:r>
    </w:p>
    <w:p>
      <w:pPr>
        <w:pBdr/>
        <w:pStyle w:val="Heading 3"/>
        <w:spacing/>
        <w:ind/>
        <w:rPr/>
      </w:pPr>
      <w:r>
        <w:rPr/>
        <w:t xml:space="preserve">Kategorije kvalitete zraka</w:t>
      </w:r>
    </w:p>
    <w:p>
      <w:pPr>
        <w:pBdr/>
        <w:pStyle w:val="Heading 4"/>
        <w:spacing/>
        <w:ind/>
        <w:rPr/>
      </w:pPr>
      <w:r>
        <w:rPr/>
        <w:t xml:space="preserve">Članak 39.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Prema razinama onečišćenosti, s obzirom na propisane granične vrijednost i ciljne vrijednosti za zaštitu zdravlja ljudi, granične vrijednosti za kvalitetu življenja te kritične razine za zaštitu vegetacije i prirodnih ekosustava utvrđuju se sljedeće kategorije kvalitete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prva kategorija kvalitete zraka – čist ili neznatno onečišćen zrak: nisu prekoračene granične vrijednosti, ciljne vrijednosti i/ili ciljane prosječne razine izloženosti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druga kategorija kvalitete zraka – onečišćen zrak: prekoračene su granične vrijednosti, ciljne vrijednosti i/ili ciljane prosječne razine izloženosti.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Kategorije kvalitete zraka iz stavka 1. ovoga članka utvrđuju se za svaku onečišćujuću tvar posebno za granične, ciljne i kritične vrijednosti iz Dodatka I. i granične vrijednosti iz Dodatka III. i odnose se na zaštitu zdravlja ljudi, zaštitu vegetacije i prirodnih ekosustava te kvalitetu življenja.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Kategorije kvalitete zraka iz stavka 1. ovoga članka utvrđuju se jedanput godišnje za proteklu kalendarsku godinu.</w:t>
      </w:r>
    </w:p>
    <w:p>
      <w:pPr>
        <w:pBdr/>
        <w:pStyle w:val="Heading 3"/>
        <w:spacing/>
        <w:ind/>
        <w:rPr/>
      </w:pPr>
      <w:r>
        <w:rPr/>
        <w:t xml:space="preserve">Prekoračenja pragova upozorenja ili pragova obavješćivanja</w:t>
      </w:r>
    </w:p>
    <w:p>
      <w:pPr>
        <w:pBdr/>
        <w:pStyle w:val="Heading 4"/>
        <w:spacing/>
        <w:ind/>
        <w:rPr/>
      </w:pPr>
      <w:r>
        <w:rPr/>
        <w:t xml:space="preserve">Članak 40.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Pragovi upozorenja za koncentracije sumporova dioksida, dušikova dioksida, lebdećih čestica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i prizemnog ozona u zraku utvrđeni su u Dodatku I. odjeljku 4. točki A.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Pragovi obavješćivanja za koncentracije sumporova dioksida, dušikova dioksida, lebdećih čestica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i prizemnog ozona u zraku utvrđeni su u Dodatku I. odjeljku 4. točki B.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Prognozu kvalitete zraka i obavješćivanje jedinica lokalne samouprave odnosno Grada Zagreba o prekoračenjima i/ili predviđanju prekoračenja pragova iz stavaka 1. i 2. ovoga članka provodi Državni hidrometeorološki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U slučaju prekoračenja bilo kojeg praga upozorenja utvrđenog u Dodatku I. odjeljku 4. točki A. ovoga Zakona, ili, prema potrebi, ako se primjenama modeliranja ili drugim prognostičkim alatima predviđa njegovo prekoračenje, jedinica lokalne samouprave odnosno Grad Zagreb provodi hitne mjere navedene u kratkoročnim akcijskim planovima utvrđenima u skladu s člankom 52.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U slučaju prekoračenja bilo kojeg praga upozorenja ili praga obavješćivanja utvrđenog u Dodatku I.</w:t>
      </w:r>
      <w:r>
        <w:rPr>
          <w:rFonts w:ascii="Arial" w:eastAsia="Arial" w:hAnsi="Arial" w:cs="Arial"/>
          <w:sz w:val="24"/>
          <w:szCs w:val="24"/>
        </w:rPr>
        <w:t xml:space="preserve"> </w:t>
      </w:r>
      <w:r>
        <w:rPr>
          <w:rFonts w:ascii="Arial" w:eastAsia="Arial" w:hAnsi="Arial" w:cs="Arial"/>
          <w:sz w:val="24"/>
          <w:szCs w:val="24"/>
        </w:rPr>
        <w:t xml:space="preserve">odjeljku 4. ovoga Zakona ili, prema potrebi, ako se primjenama modeliranja ili drugim prognostičkim alatima predviđa njegovo prekoračenje, jedinice lokalne samouprave odnosno Grad Zagreb provode potrebne mjere kako bi se obavijestila javnost o tome u najkraćem mogućem vremenskom okviru i ako je moguće u roku od najviše nekoliko sati, u skladu s Dodatkom VI. točkama 2. i 3. ovoga Zakona koristeći se različitim medijima i komunikacijskim kanalima i osiguravajući širok javni pristup.</w:t>
      </w:r>
    </w:p>
    <w:p>
      <w:pPr>
        <w:pBdr/>
        <w:pStyle w:val="Heading 3"/>
        <w:spacing/>
        <w:ind/>
        <w:rPr/>
      </w:pPr>
      <w:r>
        <w:rPr/>
        <w:t xml:space="preserve">Onečišćenja iz prirodnih izvora</w:t>
      </w:r>
    </w:p>
    <w:p>
      <w:pPr>
        <w:pBdr/>
        <w:pStyle w:val="Heading 4"/>
        <w:spacing/>
        <w:ind/>
        <w:rPr/>
      </w:pPr>
      <w:r>
        <w:rPr/>
        <w:t xml:space="preserve">Članak 41.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Za određenu kalendarsku godinu mogu se utvrditi: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zone u kojima se prekoračenja graničnih vrijednosti za zadane onečišćujuće tvari mogu pripisati prirodnim izvorima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prostorna jedinica prosječne izloženosti ili dijelovi prostorne jedinice u kojima se prekoračenja razine određene obvezama smanjenja prosječne izloženosti mogu pripisati prirodnim izvorima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Ministarstvo osigurava prikupljanje podataka o zonama i/ili prostornoj jedinici prosječne izloženosti iz stavka 1. ovoga članka, zajedno s informacijama o koncentracijama i izvorima, i dokazima da se prekoračenja mogu pripisati prirodnim izvorima.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Ministarstvo, u suradnji s Nacionalnim referentnim laboratorijima, dostavlja podatke iz stavka 2. ovoga članka Europskoj komisiji u skladu s provedbenim aktom Europske komisije kojim se uređuje uzajamna razmjena podataka o kvaliteti zraka.</w:t>
      </w:r>
    </w:p>
    <w:p>
      <w:pPr>
        <w:pBdr/>
        <w:pStyle w:val="Heading 3"/>
        <w:spacing/>
        <w:ind/>
        <w:rPr/>
      </w:pPr>
      <w:r>
        <w:rPr/>
        <w:t xml:space="preserve">Prekoračenja koja se mogu pripisati zimskom posipavanju cesta pijeskom ili solju</w:t>
      </w:r>
    </w:p>
    <w:p>
      <w:pPr>
        <w:pBdr/>
        <w:pStyle w:val="Heading 4"/>
        <w:spacing/>
        <w:ind/>
        <w:rPr/>
      </w:pPr>
      <w:r>
        <w:rPr/>
        <w:t xml:space="preserve">Članak 42.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Za određenu godinu Ministarstvo može utvrditi zone u kojima su granične vrijednosti za lebdeće čestice PM</w:t>
      </w:r>
      <w:r>
        <w:rPr>
          <w:rFonts w:ascii="Arial" w:eastAsia="Arial" w:hAnsi="Arial" w:cs="Arial"/>
          <w:sz w:val="24"/>
          <w:szCs w:val="24"/>
          <w:vertAlign w:val="subscript"/>
        </w:rPr>
        <w:t xml:space="preserve">10</w:t>
      </w:r>
      <w:r>
        <w:rPr>
          <w:rFonts w:ascii="Arial" w:eastAsia="Arial" w:hAnsi="Arial" w:cs="Arial"/>
          <w:sz w:val="24"/>
          <w:szCs w:val="24"/>
        </w:rPr>
        <w:t xml:space="preserve"> u zraku prekoračene zbog resuspendiranja lebdećih čestica zbog zimskog posipavanja cesta pijeskom ili solju.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Zavod vodi evidenciju o zonama iz stavka 1. ovoga članka, zajedno s podacima o koncentracijama i izvorima PM</w:t>
      </w:r>
      <w:r>
        <w:rPr>
          <w:rFonts w:ascii="Arial" w:eastAsia="Arial" w:hAnsi="Arial" w:cs="Arial"/>
          <w:sz w:val="24"/>
          <w:szCs w:val="24"/>
          <w:vertAlign w:val="subscript"/>
        </w:rPr>
        <w:t xml:space="preserve">10</w:t>
      </w:r>
      <w:r>
        <w:rPr>
          <w:rFonts w:ascii="Arial" w:eastAsia="Arial" w:hAnsi="Arial" w:cs="Arial"/>
          <w:sz w:val="24"/>
          <w:szCs w:val="24"/>
        </w:rPr>
        <w:t xml:space="preserve"> koji se nalaze u tim zonama.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Institut za medicinska istraživanja i medicinu rada u suradnji s Državnim hidrometeorološkim zavodom te jedinicama lokalne i područne (regionalne) samouprave osigurava pribavljanje potrebnih dokaza da su prekoračenja uzrokovana resuspendiranim lebdećim česticama PM</w:t>
      </w:r>
      <w:r>
        <w:rPr>
          <w:rFonts w:ascii="Arial" w:eastAsia="Arial" w:hAnsi="Arial" w:cs="Arial"/>
          <w:sz w:val="24"/>
          <w:szCs w:val="24"/>
          <w:vertAlign w:val="subscript"/>
        </w:rPr>
        <w:t xml:space="preserve">10</w:t>
      </w:r>
      <w:r>
        <w:rPr>
          <w:rFonts w:ascii="Arial" w:eastAsia="Arial" w:hAnsi="Arial" w:cs="Arial"/>
          <w:sz w:val="24"/>
          <w:szCs w:val="24"/>
        </w:rPr>
        <w:t xml:space="preserve">,</w:t>
      </w:r>
      <w:r>
        <w:rPr>
          <w:rFonts w:ascii="Arial" w:eastAsia="Arial" w:hAnsi="Arial" w:cs="Arial"/>
          <w:sz w:val="24"/>
          <w:szCs w:val="24"/>
          <w:vertAlign w:val="subscript"/>
        </w:rPr>
        <w:t xml:space="preserve"> </w:t>
      </w:r>
      <w:r>
        <w:rPr>
          <w:rFonts w:ascii="Arial" w:eastAsia="Arial" w:hAnsi="Arial" w:cs="Arial"/>
          <w:sz w:val="24"/>
          <w:szCs w:val="24"/>
        </w:rPr>
        <w:t xml:space="preserve">a jedinica lokalne samouprave osigurava da su poduzete razumne mjere za snižavanje takvih koncentracija.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Prekoračenja uzrokovana resuspendiranim lebdećim česticama iz stavka 3. ovoga članka sastavni su dio izvješća o razinama onečišćenosti i ocjeni kvalitete zraka iz članka 30. stavka 7. i članka 31. stavka 5.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Na temelju dostavljenih izvješća iz članka 30. stavka 7. ovoga Zakona i članka 31. stavka 5. ovoga Zakona Ministarstvo utvrđuje zone iz stavka 1.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Ministarstvo dostavlja Europskoj komisiji podatke iz stavaka 2. i 3.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Ne dovodeći u pitanje onečišćenja iz članka 41. ovoga Zakona, u slučaju zona iz stavka 1. ovoga članka predstavničko tijelo jedinice lokalne samouprave odnosno Grada Zagreba donosi plan za kvalitetu zraka iz članka 45. stavka 1. ovoga Zakona samo ako se prekoračenje može pripisati izvorima lebdećih čestica PM</w:t>
      </w:r>
      <w:r>
        <w:rPr>
          <w:rFonts w:ascii="Arial" w:eastAsia="Arial" w:hAnsi="Arial" w:cs="Arial"/>
          <w:sz w:val="24"/>
          <w:szCs w:val="24"/>
          <w:vertAlign w:val="subscript"/>
        </w:rPr>
        <w:t xml:space="preserve">10</w:t>
      </w:r>
      <w:r>
        <w:rPr>
          <w:rFonts w:ascii="Arial" w:eastAsia="Arial" w:hAnsi="Arial" w:cs="Arial"/>
          <w:sz w:val="24"/>
          <w:szCs w:val="24"/>
        </w:rPr>
        <w:t xml:space="preserve"> koji nisu posljedica zimskog posipavanja cesta pijeskom ili solju.</w:t>
      </w:r>
    </w:p>
    <w:p>
      <w:pPr>
        <w:pBdr/>
        <w:pStyle w:val="Heading 3"/>
        <w:spacing/>
        <w:ind/>
        <w:rPr/>
      </w:pPr>
      <w:r>
        <w:rPr/>
        <w:t xml:space="preserve">Odgoda krajnjeg roka za postizanje usklađenosti i izuzeće od obaveze primjene određenih graničnih vrijednosti</w:t>
      </w:r>
    </w:p>
    <w:p>
      <w:pPr>
        <w:pBdr/>
        <w:pStyle w:val="Heading 4"/>
        <w:spacing/>
        <w:ind/>
        <w:rPr/>
      </w:pPr>
      <w:r>
        <w:rPr/>
        <w:t xml:space="preserve">Članak 43.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Ako se u određenoj zoni ne može postići sukladnost s graničnim vrijednostima za lebdeće čestice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dušikov dioksid, benzen ili benzo(a)piren do 1. siječnja 2030., Republika Hrvatska može odgoditi taj krajnji rok za tu određenu zonu na razdoblje opravdano planom djelovanja za kvalitetu zraka iz članka 46. ovoga Zakona i pod uvjetom da su ispunjeni uvjeti utvrđeni u stavku 6.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Odgoda iz stavka 1. ovoga članka može biti: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a) do 1. siječnja 2040., ako je to opravdano disperzijskim karakteristikama određenog mjesta, graničnim orografskim uvjetima, nepovoljnim klimatskim uvjetima ili prekograničnim prijenosom onečišćujućih tvari ili ako se potrebna smanjenja mogu postići samo zamjenom značajnog dijela postojećih sustava grijanja u kućanstvima koji su izvor onečišćenja koji uzrokuje prekoračenja ili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b) do 1. siječnja 2035., ako je to opravdano projekcijama koje pokazuju da čak i uzimajući u obzir očekivani utjecaj učinkovitih mjera za smanjivanje onečišćenja zraka utvrđenih u planu djelovanja za kvalitetu zraka, granične vrijednosti ne mogu biti dosegnute do roka za postizanje usklađenosti.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Ako je rok za postizanje usklađenosti odgođen u skladu sa stavkom 2. točkom b) ovoga članka, ali se usklađenost ne može postići do tog odgođenog roka, Republika Hrvatska može odgoditi rok za tu određenu zonu drugi i posljednji put za razdoblje koje nije dulje od dvije godine od kraja prvog razdoblja odgode.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Odgoda iz stavka 3. ovoga članka mora biti opravdana ažuriranim planom djelovanja za kvalitetu zraka iz članka 46. ovoga Zakona, pod uvjetom da su ispunjeni uvjeti iz stavka 6.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Zahtjev za odgodom iz stavka 3. ovoga članka jedinica lokalne samouprave odnosno Grad Zagreb dostavlja Ministarstvu, a Ministarstvo podnosi Europskoj komisiji do 31. prosinca 2028..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Republika Hrvatska može odgoditi rok za postizanje usklađenosti u skladu sa stavcima 1., 2. i 3. ovoga članka ako su ispunjeni sljedeći uvjeti: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a) donesen je plan djelovanja za kvalitetu zraka iz članka 46. ovoga Zakona do 31. prosinca 2028. koji ispunjava zahtjeve navedene u člancima 49. i 50. te članku 51. stavku 8. ovoga Zakona za zonu na koju se odnosi odgoda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b) plan djelovanja za kvalitetu zraka iz točke a) ovoga stavka dopunjen je informacijama koje se odnose na mjere za smanjenje onečišćenja iz Dodatka V. točke B. ovoga Zakona i pokazuje kako će se postići da razdoblja prekoračenja graničnih vrijednosti budu što kraća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c) plan djelovanja za kvalitetu zraka iz točke a) ovoga stavka temelji se na projekcijama kvalitete zraka, uključujući projekcije provedene za potrebe Dodatka V. točke A., točke 5. i točke 7. podtočke (e) ovoga Zakona, koje pokazuju kako će se granične vrijednosti postići što je prije moguće, a najkasnije do kraja odgođenog roka za postizanje usklađenosti, uzimajući u obzir razumne i razmjerne mjere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d) u planu djelovanja za kvalitetu zraka iz točke a) ovoga stavka navodi se kako će javnost, a osobito osjetljivo stanovništvo i ranjive skupine, na dosljedan i lako razumljiv način biti obaviješteni o posljedicama te odgode za zdravlje ljudi i okoliš</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e) u planu djelovanja za kvalitetu zraka iz točke a) ovoga stavka navodi se kako će se mobilizirati dodatna sredstva, među ostalim u okviru relevantnih nacionalnih programa i, ako je primjenjivo, programa financiranja sredstvima Europske unije, za brže poboljšanje kvalitete zraka u zoni na koju bi se odgoda primjenjivala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f) uvjeti utvrđeni u stavku 7. ovoga članka ispunjeni su tijekom cijelog razdoblja odgode roka za postizanje usklađenosti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g) ako je rok za postizanje ciljeva odgođen u skladu sa stavkom 3. ovoga članka, ažurirani plan djelovanja za kvalitetu zraka iz navedenoga stavka pokazuje da je prvi plan djelovanja za kvalitetu zraka proveden ili da su poduzeti koraci s ciljem njegove provedbe te je dopunjen analizom koja pokazuje da polazne projekcije usklađenosti provedene u skladu s točkom c) ovoga stavka nisu ostvarene.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Tijekom razdoblja odgode roka za postizanje usklađenosti u skladu sa stavcima 1., 2. i 3. ovoga članka, osigurava se da su ispunjeni sljedeći uvjeti: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a) provode se mjere iz plana djelovanja za kvalitetu zraka iz članka 46. ovoga Zakona, gdje je primjenjivo ažurirane u skladu s točkom (d) ovoga stavka, što se dokazuje putem izvješća o provedbi plana djelovanja za kvalitetu zraka iz članka 48. ovoga Zakona (u daljnjem tekstu: izvješće o provedbi).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b) izvješće o provedbi iz članka 48. ovoga Zakona, dostavljeno Komisiji svake dvije i pol godine, a prvi put do 30. lipnja 2031., uključuje ažurirane projekcije emisija i, gdje je moguće, projekcije koncentracija kvalitete zraka </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c) u izvješću o provedbi iz članka 48. ovoga Zakona, gdje je relevantno, može se uputiti na najnovije programe i projekcije emisija o kojima se izvješćuje u skladu s uredbom iz članka 62. ovoga Zakona i prateće informativno izvješće o inventaru te se, gdje je relevantno, izvješće o provedbi može uključiti u ažurirani plan djelovanja za kvalitetu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d) plan djelovanja za kvalitetu zraka iz članka 46. ovoga Zakona ažurira se u skladu s člankom 48.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e) od 1. siječnja 2035. razine koncentracije relevantne onečišćujuće tvari pokazuju opći trend smanjenja u skladu s indikativnom putanjom prema usklađenosti procijenjenom u ažuriranom planu djelovanja za kvalitetu zraka utvrđenom u skladu s Dodatkom V. točkom A., točkom 7. (e) ovoga Zakona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f) izvješća o provedbi i ažurirani planovi djelovanja za kvalitetu zraka Ministarstvo dostavlja Europskoj komisiji u roku od 2 mjeseca od njihova donošenja.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Ministarstvo obavještava Europsku komisiju najkasnije do 31. siječnja 2029. o slučajevima u kojima se, primjenjuje stavak 2. točke (a) i (b) ovoga članka te dostavlja plan djelovanja za kvalitetu zraka iz stavka 1. ovoga članka i sve relevantne informacije koje su nužne kako bi Europska komisija procijenila jesu li razlozi za odgodu opravdani.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Ministarstvo obavještava Europsku komisiju najkasnije do 31. siječnja 2034. o slučajevima u kojima se, usklađenost ne može postići do odgođenog roka postizanja usklađenosti u skladu sa stavkom 3. ovoga članka te dostavljaju plan djelovanja za kvalitetu zraka iz stavka 1. ovoga članka i sve relevantne informacije koje su nužne kako bi Europska komisija procijenila jesu li navedeni razlozi za odgodu opravdani. </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(10) Kad je riječ o projekcijama dostavljenima kao razlog za odgodu, Ministarstvo obrazlaže metode i podatke upotrijebljene za dobivanje tih projekcija.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(11) Ako Europska komisija ne uputi primjedbe u roku od 9 mjeseci od primitka obavijesti iz stavaka 8. i 9. ovoga članka, smatra se da su ispunjeni uvjeti za primjenu stavaka 1., 2. i 3.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(12) Ako Europska komisija uputi primjedbe, može od Republike Hrvatske zahtijevati da prilagodi postojeće ili izradi nove planove djelovanja za kvalitetu zraka kako bi ispunila uvjete utvrđene u stavcima 1., 2. i 3.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(13) Dodatne tehničke pojedinosti o zahtjevima za projekcije, te o razumnim i razmjernim mjerama i informacijama koje treba uključiti u izvješća o provedbi iz stavka 7. ovoga članka definirane su u provedbenim aktima Europske unije iz članka 2. stavka 2. ovoga Zakona.</w:t>
      </w:r>
    </w:p>
    <w:p>
      <w:pPr>
        <w:pBdr/>
        <w:pStyle w:val="Heading 2"/>
        <w:spacing/>
        <w:ind/>
        <w:rPr/>
      </w:pPr>
      <w:r>
        <w:rPr/>
        <w:t xml:space="preserve">GLAVA V.</w:t>
      </w:r>
    </w:p>
    <w:p>
      <w:pPr>
        <w:pBdr/>
        <w:pStyle w:val="Heading 2"/>
        <w:spacing/>
        <w:ind/>
        <w:rPr/>
      </w:pPr>
      <w:r>
        <w:rPr/>
        <w:t xml:space="preserve">PLANOVI</w:t>
      </w:r>
    </w:p>
    <w:p>
      <w:pPr>
        <w:pBdr/>
        <w:pStyle w:val="Heading 3"/>
        <w:spacing/>
        <w:ind/>
        <w:rPr/>
      </w:pPr>
      <w:r>
        <w:rPr/>
        <w:t xml:space="preserve">Vrste planova</w:t>
      </w:r>
    </w:p>
    <w:p>
      <w:pPr>
        <w:pBdr/>
        <w:pStyle w:val="Heading 4"/>
        <w:spacing/>
        <w:ind/>
        <w:rPr/>
      </w:pPr>
      <w:r>
        <w:rPr/>
        <w:t xml:space="preserve">Članak 44.</w:t>
      </w:r>
    </w:p>
    <w:p>
      <w:pPr>
        <w:pBdr/>
        <w:pStyle w:val="Normal"/>
        <w:spacing w:before="240" w:line="240" w:lineRule="auto"/>
        <w:ind/>
        <w:jc w:val="both"/>
        <w:rPr>
          <w:rFonts w:ascii="Arial" w:eastAsia="Arial" w:hAnsi="Arial" w:cs="Arial"/>
          <w:sz w:val="24"/>
          <w:szCs w:val="24"/>
        </w:rPr>
      </w:pPr>
      <w:r>
        <w:rPr>
          <w:rFonts w:ascii="Arial" w:eastAsia="Arial" w:hAnsi="Arial" w:cs="Arial"/>
          <w:sz w:val="24"/>
          <w:szCs w:val="24"/>
        </w:rPr>
        <w:t xml:space="preserve">U cilju poboljšanja kvalitete zraka radi zaštite zdravlja ljudi i kvalitete življenja te vegetacije i prirodnih ekosustava donose se:</w:t>
      </w:r>
    </w:p>
    <w:p>
      <w:pPr>
        <w:pBdr/>
        <w:pStyle w:val="Normal"/>
        <w:spacing w:before="120" w:line="240" w:lineRule="auto"/>
        <w:ind/>
        <w:jc w:val="both"/>
        <w:rPr>
          <w:rFonts w:ascii="Arial" w:eastAsia="Arial" w:hAnsi="Arial" w:cs="Arial"/>
          <w:sz w:val="24"/>
          <w:szCs w:val="24"/>
        </w:rPr>
      </w:pPr>
      <w:r>
        <w:rPr>
          <w:rFonts w:ascii="Arial" w:eastAsia="Arial" w:hAnsi="Arial" w:cs="Arial"/>
          <w:sz w:val="24"/>
          <w:szCs w:val="24"/>
        </w:rPr>
        <w:t xml:space="preserve">– plan za kvalitetu zraka za određenu zonu u skladu s člankom 45. stavkom 1. ovoga Zakona</w:t>
      </w:r>
    </w:p>
    <w:p>
      <w:pPr>
        <w:pBdr/>
        <w:pStyle w:val="Normal"/>
        <w:spacing w:before="120" w:line="240" w:lineRule="auto"/>
        <w:ind/>
        <w:jc w:val="both"/>
        <w:rPr>
          <w:rFonts w:ascii="Arial" w:eastAsia="Arial" w:hAnsi="Arial" w:cs="Arial"/>
          <w:sz w:val="24"/>
          <w:szCs w:val="24"/>
        </w:rPr>
      </w:pPr>
      <w:r>
        <w:rPr>
          <w:rFonts w:ascii="Arial" w:eastAsia="Arial" w:hAnsi="Arial" w:cs="Arial"/>
          <w:sz w:val="24"/>
          <w:szCs w:val="24"/>
        </w:rPr>
        <w:t xml:space="preserve">– plan za kvalitetu zraka za prizemni ozon u skladu s člankom 45. stavkom 4. ovoga Zakona</w:t>
      </w:r>
    </w:p>
    <w:p>
      <w:pPr>
        <w:pBdr/>
        <w:pStyle w:val="Normal"/>
        <w:spacing w:before="120" w:line="240" w:lineRule="auto"/>
        <w:ind/>
        <w:jc w:val="both"/>
        <w:rPr>
          <w:rFonts w:ascii="Arial" w:eastAsia="Arial" w:hAnsi="Arial" w:cs="Arial"/>
          <w:sz w:val="24"/>
          <w:szCs w:val="24"/>
        </w:rPr>
      </w:pPr>
      <w:r>
        <w:rPr>
          <w:rFonts w:ascii="Arial" w:eastAsia="Arial" w:hAnsi="Arial" w:cs="Arial"/>
          <w:sz w:val="24"/>
          <w:szCs w:val="24"/>
        </w:rPr>
        <w:t xml:space="preserve">– plan za kvalitetu zraka za ispunjenje obveze smanjenja prosječne izloženosti u skladu s člankom 45. stavkom 12. ovoga Zakona</w:t>
      </w:r>
    </w:p>
    <w:p>
      <w:pPr>
        <w:pBdr/>
        <w:pStyle w:val="Normal"/>
        <w:spacing w:before="120" w:line="240" w:lineRule="auto"/>
        <w:ind/>
        <w:jc w:val="both"/>
        <w:rPr>
          <w:rFonts w:ascii="Arial" w:eastAsia="Arial" w:hAnsi="Arial" w:cs="Arial"/>
          <w:sz w:val="24"/>
          <w:szCs w:val="24"/>
        </w:rPr>
      </w:pPr>
      <w:r>
        <w:rPr>
          <w:rFonts w:ascii="Arial" w:eastAsia="Arial" w:hAnsi="Arial" w:cs="Arial"/>
          <w:sz w:val="24"/>
          <w:szCs w:val="24"/>
        </w:rPr>
        <w:t xml:space="preserve">– plan djelovanja za kvalitetu zraka u skladu s člankom 46. ovoga Zakona i</w:t>
      </w:r>
    </w:p>
    <w:p>
      <w:pPr>
        <w:pBdr/>
        <w:pStyle w:val="Normal"/>
        <w:spacing w:before="120" w:line="240" w:lineRule="auto"/>
        <w:ind/>
        <w:jc w:val="both"/>
        <w:rPr>
          <w:rFonts w:ascii="Arial" w:eastAsia="Arial" w:hAnsi="Arial" w:cs="Arial"/>
          <w:sz w:val="24"/>
          <w:szCs w:val="24"/>
        </w:rPr>
      </w:pPr>
      <w:r>
        <w:rPr>
          <w:rFonts w:ascii="Arial" w:eastAsia="Arial" w:hAnsi="Arial" w:cs="Arial"/>
          <w:sz w:val="24"/>
          <w:szCs w:val="24"/>
        </w:rPr>
        <w:t xml:space="preserve">– kratkoročni akcijski plan u skladu s člankom 52. ovoga Zakona.</w:t>
      </w:r>
    </w:p>
    <w:p>
      <w:pPr>
        <w:pBdr/>
        <w:pStyle w:val="Heading 3"/>
        <w:spacing/>
        <w:ind/>
        <w:rPr/>
      </w:pPr>
      <w:r>
        <w:rPr/>
        <w:t xml:space="preserve">Planovi za kvalitetu zraka</w:t>
      </w:r>
    </w:p>
    <w:p>
      <w:pPr>
        <w:pBdr/>
        <w:pStyle w:val="Heading 4"/>
        <w:spacing/>
        <w:ind/>
        <w:rPr/>
      </w:pPr>
      <w:r>
        <w:rPr/>
        <w:t xml:space="preserve">Članak 45.</w:t>
      </w:r>
    </w:p>
    <w:p>
      <w:pPr>
        <w:pBdr/>
        <w:pStyle w:val="Normal"/>
        <w:spacing w:before="240" w:line="240" w:lineRule="auto"/>
        <w:ind/>
        <w:jc w:val="both"/>
        <w:rPr>
          <w:rFonts w:ascii="Arial" w:eastAsia="Arial" w:hAnsi="Arial" w:cs="Arial"/>
          <w:sz w:val="24"/>
          <w:szCs w:val="24"/>
        </w:rPr>
      </w:pPr>
      <w:r>
        <w:rPr>
          <w:rFonts w:ascii="Arial" w:eastAsia="Arial" w:hAnsi="Arial" w:cs="Arial"/>
          <w:sz w:val="24"/>
          <w:szCs w:val="24"/>
        </w:rPr>
        <w:t xml:space="preserve">(1) Ako u određenim zonama razine onečišćujućih tvari u zraku prekorače bilo koju graničnu vrijednost ili ciljnu vrijednost utvrđenu u Dodatku I. odjeljku 1. i Dodatku III. ovoga Zakona donose se planovi za kvalitetu zraka za tu zonu.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Planovi za kvalitetu zraka iz stavka 1. ovoga članka sadrže odgovarajuće mjere za postizanje predmetne granične vrijednosti ili ciljne vrijednosti i održavanje razdoblja prekoračenja što kraćim, a u svakom slučaju da razdoblje prekoračenja ne bude dulje od četiri godine od kraja kalendarske godine u kojoj je zabilježeno prvo prekoračenje.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Ako je u određenoj zoni prekoračenje granične vrijednosti već obuhvaćeno planom djelovanja za kvalitetu zraka iz članka 46. ovoga Zakona, osigurava se da su mjere utvrđene u tom planu djelovanja primjerene kako bi razdoblje prekoračenja bilo što kraće i, ako je relevantno, poduzimaju se dodatne i učinkovitije mjere i slijedi se postupak za izmjene i dopune plana djelovanja za kvalitetu zraka kako je utvrđeno u članku 48.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Ako u prostornoj jedinici za prizemni ozon, određenoj prema uredbi iz članka 20. stavka 6. ovoga Zakona koja obuhvaća barem jednu zonu, razine onečišćujućih tvari u zraku prekoračuju bilo koju ciljnu vrijednost za prizemni ozon utvrđenu u Dodatku I. odjeljku 2. ovoga Zakona, donosi se plan za kvalitetu zraka za prizemni ozon za tu prostornu jedinicu.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Plan za kvalitetu zraka iz stavka 4. ovoga članka sadrži odgovarajuće mjere za postizanje ciljne vrijednosti za prizemni ozon i održavanje razdoblja prekoračenja što kraćim.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Ako je u određenoj prostornoj jedinici prekoračenje ciljne vrijednosti za prizemni ozon već obuhvaćeno planom djelovanja za kvalitetu zraka iz članka 46. ovoga Zakona, Ministarstvo osigurava da su mjere utvrđene u tom planu djelovanja primjerene kako bi razdoblje prekoračenja bilo što kraće i, kada je primjenjivo, slijedi postupak izmjena i dopuna plana djelovanja za kvalitetu zraka kako je utvrđeno u članku 48.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Iznimno od stavka 4. ovoga članka, Ministarstvo ne donosi plan za kvalitetu zraka za prizemni ozon iz stavka 4. ovoga članka ili plan djelovanja za kvalitetu zraka za prizemni ozon iz članka 46. stavka 2. ovoga Zakona ako ne postoji znatan potencijal za smanjenje koncentracija prizemnog ozona, uzimajući u obzir geografske i meteorološke uvjete, i ako bi mjere podrazumijevale nerazmjerne troškove.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O ne donošenju plana za kvalitetu zraka ili plana djelovanja za kvalitetu zraka iz stavka 7. ovoga članka Ministarstvo donosi Odluku.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Odluka iz stavka 8. ovoga članka sadrži obrazloženje o razlozima ne postojanja potencijala za smanjenje prekoračenja te o njenom donošenju Ministarstvo informira javnost i Europsku komisiju.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(10) Ministarstvo najmanje svakih pet godina ponovno procjenjuje potencijal za smanjenje koncentracija prizemnog ozona.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(11) Za prostornu jedinicu u kojoj je prekoračena ciljna vrijednost za prizemni ozon, Ministarstvo osigurava da Program kontrole onečišćenja zraka iz članka 17. ovoga </w:t>
      </w:r>
      <w:r>
        <w:rPr>
          <w:rFonts w:ascii="Arial" w:eastAsia="Arial" w:hAnsi="Arial" w:cs="Arial"/>
          <w:sz w:val="24"/>
          <w:szCs w:val="24"/>
        </w:rPr>
        <w:t xml:space="preserve">Zakona uključuje mjere koje se odnose na prekursore prizemnog ozona definirane uredbom iz članka 62.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(12) Ako u prostornoj jedinici prosječne izloženosti nije postignuta obveza smanjenja prosječne izloženosti za PM</w:t>
      </w:r>
      <w:r>
        <w:rPr>
          <w:rFonts w:ascii="Arial" w:eastAsia="Arial" w:hAnsi="Arial" w:cs="Arial"/>
          <w:sz w:val="24"/>
          <w:szCs w:val="24"/>
          <w:vertAlign w:val="subscript"/>
        </w:rPr>
        <w:t xml:space="preserve">2,5</w:t>
      </w:r>
      <w:r>
        <w:rPr>
          <w:rFonts w:ascii="Arial" w:eastAsia="Arial" w:hAnsi="Arial" w:cs="Arial"/>
          <w:sz w:val="24"/>
          <w:szCs w:val="24"/>
        </w:rPr>
        <w:t xml:space="preserve"> i NO</w:t>
      </w:r>
      <w:r>
        <w:rPr>
          <w:rFonts w:ascii="Arial" w:eastAsia="Arial" w:hAnsi="Arial" w:cs="Arial"/>
          <w:sz w:val="24"/>
          <w:szCs w:val="24"/>
          <w:vertAlign w:val="subscript"/>
        </w:rPr>
        <w:t xml:space="preserve">2</w:t>
      </w:r>
      <w:r>
        <w:rPr>
          <w:rFonts w:ascii="Arial" w:eastAsia="Arial" w:hAnsi="Arial" w:cs="Arial"/>
          <w:sz w:val="24"/>
          <w:szCs w:val="24"/>
        </w:rPr>
        <w:t xml:space="preserve"> utvrđena u Dodatku I. odjeljku 5. ovoga Zakona donosi se plan za kvalitetu zraka kojim se utvrđuju odgovarajuće mjere za ispunjenje obveze smanjenja prosječne izloženosti i održavanje razdoblja prekoračenja što kraćim.</w:t>
      </w:r>
    </w:p>
    <w:p>
      <w:pPr>
        <w:pBdr/>
        <w:pStyle w:val="Heading 3"/>
        <w:spacing/>
        <w:ind/>
        <w:rPr/>
      </w:pPr>
      <w:r>
        <w:rPr/>
        <w:t xml:space="preserve">Planovi djelovanja za kvalitetu zraka</w:t>
      </w:r>
    </w:p>
    <w:p>
      <w:pPr>
        <w:pBdr/>
        <w:pStyle w:val="Heading 4"/>
        <w:spacing/>
        <w:ind/>
        <w:rPr/>
      </w:pPr>
      <w:r>
        <w:rPr/>
        <w:t xml:space="preserve">Članak 46.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Ako su u razdoblju od 1. siječnja 2026. do 31. prosinca 2029. u zoni, zabilježene razine onečišćujućih tvari iznad bilo koje granične vrijednosti koju treba postići do 1. siječnja 2030., kako je utvrđeno u Dodatku I. odjeljku 1. tablici 1. ovoga Zakona, donosi se plan djelovanja za kvalitetu zraka kako bi se do isteka roka za postizanje usklađenosti postigle odgovarajuće granične vrijednosti.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Ako su u razdoblju od 1. siječnja 2026. do 31. prosinca 2029. u prostornoj jedinici za prizemni ozon, zabilježena prekoračenja bilo koje ciljne vrijednosti za prizemni ozon, kako je utvrđeno u Dodatku I. odjeljku II. točki B. ovoga Zakona, ne dovodeći u pitanje odredbe iz članka 45. stavka 7. ovoga Zakona, donosi se plan djelovanja za kvalitetu zraka kako bi se do isteka roka za postizanje usklađenosti postigla odgovarajuća ciljna vrijednost.</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Iznimno, tijela nadležna za donošenje planova djelovanja za kvalitetu zraka iz stavaka 1. i 2. ovoga članka, mogu donijeti odluku o ne donošenju plana ako se na temelju informacija iz Dodatka V. točke A. podtočke 5. (opis osnovnog scenarija) ovoga Zakona pokaže da se granična ili ciljna vrijednost postižu mjerama koje su na snazi, uključujući i prekoračenja uzrokovana privremenim aktivnostima koje utječu na razine onečišćujućih tvari u jednoj godini.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Odluka iz stavka 3. ovoga članka sadrži detaljno obrazloženje o tome zašto se ne donosi plan djelovanja za kvalitetu zraka iz stavka 1. i 2.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Ako odluku iz stavka 3. ovoga članka donose predstavnička tijela jedinica lokalne samouprave odnosno Grada Zagreba oni informiraju javnost i Ministarstvo koje o istome obavještava Europsku komisiju.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Ako odluku iz stavka 3. ovoga članka donosi Ministarstvo, ono informira javnost i Europsku komisiju.</w:t>
      </w:r>
    </w:p>
    <w:p>
      <w:pPr>
        <w:pBdr/>
        <w:pStyle w:val="Heading 3"/>
        <w:spacing/>
        <w:ind/>
        <w:rPr/>
      </w:pPr>
      <w:r>
        <w:rPr/>
        <w:t xml:space="preserve">Izrada i donošenje planova za kvalitetu zraka i planova djelovanja za kvalitetu zraka</w:t>
      </w:r>
    </w:p>
    <w:p>
      <w:pPr>
        <w:pBdr/>
        <w:pStyle w:val="Heading 4"/>
        <w:spacing/>
        <w:ind/>
        <w:rPr/>
      </w:pPr>
      <w:r>
        <w:rPr/>
        <w:t xml:space="preserve">Članak 47.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Osiguravanje izrade i donošenje planova za kvalitetu zraka iz članka 45. ovoga Zakona i planova djelovanja za kvalitetu zraka iz članka 46. ovoga Zakona provodi se u skladu s nadležnostima iz članka 9.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Tijelo nadležno za osiguravanje izrade plana za kvalitetu zraka iz članka 45. ovoga Zakona i plana djelovanja za kvalitetu zraka iz članka 46. ovoga Zakona može određene poslove izrade povjeriti stručnom izrađivaču koji posjeduje znanja iz područja prirodnih, tehničkih i biotehničkih znanosti.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Ako više jedinica lokalne samouprave, odnosno Grad Zagreb, pripada istoj zoni u kojoj razine onečišćujućih tvari prekoračuju bilo koju graničnu vrijednost ili ciljnu vrijednost, one mogu zajednički surađivati u izradi, planova za kvalitetu zraka iz članka 45. ovoga Zakona i planova djelovanja za kvalitetu zraka iz članka 46. ovoga Zakona, radi harmonizacije mjera.</w:t>
      </w:r>
    </w:p>
    <w:p>
      <w:pPr>
        <w:pBdr/>
        <w:pStyle w:val="Normal"/>
        <w:spacing w:before="240" w:after="0" w:line="240" w:lineRule="auto"/>
        <w:ind/>
        <w:jc w:val="both"/>
        <w:rPr>
          <w:sz w:val="24"/>
          <w:szCs w:val="24"/>
        </w:rPr>
      </w:pPr>
      <w:r>
        <w:rPr>
          <w:rFonts w:ascii="Arial" w:eastAsia="Arial" w:hAnsi="Arial" w:cs="Arial"/>
          <w:sz w:val="24"/>
          <w:szCs w:val="24"/>
        </w:rPr>
        <w:t xml:space="preserve">(4) Planovi za kvalitetu zraka iz članka 45. ovoga Zakona dodatno mogu sadržavati obvezu poštivanja strožih graničnih vrijednosti emisija za srednje uređaje za loženje, srednje plinske turbine i/ili postrojenja koja su obveznici okolišne dozvole na temelju procjene o njihovoj potrebi i uz uvjet da će primjena takvih graničnih vrijednosti emisija učinkovito pridonijeti znatnom poboljšanju kvalitete zraka.</w:t>
      </w:r>
    </w:p>
    <w:p>
      <w:pPr>
        <w:pBdr/>
        <w:pStyle w:val="Heading 3"/>
        <w:spacing/>
        <w:ind/>
        <w:rPr/>
      </w:pPr>
      <w:r>
        <w:rPr/>
        <w:t xml:space="preserve">Izmjene i dopune planova za kvalitetu zraka i planova djelovanja za kvalitetu zraka</w:t>
      </w:r>
    </w:p>
    <w:p>
      <w:pPr>
        <w:pBdr/>
        <w:pStyle w:val="Heading 4"/>
        <w:spacing/>
        <w:ind/>
        <w:rPr/>
      </w:pPr>
      <w:r>
        <w:rPr/>
        <w:t xml:space="preserve">Članak 48.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Jedinica lokalne samouprave odnosno Grad Zagreb prati provedbu mjera za smanjivanje onečišćenja zraka, vremenski plan provedbe i praćenje razina onečišćenosti zraka kao rezultat provedbe mjera utvrđenih u planu za kvalitetu zraka iz članka 45. ovoga Zakona i planu djelovanja za kvalitetu zraka iz članka 46.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Za potrebe praćenja ostvarivanja ciljeva iz plana za kvalitetu zraka iz članka 45. ovoga Zakona i plana djelovanja za kvalitetu zraka iz članka 46. ovoga Zakona upravno tijelo nadležno za zaštitu okoliša jedinice lokalne samouprave odnosno Grada Zagreba osigurava izradu izvješća o provedbi mjera za razdoblje od tri godine nakon isteka roka za donošenje plana.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Nositelji pojedinih aktivnosti i mjera za smanjivanje onečišćenja zraka utvrđenih u planu za kvalitetu zraka iz članka 45. ovoga Zakona i planu djelovanja za kvalitetu zraka iz članka 46. ovoga Zakona dužni su, za potrebu izrade izvješća iz stavka 2. ovoga članka, dostaviti izvješće o provedbi i financiranju mjera na zahtjev nadležnog upravnog tijela jedinice lokalne samouprave odnosno Grada Zagreba.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Izvješće iz stavka 2. ovoga članka sadrži: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stanje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pregled provedbe mjera i procjena njihove učinkovitosti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o korištenju financijskih sredstava za provedbu mjera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prijedlog izmjena i dopuna postojećeg plana te druge podatke od značenja za kvalitetu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Izvješće iz stavka 2. ovoga članka usvaja predstavničko tijelo jedinice lokalne samouprave odnosno Grada Zagreba najkasnije 42 mjeseca nakon isteka roka za donošenje prethodnoga plana i objavljuje u službenom glasilu i na mrežnim stranicama.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Usvojeno izvješće dostavlja se Ministarstvu.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Ako u trećoj kalendarskoj godini nakon isteka roka za donošenje plana za kvalitetu zraka iz članka 45. ovoga Zakona i plana djelovanja za kvalitetu zraka iz članka 46. ovoga Zakona i dalje postoje prekoračenja bilo koje granične vrijednosti, obveze smanjenja prosječne izloženosti ili ciljne vrijednosti, ne odstupajući od odredbi iz </w:t>
      </w:r>
      <w:r>
        <w:rPr>
          <w:rFonts w:ascii="Arial" w:eastAsia="Arial" w:hAnsi="Arial" w:cs="Arial"/>
          <w:sz w:val="24"/>
          <w:szCs w:val="24"/>
        </w:rPr>
        <w:t xml:space="preserve">članka 45. stavka 7. ovoga Zakona, tijela nadležna za njihovo donošenje pokreću postupak izmjena i dopuna.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U izmjenama i dopunama plana za kvalitetu zraka iz članka 45. ovoga Zakona i plana djelovanja za kvalitetu zraka iz članka 46. ovoga Zakona ažuriraju se postojeće mjere, uključujući njihov utjecaj na predviđene emisije i koncentracije te se dopunjuju s dodatnim i učinkovitijim mjerama kako bi razdoblje prekoračenja bilo što kraće.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Izmjene i dopune plana za kvalitetu zraka iz članka 45. ovoga Zakona i plana djelovanja za kvalitetu zraka iz članka 46. ovoga Zakona donose se najkasnije pet godina nakon isteka roka za donošenje prethodnoga plana.</w:t>
      </w:r>
    </w:p>
    <w:p>
      <w:pPr>
        <w:pBdr/>
        <w:pStyle w:val="Heading 3"/>
        <w:spacing/>
        <w:ind/>
        <w:rPr/>
      </w:pPr>
      <w:r>
        <w:rPr/>
        <w:t xml:space="preserve">Sadržaj planova za kvalitetu zraka i planova djelovanja za kvalitetu zraka</w:t>
      </w:r>
    </w:p>
    <w:p>
      <w:pPr>
        <w:pBdr/>
        <w:pStyle w:val="Heading 4"/>
        <w:spacing/>
        <w:ind/>
        <w:rPr/>
      </w:pPr>
      <w:r>
        <w:rPr/>
        <w:t xml:space="preserve">Članak 49.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Planovi za kvalitetu zraka iz članka 45. ovoga Zakona i planovi djelovanja za kvalitetu zraka iz članka 46. ovoga Zakona sadržavaju barem sljedeće informacije: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a) informacije navedene u Dodatku V. točki A. podtočkama od 1. do 7.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b) ako je primjenjivo, informacije navedene u Dodatku V. točki A podtočkama 8., 9. i 10. ovoga Zakona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c) informacije o relevantnim mjerama za smanjenje emisija iz Dodatka V. točke B. podtočke 2.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Planovi za kvalitetu zraka iz članka 45. ovoga Zakona i planovi djelovanja za kvalitetu zraka iz članka 46. ovoga Zakona uključuju, prema potrebi, mjere iz kratkoročnog akcijskog plana definirane u članku 52., stavcima 6., 7. i 8. ovoga Zakona kao i posebne mjere kojima je cilj zaštita osjetljivog stanovništva i ranjivih skupina, uključujući i djecu.</w:t>
      </w:r>
    </w:p>
    <w:p>
      <w:pPr>
        <w:pBdr/>
        <w:pStyle w:val="Normal"/>
        <w:spacing w:before="240" w:after="0" w:line="240" w:lineRule="auto"/>
        <w:ind/>
        <w:jc w:val="both"/>
        <w:rPr>
          <w:sz w:val="24"/>
          <w:szCs w:val="24"/>
        </w:rPr>
      </w:pPr>
      <w:r>
        <w:rPr>
          <w:rFonts w:ascii="Arial" w:eastAsia="Arial" w:hAnsi="Arial" w:cs="Arial"/>
          <w:sz w:val="24"/>
          <w:szCs w:val="24"/>
        </w:rPr>
        <w:t xml:space="preserve">(3) Prilikom pripreme planova za kvalitetu zraka i planova djelovanja za kvalitetu zraka provodi se modeliranje za potrebe procjene rizika od prekoračenja odgovarajućih pragova upozorenja za predmetne onečišćujuće tvari.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Za usklađenost sadržaja planova iz stavka 1. ovoga članka s Dodatkom V. ovoga Zakona odgovorno je tijelo nadležno za osiguravanje izrade plana u skladu s nadležnostima iz članka 9.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Ako planove za kvalitetu zraka iz članka 45. ovoga Zakona ili planove djelovanja za kvalitetu zraka iz članka 46. ovoga Zakona treba donijeti za više onečišćujućih tvari ili standarda kvalitete zraka, nadležna tijela donose integrirane planove za kvalitetu zraka ili planove djelovanja za kvalitetu zraka, koji obuhvaćaju sve predmetne onečišćujuće tvari i standarde kvalitete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Planovi za kvalitetu zraka iz članka 45. ovoga Zakona i planovi djelovanja za kvalitetu zraka iz članka 46. ovoga Zakona, u mjeri u kojoj je to izvedivo, trebaju biti usklađeni s ostalim planovima koji imaju bitan učinak na kvalitetu zraka, uključujući one koji se zahtijevaju na temelju posebnih propisa kojima se uređuju procjena i upravljanje bukom, integrirano sprječavanje i kontrola industrijskih emisija te smanjenje nacionalnih emisija određenih onečišćujućih tvari u zrak te na temelju sektorskih propisa o klimi, bioraznolikosti, energiji, prijevozu i poljoprivredi.</w:t>
      </w:r>
    </w:p>
    <w:p>
      <w:pPr>
        <w:pBdr/>
        <w:pStyle w:val="Heading 3"/>
        <w:spacing/>
        <w:ind/>
        <w:rPr/>
      </w:pPr>
      <w:r>
        <w:rPr/>
        <w:t xml:space="preserve">Savjetovanje s javnošću pri izradi planova za kvalitetu zraka i planova djelovanja za kvalitetu zraka</w:t>
      </w:r>
    </w:p>
    <w:p>
      <w:pPr>
        <w:pBdr/>
        <w:pStyle w:val="Heading 4"/>
        <w:spacing/>
        <w:ind/>
        <w:rPr/>
      </w:pPr>
      <w:r>
        <w:rPr/>
        <w:t xml:space="preserve">Članak 50.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Prije dovršetka izrade planova za kvalitetu zraka iz članka 45. ovoga Zakona i planova djelovanja za kvalitetu zraka iz članka 46. ovoga Zakona, tijela nadležna za donošenje planova dužna su, u skladu sa zakonom kojim se uređuje pravo na pristup informacijama i uredbom kojom se uređuje informiranje i sudjelovanje javnosti u pitanjima zaštite okoliša, o nacrtima tih planova, kao i o svim njihovim značajnim izmjenama i dopunama, provesti savjetovanje s javnošću i s nadležnim tijelima na koja će se, s obzirom na njihove odgovornosti u području onečišćenja zraka i kvalitete zraka, vjerojatno odnositi provedba plana.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Tijekom savjetovanja iz stavka 1. ovoga članka potrebno je javnosti omogućiti pristup nacrtima planova koji sadržavaju minimalne informacije koje se zahtijevaju u skladu s Dodatkom V. ovoga Zakona i, kada je primjenjivo, ne-</w:t>
      </w:r>
      <w:r>
        <w:rPr>
          <w:rFonts w:ascii="Arial" w:eastAsia="Arial" w:hAnsi="Arial" w:cs="Arial"/>
          <w:sz w:val="24"/>
          <w:szCs w:val="24"/>
        </w:rPr>
        <w:t xml:space="preserve">tehnički sažetak informacija.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Prilikom pripreme, provedbe i ažuriranja planova za kvalitetu zraka iz članka 45. ovoga Zakona i planova djelovanja za kvalitetu zraka iz članka 46. ovoga Zakona, tijela nadležna za donošenje planova potiču na aktivno sudjelovanje zainteresirane javnosti te osiguravaju da dionici čije aktivnosti doprinose prekoračenju budu pozvani da predlože mjere koje mogu poduzeti kako bi se zaustavila prekoračenja te da se nevladine organizacije, kao što su organizacije za zaštitu okoliša i zdravstvene organizacije, organizacije potrošača, organizacije koje zastupaju interese osjetljivog stanovništva i ranjivih skupina, druga relevantna zdravstvena tijela, uključujući organizacije koje zastupaju zdravstvene djelatnike i relevantna gospodarska udruženja, potiče na sudjelovanje u tim savjetovanjima.</w:t>
      </w:r>
    </w:p>
    <w:p>
      <w:pPr>
        <w:pBdr/>
        <w:pStyle w:val="Heading 3"/>
        <w:spacing/>
        <w:ind/>
        <w:rPr/>
      </w:pPr>
      <w:r>
        <w:rPr/>
        <w:t xml:space="preserve">Način donošenja plana za kvalitetu zraka i plana djelovanja za kvalitetu zraka</w:t>
      </w:r>
    </w:p>
    <w:p>
      <w:pPr>
        <w:pBdr/>
        <w:pStyle w:val="Heading 4"/>
        <w:spacing/>
        <w:ind/>
        <w:rPr/>
      </w:pPr>
      <w:r>
        <w:rPr/>
        <w:t xml:space="preserve">Članak 51.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Nacrt plana za kvalitetu zraka iz članka 45.</w:t>
      </w:r>
      <w:r>
        <w:rPr/>
        <w:t xml:space="preserve"> </w:t>
      </w:r>
      <w:r>
        <w:rPr>
          <w:rFonts w:ascii="Arial" w:eastAsia="Arial" w:hAnsi="Arial" w:cs="Arial"/>
          <w:sz w:val="24"/>
          <w:szCs w:val="24"/>
        </w:rPr>
        <w:t xml:space="preserve">ovoga Zakona ili nacrt plana djelovanja za kvalitetu zraka iz članka 46. ovoga Zakona jedinica lokalne samouprave odnosno Grad Zagreb dostavlja na mišljenje o prihvatljivosti Ministarstvu prije njegova donošenja, a najkasnije u roku od 18 mjeseci od kraja godine u kojoj je utvrđeno prekoračenje.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Ne dovodeći u pitanje odredbe iz članka 49. stavka 4. ovoga Zakona, mišljenje o prihvatljivosti iz stavka 1. ovoga članka daje se na temelju prethodno pribavljenih mišljenja nadležnih tijela državne uprave, nadležnih tijela jedinice područne (regionalne) samouprave i drugih nadležnih tijela nositelja pojedinih aktivnosti i mjera u postupku izrade plana te izvješća o savjetovanju s javnošću koje se provodi u skladu s člankom 50.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Mišljenje o prihvatljivosti iz stavka 1. ovoga članka daje se u roku od 30 dana od dana njegova primitka.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Prethodno pribavljena mišljenja iz stavka 2. ovoga članka prilog su planova iz stavka 1.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Mišljenje o prihvatljivosti iz stavka 2. ovoga članka sastavni je dio donesenih planova iz stavka 1.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Planovi za kvalitetu zraka iz članka 45. ovoga Zakona i planovi djelovanja za kvalitetu zraka iz članka 46. ovoga Zakona donose se u najkraćem mogućem roku, a najkasnije u roku od 21 mjeseca od kraja godine u kojoj je utvrđeno prekoračenje.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Jedinica lokalne samouprave odnosno Grad Zagreb dostavlja Ministarstvu i Zavodu donesene planove iz stavka 1. ovoga članka za potrebe informacijskog sustava zaštite zraka iz članka 55. ovoga Zakona u roku od 15 dana od dana donošenja.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Zavod donesene planove iz članaka 45. i 46. ovoga Zakona dostavlja Europskoj komisiji u roku od dva mjeseca od njihova donošenja.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Onečišćivač je dužan provesti i financirati mjere za smanjivanje onečišćenja zraka utvrđenih u planovima iz stavka 1. ovoga članka.</w:t>
      </w:r>
    </w:p>
    <w:p>
      <w:pPr>
        <w:pBdr/>
        <w:pStyle w:val="Normal"/>
        <w:spacing w:before="240" w:after="0" w:line="240" w:lineRule="auto"/>
        <w:ind/>
        <w:rPr>
          <w:rFonts w:ascii="Arial" w:eastAsia="Arial" w:hAnsi="Arial" w:cs="Arial"/>
          <w:sz w:val="24"/>
          <w:szCs w:val="24"/>
        </w:rPr>
      </w:pPr>
      <w:r>
        <w:rPr>
          <w:rFonts w:ascii="Arial" w:eastAsia="Arial" w:hAnsi="Arial" w:cs="Arial"/>
          <w:sz w:val="24"/>
          <w:szCs w:val="24"/>
        </w:rPr>
        <w:t xml:space="preserve">(10) Tijela državne uprave, jedinice lokalne i područne (regionalne) samouprave te javna poduzeća ili druge pravne osobe koje nisu u nadležnosti jedinice lokalne samouprave i druga nadležna tijela nositelji pojedinih aktivnosti i mjera dužni su provesti i financirati mjere za smanjivanje onečišćenja zraka utvrđene u planovima za kvalitetu zraka iz članka 45. ovoga Zakona ili planovima djelovanja za kvalitetu zraka iz članka 46. ovoga Zakona.</w:t>
      </w:r>
    </w:p>
    <w:p>
      <w:pPr>
        <w:pBdr/>
        <w:pStyle w:val="Heading 3"/>
        <w:spacing/>
        <w:ind/>
        <w:rPr/>
      </w:pPr>
      <w:r>
        <w:rPr>
          <w:iCs/>
        </w:rPr>
        <w:t xml:space="preserve">Kratkoročni akcijski planovi</w:t>
      </w:r>
    </w:p>
    <w:p>
      <w:pPr>
        <w:pBdr/>
        <w:pStyle w:val="Heading 4"/>
        <w:spacing/>
        <w:ind/>
        <w:rPr>
          <w:i/>
        </w:rPr>
      </w:pPr>
      <w:r>
        <w:rPr/>
        <w:t xml:space="preserve">Članak 52.</w:t>
      </w:r>
    </w:p>
    <w:p>
      <w:pPr>
        <w:pBdr/>
        <w:pStyle w:val="Normal"/>
        <w:spacing w:before="240" w:after="0" w:line="240" w:lineRule="auto"/>
        <w:ind/>
        <w:jc w:val="both"/>
        <w:rPr>
          <w:sz w:val="24"/>
          <w:szCs w:val="24"/>
        </w:rPr>
      </w:pPr>
      <w:r>
        <w:rPr>
          <w:rFonts w:ascii="Arial" w:eastAsia="Arial" w:hAnsi="Arial" w:cs="Arial"/>
          <w:sz w:val="24"/>
          <w:szCs w:val="24"/>
        </w:rPr>
        <w:t xml:space="preserve">(1) Ako u određenoj zoni postoji rizik da će razine onečišćujućih tvari prekoračiti jedan ili više pragova upozorenja utvrđenih u Dodatku I. odjeljku 4. ovoga Zakona predstavničko tijelo jedinice lokalne samouprave odnosno Grada Zagreba donosi kratkoročni akcijski plan koji sadrži hitne mjere koje se moraju poduzeti u kratkom roku kako bi se smanjio rizik ili trajanje takvog prekoračenja.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Rezultati modeliranja iz članka 49. stavka 3. ovoga Zakona koriste se za izradu kratkoročnih akcijskih planova.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Kratkoročni akcijski plan iz stavka 1. ovoga članka donosi se u najkraćem mogućem roku, a najkasnije u roku od 60 dana od utvrđenog rizika prekoračenja jednog ili više pragova upozorenja.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Iznimno od odredbi iz stavka 1. ovoga članka, ako postoji rizik od prekoračenja praga upozorenja za prizemni ozon, predstavničko tijelo jedinice lokalne samouprave odnosno Grada Zagreba, vodeći računa o nacionalnim geografskim, meteorološkim i gospodarskim uvjetima, može odustati od izrade kratkoročnih akcijskih planova ako ne postoji znatan potencijal za smanjenje rizika, trajanja ili ozbiljnosti takvog prekoračenja.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Za zone u kojima je za lebdeće čestice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potencijal za smanjenje rizika od takvog prekoračenja vrlo ograničen, uzimajući u obzir lokalne zemljopisne i meteorološke uvjete i posebnosti sustava grijanja u kućanstvima, predstavničko tijelo jedinice lokalne samouprave odnosno Grada Zagreba može izraditi i donijeti kratkoročni akcijski plan koji je usmjeren samo na posebne mjere kojima je cilj zaštita šire javnosti i osjetljivog stanovništva i ranjivih skupina, kao i lako razumljive informacije o preporučenom ponašanju kako bi se smanjila izloženost izmjerenom ili predviđenom prekoračenju.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Prilikom donošenja kratkoročnih akcijskih planova iz stavka 1. ovoga članka može se, ovisno o pojedinačnom slučaju, predvidjeti učinkovite mjere za kontrolu i, gdje je </w:t>
      </w:r>
      <w:r>
        <w:rPr>
          <w:rFonts w:ascii="Arial" w:eastAsia="Arial" w:hAnsi="Arial" w:cs="Arial"/>
          <w:sz w:val="24"/>
          <w:szCs w:val="24"/>
        </w:rPr>
        <w:t xml:space="preserve">potrebno, privremeno obustavljanje aktivnosti koje pridonose riziku prekoračenja određenih graničnih vrijednosti ili ciljnih vrijednosti ili praga upozorenja.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Prilikom donošenja kratkoročnih akcijskih planova iz stavka 1. ovoga članka uzima se u obzir popis mjera propisanih u članku 53. ovoga Zakona, a ovisno o udjelu glavnih izvora onečišćenja ili prekoračenjima u odnosu na koja treba djelovati razmatra se uključivanje mjera usmjerenih na aktivnosti kao što su prijevoz, građevinski radovi, industrijska postrojenja i upotreba industrijskih proizvoda te grijanje kućanstava.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U okviru kratkoročnih akcijskih planova iz stavka 1. ovoga članka moraju se uzeti u obzir i specifične aktivnosti s ciljem zaštite osjetljivog stanovništva, ranjivih skupina i djece.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Osiguravanje izrade i donošenje kratkoročnih akcijskih planova provodi se u skladu s nadležnostima iz članka 9.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(10) Jedinica lokalne samouprave odnosno Grad Zagreb dostavlja Ministarstvu i Zavodu doneseni kratkoročni akcijski plan iz stavka 1. ovoga članka za potrebe informacijskog sustava zaštite zraka iz članka 55. ovoga Zakona</w:t>
      </w:r>
      <w:r>
        <w:rPr/>
        <w:t xml:space="preserve"> </w:t>
      </w:r>
      <w:r>
        <w:rPr>
          <w:rFonts w:ascii="Arial" w:eastAsia="Arial" w:hAnsi="Arial" w:cs="Arial"/>
          <w:sz w:val="24"/>
          <w:szCs w:val="24"/>
        </w:rPr>
        <w:t xml:space="preserve">u roku od 15 dana od dana donošenja.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(11) Onečišćivač je dužan provesti i financirati mjere za smanjivanje onečišćenja zraka utvrđenih u kratkoročnom akcijskom planu iz stavka 1.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(12) Jedinice lokalne samouprave odnosno Grad Zagreb i druga nadležna tijela nositelji pojedinih aktivnosti i mjera dužni su provesti i financirati mjere utvrđene u kratkoročnom akcijskom planu iz stavka 1.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(13) Prije dovršetka kratkoročnih akcijskih planova iz stavka 1. ovoga članka i svih njihovih značajnih ažuriranja tijela nadležna za donošenje planova savjetuju se s javnošću, u skladu s nacionalnim propisom o osiguravanju sudjelovanja javnosti u izradi određenih planova i programa koji se odnose na okoliš i pristup pravosuđu i nacionalnim propisom o pravu na pristup informacijama, i nadležnim tijelima na koja će se, zbog njihovih odgovornosti u području onečišćenja zraka i kvalitete zraka, vjerojatno odnositi provedba kratkoročnih akcijskih planova.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(14) Nakon donošenja kratkoročnih akcijskih planova iz stavka 1. ovoga članka, Ministarstvo i izvršno tijelo jedinice lokalne samouprave odnosno Grada Zagreba omogućuju javnosti i relevantnim organizacijama kao što su organizacije za zaštitu okoliša i zdravstvene organizacije, organizacije za zaštitu potrošača, organizacije koje zastupaju interese osjetljivog stanovništva i ranjivih skupina, organizacije koje zastupaju zdravstvene djelatnike, ostala relevantna tijela za zaštitu zdravlja i industrijska udruženja, uvid u rezultate svojih istraživanja o izvedivosti i sadržaj specifičnih kratkoročnih akcijskih planova, kao i informacije o provedbi tih planova.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(15) Kratkoročne akcijske planove Zavod dostavlja Europskoj komisiji u roku od jedne godine nakon njegova donošenja u okviru godišnjeg izvješćivanja o kvaliteti zraka.</w:t>
      </w:r>
    </w:p>
    <w:p>
      <w:pPr>
        <w:pBdr/>
        <w:pStyle w:val="Heading 3"/>
        <w:spacing/>
        <w:ind/>
        <w:rPr/>
      </w:pPr>
      <w:r>
        <w:rPr/>
        <w:t xml:space="preserve">Žurne mjere za uključivanje u kratkoročne akcijske planove</w:t>
      </w:r>
    </w:p>
    <w:p>
      <w:pPr>
        <w:pBdr/>
        <w:pStyle w:val="Heading 4"/>
        <w:spacing/>
        <w:ind/>
        <w:rPr/>
      </w:pPr>
      <w:r>
        <w:rPr/>
        <w:t xml:space="preserve">Članak 53.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Žurne mjere koje treba razmotriti za uključivanje u kratkoročne akcijske planove u kratkom roku usmjerene na uklanjanje izvora koji doprinose riziku prekoračenja praga upozorenja, ovisno o lokalnim okolnostima i predmetnoj onečišćujućoj tvari su:</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a) ograničavanje kretanja vozila, posebno oko lokacija koje posjećuju osjetljivo stanovništvo i ranjive skupine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b) niske cijene javnog prijevoza ili besplatan javni prijevoz</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c) obustava građevinskih radova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d) čišćenje ulica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e) fleksibilan način rada.</w:t>
      </w:r>
    </w:p>
    <w:p>
      <w:pPr>
        <w:pBdr/>
        <w:pStyle w:val="Heading 3"/>
        <w:spacing/>
        <w:ind/>
        <w:rPr>
          <w:rFonts w:ascii="Arial" w:eastAsia="Arial" w:hAnsi="Arial" w:cs="Arial"/>
        </w:rPr>
      </w:pPr>
      <w:r>
        <w:rPr/>
        <w:t xml:space="preserve">Prekogranično onečišćenje zraka</w:t>
      </w:r>
    </w:p>
    <w:p>
      <w:pPr>
        <w:pBdr/>
        <w:pStyle w:val="Heading 4"/>
        <w:spacing/>
        <w:ind/>
        <w:rPr/>
      </w:pPr>
      <w:r>
        <w:rPr/>
        <w:t xml:space="preserve">Članak 54.</w:t>
      </w:r>
    </w:p>
    <w:p>
      <w:pPr>
        <w:pBdr/>
        <w:pStyle w:val="Normal"/>
        <w:spacing w:before="240" w:line="240" w:lineRule="auto"/>
        <w:ind/>
        <w:jc w:val="both"/>
        <w:rPr>
          <w:rFonts w:ascii="Arial" w:eastAsia="Arial" w:hAnsi="Arial" w:cs="Arial"/>
          <w:sz w:val="24"/>
          <w:szCs w:val="24"/>
        </w:rPr>
      </w:pPr>
      <w:r>
        <w:rPr>
          <w:rFonts w:ascii="Arial" w:eastAsia="Arial" w:hAnsi="Arial" w:cs="Arial"/>
          <w:sz w:val="24"/>
          <w:szCs w:val="24"/>
        </w:rPr>
        <w:t xml:space="preserve">(1) Ako prekogranični prijenos onečišćujućih tvari u zraku iz jedne ili više država članica Europske unije znatno doprinese prekoračenju bilo koje granične vrijednosti, ciljne vrijednosti za prizemni ozon, obveze smanjenja prosječne izloženosti ili praga upozorenja, Ministarstvo o tome obavješćuje nadležna tijela susjednih država članica Europske unije iz kojih dolazi onečišćenje zraka te Europsku komisiju.</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(2) Ministarstvo surađuje s državama članicama iz stavka 1. ovoga članka, među ostalim u osnivanju zajedničkih timova stručnjaka i uz tehničku potporu Europske komisije, kako bi utvrdile izvore onečišćenja zraka, doprinos tih izvora prekoračenjima u drugoj državi članici i mjere koje treba poduzeti pojedinačno i u koordinaciji s drugim državama članicama za rješavanje tih izvora te kako bi se izradile koordinirane aktivnosti, kao što je koordinacija planova za kvalitetu zraka u skladu s člankom 45. ovoga Zakona, u kojima svaka država članica rješava pitanje izvora onečišćenja koji se nalaze na njezinu državnom području, kako bi se uklonila takva prekoračenja.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(3) Na međusobne obavijesti iz stavka 2. ovoga članka Ministarstvo odgovara pravodobno te najkasnije tri mjeseca od obavijesti o tome obavješćuje i poziva Europsku komisiju da sudjeluje i pomogne u suradnji iz stavka 2. ovoga članka.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(4) Ministarstvo, u suradnji s nadležnim tijelima susjednih država članica Europske unije, prema potrebi u skladu s člankom 52. ovoga Zakona, izrađuje i provodi koordinirane kratkoročne akcijske planove koji obuhvaćaju susjedne zone u drugim državama članicama te osiguravaju da susjedne zone u drugim državama članicama dobiju sve odgovarajuće podatke o tim kratkoročnim akcijskim planovima bez nepotrebne odgode.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(5) Ako su prekoračeni pragovi upozorenja ili pragovi obavješćivanja u područjima zona koje se nalaze u blizini državnih granica, podaci o tim prekoračenjima se što je prije moguće dostavljaju nadležnim tijelima susjednih država članica Europske unije uz osiguranje javne dostupnosti tih informacija.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(6) Ministarstvo u obavijesti iz stavka 1. ovoga članka za relevantnu godinu utvrđuje: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 zone u kojima prekogranični prijenos onečišćenja zraka iz jedne ili više država članica znatno doprinosi prekoračenjima graničnih vrijednosti ili ciljnih vrijednosti u tim zonama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prostornu jedinicu prosječne izloženosti u kojoj prekogranični prijenos onečišćenja zraka iz jedne ili više država članica znatno doprinosi prekoračenjima razine utvrđene obvezama smanjenja prosječne izloženosti u toj jedinici.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Obavijest iz stavka 1. ovoga članka sadrži podatke o koncentracijama i dokazima kojima se dokazuje da onečišćenje zraka iz prekograničnih izvora, uključujući one iz trećih zemalja, nad kojima Republika Hrvatska nema kontrolu, znatno doprinosi prekoračenjima u određenim zonama i/ili u prostornoj jedinici prosječne izloženosti.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Analizu prekograničnog onečišćenja iz stavka 7. ovoga članka provodi Državni hidrometeorološki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Prilikom izrade planova iz stavaka 2. i 4. ovoga članka te obavješćivanja javnosti iz stavka 5. ovoga članka Ministarstvo nastoji surađivati s trećim zemljama, a posebno sa zemljama kandidatkinjama.</w:t>
      </w:r>
    </w:p>
    <w:p>
      <w:pPr>
        <w:pBdr/>
        <w:pStyle w:val="Heading 2"/>
        <w:spacing/>
        <w:ind/>
        <w:rPr>
          <w:rFonts w:ascii="Arial" w:eastAsia="Arial" w:hAnsi="Arial" w:cs="Arial"/>
        </w:rPr>
      </w:pPr>
      <w:r>
        <w:rPr>
          <w:rFonts w:ascii="Arial" w:eastAsia="Arial" w:hAnsi="Arial" w:cs="Arial"/>
        </w:rPr>
        <w:t xml:space="preserve">GLAVA VI.</w:t>
      </w:r>
    </w:p>
    <w:p>
      <w:pPr>
        <w:pBdr/>
        <w:pStyle w:val="Heading 2"/>
        <w:spacing/>
        <w:ind/>
        <w:rPr/>
      </w:pPr>
      <w:r>
        <w:rPr/>
        <w:t xml:space="preserve">OBAVJEŠĆIVANJE I IZVJEŠĆIVANJE O KVALITETI ZRAKA I EMISIJAMA ONEČIŠĆUJUĆIH TVARI U ZRAK</w:t>
      </w:r>
    </w:p>
    <w:p>
      <w:pPr>
        <w:pBdr/>
        <w:pStyle w:val="Heading 3"/>
        <w:spacing/>
        <w:ind/>
        <w:rPr/>
      </w:pPr>
      <w:r>
        <w:rPr/>
        <w:t xml:space="preserve">Informacijski sustav zaštite zraka</w:t>
      </w:r>
    </w:p>
    <w:p>
      <w:pPr>
        <w:pBdr/>
        <w:pStyle w:val="Heading 4"/>
        <w:spacing/>
        <w:ind/>
        <w:rPr/>
      </w:pPr>
      <w:r>
        <w:rPr/>
        <w:t xml:space="preserve">Članak 55.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Informacijski sustav zaštite zraka (u daljnjem tekstu: ISZZ) sastavni je dio informacijskog sustava zaštite okoliša i prirode koji se vodi u skladu sa zakonom kojim se uređuje zaštita okoliša koji čini dio Europskog informacijskog sustava zaštite okoliša.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ISZZ vodi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ISZZ sadrži: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o kvaliteti zraka iz državne mreže za praćenje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o kvaliteti zraka s točaka uzorkovanja jedinica lokalne i područne (regionalne) samouprave i mjerenja koje osigurava onečišćivač</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planove za kvalitetu zraka i planove djelovanja za kvalitetu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o prekoračenju pragova upozorenja, pragova obavješćivanja i kratkoročne akcijske planove sa žurnim mjerama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programe za zaštitu i poboljšanje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o emisijama izvora onečišćivanja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o pravnim osobama koje obavljaju djelatnost praćenja kvalitete zraka, organiziranja međulaboratorijskih usporedbi za osiguranje standarda kvalitete mjerenja kvalitete zraka, praćenja emisija onečišćujućih tvari u zrak iz nepokretnih izvora i provjere ispravnosti mjernog sustava za kontinuirano mjerenje emisija onečišćujućih tvari u zrak iz nepokretnih izvora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o kvaliteti proizvoda i opreme na benzinskim postajama i terminalima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o kvaliteti proizvoda</w:t>
      </w:r>
    </w:p>
    <w:p>
      <w:pPr>
        <w:pBdr/>
        <w:pStyle w:val="Normal"/>
        <w:spacing w:before="120" w:after="0" w:line="240" w:lineRule="auto"/>
        <w:ind/>
        <w:jc w:val="both"/>
        <w:rPr/>
      </w:pPr>
      <w:r>
        <w:rPr>
          <w:rFonts w:ascii="Arial" w:eastAsia="Arial" w:hAnsi="Arial" w:cs="Arial"/>
          <w:sz w:val="24"/>
          <w:szCs w:val="24"/>
        </w:rPr>
        <w:t xml:space="preserve">– podatke iz registra onečišćavanja okoliša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iz registra emisija iz pokretnih izvora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podatke iz registra malih kućnih ložišta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druge podatke važne za zaštitu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Tijela državne uprave, jedinice lokalne i područne (regionalne) samouprave te pravne osobe koje imaju javne ovlasti dužna su pravodobno i bez naknade dostaviti podatke iz svoje nadležnosti koji su potrebni za vođenje ISZZ-a i za izradu planskih i programskih dokumenata te izvješća.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ISZZ se usklađuje i povezuje s informacijskim sustavima koje vode druga tijela državne uprave, tijela jedinice lokalne i područne (regionalne) samouprave i pravne osobe s javnim ovlastima.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Tijela državne uprave, jedinice lokalne i područne (regionalne) samouprave i pravne osobe s javnim ovlastima koji posjeduju podatke od značaja za upravljanje kvalitetom zraka i vođenjem ISZZ-a obvezni su ih ustupiti ili učiniti dostupnima u elektroničkom obliku Zavodu na njegov zahtjev.</w:t>
      </w:r>
    </w:p>
    <w:p>
      <w:pPr>
        <w:pBdr/>
        <w:pStyle w:val="Heading 3"/>
        <w:spacing/>
        <w:ind/>
        <w:rPr/>
      </w:pPr>
      <w:r>
        <w:rPr/>
        <w:t xml:space="preserve">Obavješćivanje javnosti</w:t>
      </w:r>
    </w:p>
    <w:p>
      <w:pPr>
        <w:pBdr/>
        <w:pStyle w:val="Heading 4"/>
        <w:spacing/>
        <w:ind/>
        <w:rPr>
          <w:bCs/>
        </w:rPr>
      </w:pPr>
      <w:r>
        <w:rPr/>
        <w:t xml:space="preserve">Članak 56.</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(1) Ministarstvo, Zavod, jedinice lokalne i područne (regionalne) samouprave u skladu s nadležnostima iz članka 9. ovoga Zakona, osiguravaju da javnost, kao i prikladne organizacije kao što su organizacije za zaštitu okoliša i zdravstvene organizacije, organizacije za zaštitu potrošača, organizacije koje zastupaju interese osjetljivog stanovništva i ranjivih skupina, organizacije koje zastupaju zdravstvene djelatnike te ostala relevantna tijela za zaštitu zdravlja i industrijska udruženja budu na odgovarajući način i na vrijeme, barem putem ISZZ-</w:t>
      </w:r>
      <w:r>
        <w:rPr>
          <w:rFonts w:ascii="Arial" w:eastAsia="Arial" w:hAnsi="Arial" w:cs="Arial"/>
          <w:bCs/>
          <w:sz w:val="24"/>
          <w:szCs w:val="24"/>
        </w:rPr>
        <w:t xml:space="preserve">a, obaviješteni o sljedećem:</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a) kvaliteti zraka u skladu s Dodatkom VI. ovoga Zakona</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b) lokaciji točaka uzorkovanja za sve onečišćujuće tvari u zraku, kao i informacijama o svim problemima u ispunjavanju zahtjeva u pogledu obuhvatu s podatcima po točki uzorkovanja i onečišćujućoj tvari</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c) svakoj odluci o odgodi iz članka 43. ovoga Zakona</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d) planovima za kvalitetu zraka iz članka 45. ovoga Zakona i planovima djelovanja za kvalitetu zraka iz članka 46. ovoga Zakona</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e) kratkoročnim akcijskim planovima iz članka 52. ovoga Zakona</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f) učincima prekoračenja graničnih vrijednosti, ciljnih vrijednosti, obveza smanjenja prosječne izloženosti i ciljane prosječne razine izloženosti, pragova upozorenja i pragova obavješćivanja u sažetku o procjeni, a sažetak procjene mora uključivati, prema potrebi, dodatne informacije i procjene o okolišu kao i informacije o onečišćujućim tvarima koje se mjere na superlokacijama za praćenje iz članka 25. ovoga Zakona i Dodatka IV. ovoga Zakona.</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(2) Zavod uspostavlja i putem ISZZ-a na lako razumljiv način svaki sat ažurira indeks kvalitete zraka koji obuhvaća barem sumporov dioksid, dušikov dioksid, lebdeće čestice PM</w:t>
      </w:r>
      <w:r>
        <w:rPr>
          <w:rFonts w:ascii="Arial" w:eastAsia="Arial" w:hAnsi="Arial" w:cs="Arial"/>
          <w:bCs/>
          <w:sz w:val="24"/>
          <w:szCs w:val="24"/>
          <w:vertAlign w:val="subscript"/>
        </w:rPr>
        <w:t xml:space="preserve">10</w:t>
      </w:r>
      <w:r>
        <w:rPr>
          <w:rFonts w:ascii="Arial" w:eastAsia="Arial" w:hAnsi="Arial" w:cs="Arial"/>
          <w:bCs/>
          <w:sz w:val="24"/>
          <w:szCs w:val="24"/>
        </w:rPr>
        <w:t xml:space="preserve"> i PM</w:t>
      </w:r>
      <w:r>
        <w:rPr>
          <w:rFonts w:ascii="Arial" w:eastAsia="Arial" w:hAnsi="Arial" w:cs="Arial"/>
          <w:bCs/>
          <w:sz w:val="24"/>
          <w:szCs w:val="24"/>
          <w:vertAlign w:val="subscript"/>
        </w:rPr>
        <w:t xml:space="preserve">2,5</w:t>
      </w:r>
      <w:r>
        <w:rPr>
          <w:rFonts w:ascii="Arial" w:eastAsia="Arial" w:hAnsi="Arial" w:cs="Arial"/>
          <w:bCs/>
          <w:sz w:val="24"/>
          <w:szCs w:val="24"/>
        </w:rPr>
        <w:t xml:space="preserve"> i prizemni ozon, može uključivati dodatne onečišćujuće tvari prema potrebi, pod uvjetom da postoji obveza praćenja tih onečišćujućih tvari u skladu s ovim Zakonom i podzakonskim propisima donesenima temeljem ovoga Zakona.</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(3) Indeks kvalitete zraka iz stavka 2. ovoga članka usporediv je u svim državama članicama te slijedi najnovije preporuke Svjetske zdravstvene organizacije, a temelji se na indeksu kvalitete zraka na europskoj razini koje pruža Europska agencija za okoliš, i sadržava informacije u pogledu utjecaja na zdravlje, uključujući informacije prilagođene osjetljivom stanovništvu i ranjivim skupinama.</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(4) Za ispunjavanje zahtjeva utvrđenih u stavku 3. ovoga članka koristi se indeks kvalitete zraka koji je usklađen s indeksom koji osigurava Europska agencija za okoliš.</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(5) Ministarstvo nadležno za zdravlje ljudi objavljuje dostupne informacije o simptomima povezanima s vršnim razinama onečišćenja zraka te ponašanju kojim se smanjuje izloženost onečišćenju zraka i štiti od njega i promiču njihovo prikazivanje u zgradama koje posjećuje osjetljivo stanovništvo i ranjive skupine, kao što su zdravstvene ustanove.</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(6) Ministarstvo o relevantnim nadležnostima iz članka 9. ovoga Zakona obavješćuje javnost.</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(7) Informacije iz ovoga članka dostupne su javnosti besplatno putem lako dostupnih medija i komunikacijskih kanala na dosljedan i lako razumljiv način u skladu s posebnim propisom o Nacionalnoj infrastrukturi prostornih podataka i posebnim propisom o otvorenim podatcima i ponovnoj uporabi informacija javnog sektora, te je osiguran širok javni pristup tim informacijama.</w:t>
      </w:r>
    </w:p>
    <w:p>
      <w:pPr>
        <w:pBdr/>
        <w:pStyle w:val="Heading 3"/>
        <w:spacing/>
        <w:ind/>
        <w:rPr/>
      </w:pPr>
      <w:r>
        <w:rPr/>
        <w:t xml:space="preserve">Uzajamna razmjena informacija i izvješćivanje o kvaliteti zraka</w:t>
      </w:r>
    </w:p>
    <w:p>
      <w:pPr>
        <w:pBdr/>
        <w:pStyle w:val="Heading 4"/>
        <w:spacing/>
        <w:ind/>
        <w:rPr/>
      </w:pPr>
      <w:r>
        <w:rPr/>
        <w:t xml:space="preserve">Članak 57.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Zavod osigurava dostupnost podataka i provodi uzajamnu razmjenu informacija o mjerenjima kvalitete zraka i izvješćivanje o procjeni i upravljanju kvalitetom zraka u skladu s provedbenom odlukom Europske komisije i odredbama zakona kojim se uređuje nacionalna infrastruktura prostornih podataka.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Za uzajamnu razmjenu i izvješćivanje iz stavka 1. ovoga članka koriste se podaci iz ISZZ-a za točke uzorkovanja iz članka 28. stavka 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Podatke iz stavaka 1. i 2. ovoga članka Zavod dostavlja Europskoj komisiji do 30. rujna tekuće godine za prethodnu kalendarsku godinu.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Zadaće tijela, način, rokove, sadržaj i format podataka te način prikupljanja podataka radi uzajamne razmjene informacija i izvješćivanja o procjenjivanju i upravljanju kvalitetom zraka definirane su odredbama ovoga Zakona i pravilnikom iz članka 23. ovoga Zakona.</w:t>
      </w:r>
    </w:p>
    <w:p>
      <w:pPr>
        <w:pBdr/>
        <w:pStyle w:val="Heading 3"/>
        <w:spacing/>
        <w:ind/>
        <w:rPr/>
      </w:pPr>
      <w:r>
        <w:rPr/>
        <w:t xml:space="preserve">Izvješćivanje o emisijama</w:t>
      </w:r>
    </w:p>
    <w:p>
      <w:pPr>
        <w:pBdr/>
        <w:pStyle w:val="Heading 4"/>
        <w:spacing/>
        <w:ind/>
        <w:rPr/>
      </w:pPr>
      <w:r>
        <w:rPr/>
        <w:t xml:space="preserve">Članak 58.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Zavod posreduje i razmjenjuje podatke o emisijama s međunarodnim organizacijama i organizacijama drugih država u skladu s potvrđenim međunarodnim ugovorima.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Zavod posreduje i razmjenjuje podatke s nadležnim tijelima Europske unije na način i u rokovima koji su određeni pravnom stečevinom Europske unije.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Zavod izvješća i podatke o emisijama onečišćujućih tvari u zrak iz nepokretnih izvora iz članka 12. ovoga Zakona i kvaliteti proizvoda dostavlja nadležnim tijelima Europske unije na način i u rokovima koji su određeni pravnom stečevinom Europske unije.</w:t>
      </w:r>
    </w:p>
    <w:p>
      <w:pPr>
        <w:pBdr/>
        <w:pStyle w:val="Heading 3"/>
        <w:spacing/>
        <w:ind/>
        <w:rPr/>
      </w:pPr>
      <w:r>
        <w:rPr/>
        <w:t xml:space="preserve">Godišnje izvješće o praćenju kvalitete zraka</w:t>
      </w:r>
    </w:p>
    <w:p>
      <w:pPr>
        <w:pBdr/>
        <w:pStyle w:val="Heading 4"/>
        <w:spacing/>
        <w:ind/>
        <w:rPr/>
      </w:pPr>
      <w:r>
        <w:rPr/>
        <w:t xml:space="preserve">Članak 59.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Godišnje izvješće o praćenju kvalitete zraka na teritoriju Republike Hrvatske izrađuje Zavod do 31. listopada tekuće godine za proteklu kalendarsku godinu.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Način izrade i sadržaj izvješća iz stavka 1. ovoga članka propisani su pravilnikom iz članka 23. ovoga Zakona.</w:t>
      </w:r>
    </w:p>
    <w:p>
      <w:pPr>
        <w:pBdr/>
        <w:pStyle w:val="Heading 2"/>
        <w:spacing/>
        <w:ind/>
        <w:rPr/>
      </w:pPr>
      <w:r>
        <w:rPr/>
        <w:t xml:space="preserve">GLAVA VII.</w:t>
      </w:r>
    </w:p>
    <w:p>
      <w:pPr>
        <w:pBdr/>
        <w:pStyle w:val="Heading 2"/>
        <w:spacing/>
        <w:ind/>
        <w:rPr/>
      </w:pPr>
      <w:r>
        <w:rPr/>
        <w:t xml:space="preserve">MJERE ZA SPRJEČAVANJE I SMANJIVANJE ONEČIŠĆIVANJA ZRAKA</w:t>
      </w:r>
    </w:p>
    <w:p>
      <w:pPr>
        <w:pBdr/>
        <w:pStyle w:val="Heading 3"/>
        <w:spacing/>
        <w:ind/>
        <w:rPr/>
      </w:pPr>
      <w:r>
        <w:rPr/>
        <w:t xml:space="preserve">Načela</w:t>
      </w:r>
    </w:p>
    <w:p>
      <w:pPr>
        <w:pBdr/>
        <w:pStyle w:val="Heading 4"/>
        <w:spacing/>
        <w:ind/>
        <w:rPr/>
      </w:pPr>
      <w:r>
        <w:rPr/>
        <w:t xml:space="preserve">Članak 60.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Djelotvorna zaštita i poboljšanje kvalitete zraka i drugih dijelova okoliša koji su ugroženi zbog onečišćenosti zraka osigurava se primjenom načela održivog razvoja, načela cjelovitog pristupa i primjenom najboljih raspoloživih tehnika, tehničkih rješenja i mjera.</w:t>
      </w:r>
    </w:p>
    <w:p>
      <w:pPr>
        <w:pBdr/>
        <w:pStyle w:val="Heading 3"/>
        <w:spacing/>
        <w:ind/>
        <w:rPr/>
      </w:pPr>
      <w:r>
        <w:rPr/>
        <w:t xml:space="preserve">Sprječavanje i smanjivanje onečišćivanja</w:t>
      </w:r>
    </w:p>
    <w:p>
      <w:pPr>
        <w:pBdr/>
        <w:pStyle w:val="Heading 4"/>
        <w:spacing/>
        <w:ind/>
        <w:rPr/>
      </w:pPr>
      <w:r>
        <w:rPr/>
        <w:t xml:space="preserve">Članak 61.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Sprječavanje i smanjivanje onečišćivanja zraka provodi se: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kroz postupak izrade prostornih planova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propisivanjem emisijskih kvota odnosno nacionalnih obveza smanjivanja za pojedine onečišćujuće tvari u zraku koje uzrokuju nepovoljne učinke zakiseljavanja, eutrofikacije i fotokemijskog onečišćenja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propisivanjem graničnih vrijednosti emisija iz nepokretnih izvora i graničnih vrijednosti u vezi sa sastavom određenih proizvoda i/ili drugih značajki kvalitete proizvoda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primjenom mjera zaštite zraka utvrđenih u rješenju o prihvatljivosti zahvata za okoliš, rješenju ocjene o potrebi procjene utjecaja zahvata na okoliš i/ili okolišnoj dozvoli u skladu sa zakonom kojim se uređuje zaštita okoliša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primjenom mjera zaštite zraka utvrđenih u projektu koji je sastavni dio dozvole koju izdaje nadležno tijelo prema posebnom propisu kojim se uređuje područje građenja ako za određeni zahvat nije propisana obveza procjene utjecaja na okoliš i obveza ishođenja okolišne dozvole </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primjenom najboljih raspoloživih tehnika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poticanjem primjene čistijih tehnologija i obnovljivih izvora energije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poticanjem uvođenja mjera energetske učinkovitosti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provedbom mjera iz planova za kvalitetu zraka, planova djelovanja za kvalitetu zraka i kratkoročnih akcijskih planova.</w:t>
      </w:r>
    </w:p>
    <w:p>
      <w:pPr>
        <w:pBdr/>
        <w:pStyle w:val="Heading 3"/>
        <w:spacing/>
        <w:ind/>
        <w:rPr/>
      </w:pPr>
      <w:r>
        <w:rPr/>
        <w:t xml:space="preserve">Nacionalne obveze smanjenja određenih onečišćujućih tvari u zraku</w:t>
      </w:r>
    </w:p>
    <w:p>
      <w:pPr>
        <w:pBdr/>
        <w:pStyle w:val="Heading 4"/>
        <w:spacing/>
        <w:ind/>
        <w:rPr/>
      </w:pPr>
      <w:r>
        <w:rPr/>
        <w:t xml:space="preserve">Članak 62.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Nacionalne obveze smanjenja određenih onečišćujućih tvari u zraku koje uzrokuju nepovoljne učinke zakiseljavanja, eutrofikacije i fotokemijskog onečišćenja za određeno razdoblje u Republici Hrvatskoj, način izračuna emisija i izrade inventara emisija, sadržaj i način izrade Programa kontrole onečišćenja zraka iz članka 17. ovoga Zakona, praćenje negativnih učinaka onečišćenja zraka na ekosustave te način dostave podataka nadležnim međunarodnim tijelima i tijelima Europske unije propisuje Vlada uredbom.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Uredbom iz stavka 1. ovoga članka Vlada može propisati i mjere za smanjenje emisija određenih onečišćujućih tvari.</w:t>
      </w:r>
    </w:p>
    <w:p>
      <w:pPr>
        <w:pBdr/>
        <w:pStyle w:val="Heading 3"/>
        <w:spacing/>
        <w:ind/>
        <w:rPr/>
      </w:pPr>
      <w:r>
        <w:rPr/>
        <w:t xml:space="preserve">Praćenje negativnih učinaka onečišćenja zraka na ekosustave</w:t>
      </w:r>
    </w:p>
    <w:p>
      <w:pPr>
        <w:pBdr/>
        <w:pStyle w:val="Heading 4"/>
        <w:spacing/>
        <w:ind/>
        <w:rPr/>
      </w:pPr>
      <w:r>
        <w:rPr/>
        <w:t xml:space="preserve">Članak 63.</w:t>
      </w:r>
    </w:p>
    <w:p>
      <w:pPr>
        <w:pBdr/>
        <w:pStyle w:val="Normal"/>
        <w:spacing w:before="240" w:after="240" w:line="240" w:lineRule="auto"/>
        <w:ind/>
        <w:jc w:val="both"/>
        <w:rPr>
          <w:rFonts w:ascii="Arial" w:eastAsia="Arial" w:hAnsi="Arial" w:cs="Arial"/>
          <w:sz w:val="24"/>
          <w:szCs w:val="24"/>
        </w:rPr>
      </w:pPr>
      <w:r>
        <w:rPr>
          <w:rFonts w:ascii="Arial" w:eastAsia="Arial" w:hAnsi="Arial" w:cs="Arial"/>
          <w:sz w:val="24"/>
          <w:szCs w:val="24"/>
        </w:rPr>
        <w:t xml:space="preserve">(1) </w:t>
      </w:r>
      <w:r>
        <w:rPr>
          <w:rFonts w:ascii="Arial" w:eastAsia="Arial" w:hAnsi="Arial" w:cs="Arial"/>
          <w:sz w:val="24"/>
          <w:szCs w:val="24"/>
        </w:rPr>
        <w:t xml:space="preserve">Praćenje negativnih utjecaja onečišćenja zraka na ekosustave, osobito zakiseljavanja, eutrofikacije i prizemnog ozona, provodi se u mreži lokacija za praćenje koja je reprezentativna za glavne kategorije ekosustava, uključujući travnjake, poljoprivredna zemljišta, šume i šumska područja, vrištine i grmlje, močvarna područja te rijeke i jezera na području Republike Hrvatske (u daljnjem tekstu: mreža lokacija), a koja se uspostavlja i pobliže uređuje Programom praćenja iz stavka 3.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Mreža lokacija sastavni je dio postojećeg sustava praćenja stanja okoliša, pri čemu se, kad je to moguće, koriste postojeće lokacije praćenja uspostavljene na temelju posebnih propisa, financiranje mreže lokacija osigurava se u državnom proračunu Republike Hrvatske, a može se osigurati i iz drugih izvora tijela javne vlasti nadležnih za provedbu praćenja negativnih utjecaja onečišćenja zraka na ekosustave.</w:t>
      </w:r>
    </w:p>
    <w:p>
      <w:pPr>
        <w:pBdr/>
        <w:pStyle w:val="Normal"/>
        <w:spacing w:before="240" w:after="0" w:line="240" w:lineRule="auto"/>
        <w:ind/>
        <w:jc w:val="both"/>
        <w:rPr>
          <w:sz w:val="24"/>
          <w:szCs w:val="24"/>
        </w:rPr>
      </w:pPr>
      <w:r>
        <w:rPr>
          <w:rFonts w:ascii="Arial" w:eastAsia="Arial" w:hAnsi="Arial" w:cs="Arial"/>
          <w:sz w:val="24"/>
          <w:szCs w:val="24"/>
        </w:rPr>
        <w:t xml:space="preserve">(3) Praćenje negativnih utjecaja onečišćenja zraka na ekosustave provodi se prema programu praćenja negativnih utjecaja onečišćenja zraka na ekosustave, koji osobito sadrži metodologiju mjerenja i procjene, plan osiguranja kvalitete podataka, uključujući postupke osiguranja i kontrole kvalitete, plan razvoja i unaprjeđenja sustava, procjenu potrebnih financijskih sredstava za provedbu Programa te rokove i način izvještavanja.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Program praćenja negativnih utjecaja onečišćenja zraka na ekosustave iz stavka 3. ovoga članka donosi ministar za razdoblje od pet godina, objavljuje se na mrežnim stranicama Ministarstva te se prema potrebi revidira.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Prihvat podataka i izvješća iz mreže lokacija u ISZZ-u osigurava Zavod, a tijela i institucije iz članka 64. ovoga Zakona, nadležne za provedbu praćenja, dužna su osigurati potpunost, točnost, konzistentnost i pravodobnost podataka.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Podatke iz stavka 5. ovoga članka Zavod dostavlja Europskoj agenciji za okoliš u rokovima koji su određeni uredbom iz članka 62. ovoga Zakona.</w:t>
      </w:r>
    </w:p>
    <w:p>
      <w:pPr>
        <w:pBdr/>
        <w:pStyle w:val="Heading 3"/>
        <w:spacing/>
        <w:ind/>
        <w:rPr/>
      </w:pPr>
      <w:r>
        <w:rPr/>
        <w:t xml:space="preserve">Informacije i podaci o praćenju negativnih učinaka onečišćenja zraka na ekosustave</w:t>
      </w:r>
    </w:p>
    <w:p>
      <w:pPr>
        <w:pBdr/>
        <w:pStyle w:val="Heading 4"/>
        <w:spacing/>
        <w:ind/>
        <w:rPr/>
      </w:pPr>
      <w:r>
        <w:rPr/>
        <w:t xml:space="preserve">Članak 64.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Informacije i podatke o praćenju negativnih učinaka onečišćenja zraka na ekosustave u skladu s uredbom iz članka 62. stavka 1. ovoga Zakona i članka 63. ovoga Zakona osiguravaju Zavod, Državni hidrometeorološki zavod, Hrvatske vode, Hrvatski šumarski institut i Hrvatska agencija za poljoprivredu i hranu svaki u svojoj nadležnosti u skladu s propisima kojima se uređuju kvaliteta zraka, vode, šume i tla.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Praćenje negativnih učinaka onečišćenja zraka na ekosustave u skladu s člankom 63. ovoga Zakona provode: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Državni hidrometeorološki zavod za praćenje taloženja onečišćenja iz zraka i praćenje prizemnog ozona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Institut za vode Josip Juraj Strossmayer za praćenje površinskih kopnenih voda u skladu sa zakonom kojim se uređuju vode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Hrvatski šumarski institut za praćenje ekosustava na šumskom zemljištu u skladu sa zakonom kojim se uređuju šume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Hrvatska agencija za poljoprivredu i hranu za praćenje ekosustava na poljoprivrednom zemljištu u skladu sa zakonom kojim se uređuje poljoprivredno zemljište.</w:t>
      </w:r>
    </w:p>
    <w:p>
      <w:pPr>
        <w:pBdr/>
        <w:pStyle w:val="Heading 3"/>
        <w:spacing/>
        <w:ind/>
        <w:rPr/>
      </w:pPr>
      <w:r>
        <w:rPr/>
        <w:t xml:space="preserve">Obveze onečišćivača</w:t>
      </w:r>
    </w:p>
    <w:p>
      <w:pPr>
        <w:pBdr/>
        <w:pStyle w:val="Heading 4"/>
        <w:spacing/>
        <w:ind/>
        <w:rPr/>
      </w:pPr>
      <w:r>
        <w:rPr/>
        <w:t xml:space="preserve">Članak 65.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Onečišćivači koji su vlasnici i/ili korisnici izvora onečišćivanja iz članka 12. stavka 2. ovoga Zakona dužni su:</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osigurati redovito praćenje emisije onečišćujućih tvari i o tome voditi evidenciju</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osigurati obavljanje mjerenja emisije onečišćujućih tvari iz nepokretnog izvora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voditi evidenciju o obavljenim mjerenjima s podacima o mjernim mjestima i rezultatima mjerenja te o učestalosti mjerenja emisija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voditi evidenciju o upotrijebljenom gorivu i otpadu koji se koristi prilikom procesa suspaljivanja i spaljivanja otpada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voditi evidenciju o radu uređaja za smanjivanje emisija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posjedovati uporabnu dozvolu za rad nepokretnog izvora ukoliko je njeno ishođenje obvezno po posebnom propisu</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prijaviti svaku promjenu na nepokretnom izvoru te promjenu vezanu uz rad i status nepokretnog izvora nadležnom tijelu u roku od 30 dana od dana nastanka promjene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obustaviti rad, bez odgode, postrojenja u kojemu se koriste hlapivi organski spojevi, u slučaju neposredne opasnosti za zdravlje ljudi ili prijetnje uzrokovanja neposrednog znatnog negativnog učinka na okoliš zbog prekoračenja graničnih vrijednosti emisija.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Podaci iz stavka 1. podstavaka 1. do 5. ovoga članka dostavljaju se u Registar onečišćavanja okoliša u skladu s posebnim propisom kojim se uređuje Registar onečišćavanja okoliša.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Za izvore onečišćivanja zraka iz članka 12. stavka 3. podstavaka 1. i 2. ovoga Zakona podaci o izvorima emisije vode se u skladu s posebnim propisom iz članka 69. ovoga Zakona i zakonom kojim se uređuje sigurnost prometa na cestama.</w:t>
      </w:r>
    </w:p>
    <w:p>
      <w:pPr>
        <w:pBdr/>
        <w:pStyle w:val="Heading 3"/>
        <w:spacing/>
        <w:ind/>
        <w:rPr/>
      </w:pPr>
      <w:r>
        <w:rPr/>
        <w:t xml:space="preserve">Obveze jedinica lokalne i područne (regionalne) samouprave</w:t>
      </w:r>
    </w:p>
    <w:p>
      <w:pPr>
        <w:pBdr/>
        <w:pStyle w:val="Heading 4"/>
        <w:spacing/>
        <w:ind/>
        <w:rPr/>
      </w:pPr>
      <w:r>
        <w:rPr/>
        <w:t xml:space="preserve">Članak 66.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 području prve kategorije kvalitete zraka novi zahvat u okoliš ili rekonstrukcija postojećeg izvora onečišćivanja zraka iz članka 12. stavka 2. ovoga Zakona ne smije ugroziti postojeću kategoriju kvalitete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 području druge kategorije kvalitete zraka može se izdati lokacijska, građevinska i uporabna dozvola za novi izvor onečišćivanja zraka ili za rekonstrukciju postojećeg iznimno u slučaju: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ako se tom gradnjom osigurava zamjena postojećega, nezadovoljavajućega nepokretnog izvora novim, kojim se smanjuje onečišćenost zraka i/ili</w:t>
      </w:r>
    </w:p>
    <w:p>
      <w:pPr>
        <w:pBdr/>
        <w:pStyle w:val="Normal"/>
        <w:spacing w:before="120" w:after="0" w:line="240" w:lineRule="auto"/>
        <w:ind/>
        <w:jc w:val="both"/>
        <w:rPr>
          <w:sz w:val="24"/>
          <w:szCs w:val="24"/>
        </w:rPr>
      </w:pPr>
      <w:r>
        <w:rPr>
          <w:rFonts w:ascii="Arial" w:eastAsia="Arial" w:hAnsi="Arial" w:cs="Arial"/>
          <w:sz w:val="24"/>
          <w:szCs w:val="24"/>
        </w:rPr>
        <w:t xml:space="preserve">– ako se u postupku procjene utjecaja na okoliš utvrdi da se navedenim zahvatom neće narušavati kvaliteta zraka odnosno ako su propisane mjere sprječavanja onečišćenosti zraka.</w:t>
      </w:r>
    </w:p>
    <w:p>
      <w:pPr>
        <w:pBdr/>
        <w:pStyle w:val="Heading 3"/>
        <w:spacing/>
        <w:ind/>
        <w:rPr/>
      </w:pPr>
      <w:r>
        <w:rPr/>
        <w:t xml:space="preserve">Emisije onečišćujućih tvari u zrak iz nepokretnih izvora</w:t>
      </w:r>
    </w:p>
    <w:p>
      <w:pPr>
        <w:pBdr/>
        <w:pStyle w:val="Heading 4"/>
        <w:spacing/>
        <w:ind/>
        <w:rPr/>
      </w:pPr>
      <w:r>
        <w:rPr/>
        <w:t xml:space="preserve">Članak 67.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Granične vrijednosti emisija onečišćujućih tvari u zrak iz nepokretnih izvora iz članka 12. stavka 2. ovoga Zakona, praćenje i vrednovanje emisija, upis podataka o uređajima za loženje i plinskim turbinama u registar, upis podataka o nepokretnim izvorima u kojima se koriste organska otapala ili proizvodi koji sadrže hlapive organske spojeve u registar, način smanjivanja emisija onečišćujućih tvari u zrak, način i rok dostave izvješća o emisijama Zavodu, način obavješćivanja javnosti i način dostave podataka nadležnim tijelima Europske unije propisuje Vlada uredbom.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Uredbom iz stavka 1. ovoga članka Vlada će odrediti za postojeće izvore razinu dopuštenog prekoračenja propisanih graničnih vrijednosti emisija za određeno razdoblje.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Za postrojenja koja su obveznici okolišne dozvole granične vrijednosti emisija u zrak i uvjeti praćenja emisija utvrđuju se okolišnom dozvolom u skladu sa zakonom kojim se uređuje zaštita okoliša. Na ta se postrojenja primjenjuju i dodatni i/ili stroži zahtjevi te druge obveze propisane Uredbom iz stavka 1. ovoga članka.</w:t>
      </w:r>
    </w:p>
    <w:p>
      <w:pPr>
        <w:pBdr/>
        <w:pStyle w:val="Heading 3"/>
        <w:spacing/>
        <w:ind/>
        <w:rPr/>
      </w:pPr>
      <w:r>
        <w:rPr/>
        <w:t xml:space="preserve">Tehnički standardi zaštite zraka</w:t>
      </w:r>
    </w:p>
    <w:p>
      <w:pPr>
        <w:pBdr/>
        <w:pStyle w:val="Heading 4"/>
        <w:spacing/>
        <w:ind/>
        <w:rPr>
          <w:bCs/>
        </w:rPr>
      </w:pPr>
      <w:r>
        <w:rPr/>
        <w:t xml:space="preserve">Članak 68.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Za određene proizvode, postrojenja, pogone, uređaje, opremu i proizvodne postupke koji mogu prouzročiti rizik ili opasnost od onečišćenja zraka, određuju se tehnički standardi zaštite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Tehnički standardi zaštite zraka dio su tehničkih standarda zaštite okoliša.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Tehničkim standardima iz stavka 1. ovoga članka određuju se granične vrijednosti emisija u vezi s proizvodnim postupkom i korištenjem postrojenja, pogona, uređaja, opreme te pokazatelja sastavnica i/ili drugih značajki kvalitete proizvoda.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Tehničkim standardima iz stavka 1. ovoga članka propisuju se: način izrade, označavanja, postupanja i korištenja proizvoda, pogona, uređaja, opreme i proizvodnih postupaka te način utvrđivanja i praćenja njihove kvalitete.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Tehničke standarde iz stavka 1. ovoga članka propisuje Vlada uredbom.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Uredbom iz stavka 5. ovoga članka određuje se postupak i rokovi za postizanje tehničkih standarda zaštite zraka te postupak i rokovi za njihovu primjenu na postojeće proizvode, postrojenja, pogone, uređaje i opremu.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Za tehničke standarde zaštite okoliša pravna osoba - operater obvezna je provoditi usklađivanje postrojenja u skladu sa zakonom kojim se uređuje zaštita okoliša.</w:t>
      </w:r>
    </w:p>
    <w:p>
      <w:pPr>
        <w:pBdr/>
        <w:pStyle w:val="Heading 3"/>
        <w:spacing/>
        <w:ind/>
        <w:rPr/>
      </w:pPr>
      <w:r>
        <w:rPr/>
        <w:t xml:space="preserve">Emisije onečišćujućih tvari u zrak iz pokretnih izvora</w:t>
      </w:r>
    </w:p>
    <w:p>
      <w:pPr>
        <w:pBdr/>
        <w:pStyle w:val="Heading 4"/>
        <w:spacing/>
        <w:ind/>
        <w:rPr/>
      </w:pPr>
      <w:r>
        <w:rPr/>
        <w:t xml:space="preserve">Članak 69.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Za potrebe praćenja i evidenciju onečišćujućih tvari u zrak iz pokretnih izvora iz članka 12. stavka 3. podstavaka 1. i 2. ovoga Zakona uspostavlja se Registar emisija onečišćujućih tvari u zrak iz pokretnih izvora.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Registar iz stavka 1. ovoga članka je sastavni dio ISZZ iz članka 55. ovoga Zakona i vodi ga Zavod.</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Praćenje i evidencija emisija onečišćujućih tvari u zrak iz pokretnih izvora iz članka 12. stavka 3. podstavka 1. i 2. ovoga Zakona, sadržaj Registra iz stavka 1. ovoga članka i upis podataka u Registar, način i rok dostave izvješća o emisijama prema Zavodu, kriterije i mjerila za izračun naknade za obavljanje poslova evidencije te obveznike njezina plaćanja, način obavješćivanja javnosti i način dostave podataka nadležnim tijelima Europske unije propisuje Vlada uredbom.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Praćenje i evidencija emisija iz pokretnih izvora iz članka 12. stavka 3. podstavaka 3., 4. i 5. ovoga Zakona propisuju se posebnim propisima koji uređuju željeznički, zračni, pomorski i riječni promet.</w:t>
      </w:r>
    </w:p>
    <w:p>
      <w:pPr>
        <w:pBdr/>
        <w:pStyle w:val="Heading 3"/>
        <w:spacing/>
        <w:ind/>
        <w:rPr/>
      </w:pPr>
      <w:r>
        <w:rPr/>
        <w:t xml:space="preserve">Kvaliteta proizvoda</w:t>
      </w:r>
    </w:p>
    <w:p>
      <w:pPr>
        <w:pBdr/>
        <w:pStyle w:val="Heading 4"/>
        <w:spacing/>
        <w:ind/>
        <w:rPr/>
      </w:pPr>
      <w:r>
        <w:rPr/>
        <w:t xml:space="preserve">Članak 70.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Granične vrijednosti sastavnica i/ili značajki kvalitete tekućih naftnih goriva, način njihova utvrđivanja i praćenja, uvjete za rad laboratorija za uzorkovanje i analizu, način dokazivanja sukladnosti, naziv i označavanje, način i rokove dostave izvješća o kvaliteti te format izvješća i način izvješćivanja nadležnih tijela Europske unije propisuje Vlada uredbom.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Granične vrijednosti sadržaja hlapivih organskih spojeva u određenim bojama i lakovima koji se koriste u graditeljstvu i proizvodima za završnu obradu vozila koji se smiju stavljati na tržište odnosno na raspolaganje na tržištu, način utvrđivanja i praćenja kvalitete proizvoda, način dokazivanja sukladnosti, naziv i označivanje proizvoda, način i rok dostave izvješća o kvaliteti proizvoda ministarstvu propisuje Vlada uredbom.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Granične vrijednosti značajki kvalitete biogoriva koja se stavljaju u promet na domaće tržište, način utvrđivanja kvalitete biogoriva te način dokazivanja sukladnosti propisuje Vlada uredbom.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Uredbom iz stavka 2. ovoga članka Vlada će odrediti za postojeće proizvode razinu dopuštenog prekoračenja propisanih graničnih vrijednosti sastavnica i/ili drugih značajki kvalitete proizvoda za određeno razdoblje.</w:t>
      </w:r>
    </w:p>
    <w:p>
      <w:pPr>
        <w:pBdr/>
        <w:pStyle w:val="Heading 3"/>
        <w:spacing/>
        <w:ind/>
        <w:rPr/>
      </w:pPr>
      <w:r>
        <w:rPr/>
        <w:t xml:space="preserve">Praćenje emisija na pomorskom objektu</w:t>
      </w:r>
    </w:p>
    <w:p>
      <w:pPr>
        <w:pBdr/>
        <w:pStyle w:val="Heading 4"/>
        <w:spacing/>
        <w:ind/>
        <w:rPr/>
      </w:pPr>
      <w:r>
        <w:rPr/>
        <w:t xml:space="preserve">Članak 71.</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(1) Pravna ili fizička osoba koja upravlja pomorskim objektom te zapovjednik pomorskog objekta kao njegov predstavnik, obvezni su na pomorskom objektu posjedovati zapise, dokumentaciju i uzorke vezane za primitak, izmjenu i upotrebu brodskih goriva, dokumentaciju vezanu za korištenje metoda smanjenja emisija te nadležnim inspektorima tijela državne uprave nadležne za inspekcijske poslove u području sigurnosti plovidbe omogućiti utvrđivanje kvalitete brodskog goriva na način propisan uredbom iz članka 70. stavka 1. ovoga Zakona.</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(2) Metode smanjenja emisija na pomorskom objektu obvezno je koristiti na način propisan uredbom iz članka 70. stavka 1. ovoga Zakona.</w:t>
      </w:r>
    </w:p>
    <w:p>
      <w:pPr>
        <w:pBdr/>
        <w:pStyle w:val="Heading 3"/>
        <w:spacing/>
        <w:ind/>
        <w:rPr/>
      </w:pPr>
      <w:r>
        <w:rPr/>
        <w:t xml:space="preserve">Praćenje kvalitete goriva</w:t>
      </w:r>
    </w:p>
    <w:p>
      <w:pPr>
        <w:pBdr/>
        <w:pStyle w:val="Heading 4"/>
        <w:spacing/>
        <w:ind/>
        <w:rPr/>
      </w:pPr>
      <w:r>
        <w:rPr/>
        <w:t xml:space="preserve">Članak 72.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Praćenje kvalitete goriva kao proizvoda definiranog uredbom iz članka 70. stavka 1. ovoga Zakona provodi se radi praćenja i provjere kvalitete goriva koja se stavljaju na tržište Republike Hrvatske.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Praćenje kvalitete goriva obavlja se prema Programu praćenja kvalitete goriva.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Sadržaj i način izrade Programa praćenja kvalitete goriva propisuje se uredbom iz članka 70. stavka 1. ovoga Zakona.</w:t>
      </w:r>
    </w:p>
    <w:p>
      <w:pPr>
        <w:pBdr/>
        <w:pStyle w:val="Normal"/>
        <w:spacing w:before="240" w:after="0" w:line="240" w:lineRule="auto"/>
        <w:ind/>
        <w:jc w:val="both"/>
        <w:rPr>
          <w:rFonts w:ascii="Arial" w:eastAsia="Arial" w:hAnsi="Arial" w:cs="Arial"/>
          <w:bCs/>
          <w:sz w:val="24"/>
          <w:szCs w:val="24"/>
        </w:rPr>
      </w:pPr>
      <w:r>
        <w:rPr>
          <w:rFonts w:ascii="Arial" w:eastAsia="Arial" w:hAnsi="Arial" w:cs="Arial"/>
          <w:sz w:val="24"/>
          <w:szCs w:val="24"/>
        </w:rPr>
        <w:t xml:space="preserve">(4) Program praćenja kvalitete goriva donosi ministar odlukom do kraja tekuće godine za iduću godinu i objavljuje se na mrežnim stranicama Ministarstva.</w:t>
      </w:r>
    </w:p>
    <w:p>
      <w:pPr>
        <w:pBdr/>
        <w:pStyle w:val="Heading 3"/>
        <w:spacing/>
        <w:ind/>
        <w:rPr/>
      </w:pPr>
      <w:r>
        <w:rPr/>
        <w:t xml:space="preserve">Utvrđivanje kvalitete goriva</w:t>
      </w:r>
    </w:p>
    <w:p>
      <w:pPr>
        <w:pBdr/>
        <w:pStyle w:val="Heading 4"/>
        <w:spacing/>
        <w:ind/>
        <w:rPr/>
      </w:pPr>
      <w:r>
        <w:rPr/>
        <w:t xml:space="preserve">Članak 73.</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(1) Utvrđivanje kvalitete goriva kao proizvoda definiranih uredbom iz članka 70. stavka 1. ovoga Zakona obavlja se na temelju izvršenog uzorkovanja i laboratorijske analize te ocjene laboratorijske analize u skladu sa zahtjevima usklađenih normi za uzorkovanje, laboratorijsku analizu i ocjenjivanje sukladnosti.</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(2) Laboratorijsku analizu proizvoda iz stavka 1. ovoga članka obavlja ispitni laboratorij koji posjeduje potvrdu o akreditaciji za ispitivanje kvalitete proizvoda izdanu od strane tijela koje obavlja poslove nacionalne službe za akreditaciju.</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(3) Uzorkovanje i ocjenu laboratorijske analize kvalitete proizvoda iz stavka 1. ovoga članka obavlja neovisno inspekcijsko tijelo vrste A koje posjeduje potvrdu o akreditaciji izdanu od strane tijela koje obavlja poslove nacionalne službe za akreditaciju.</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(4) Popis pravnih osoba koje posjeduju potvrdu o akreditaciji iz stavaka 2. i 3. ovoga članka objavljuje se u registru akreditacija na mrežnim stranicama tijela koje obavlja poslove nacionalne službe za akreditaciju.</w:t>
      </w:r>
    </w:p>
    <w:p>
      <w:pPr>
        <w:pBdr/>
        <w:pStyle w:val="Heading 3"/>
        <w:spacing/>
        <w:ind/>
        <w:rPr/>
      </w:pPr>
      <w:r>
        <w:rPr/>
        <w:t xml:space="preserve">Suglasnost za kupovinu i korištenje proizvoda koji odstupaju od graničnih vrijednosti sadržaja hlapivih organskih spojeva</w:t>
      </w:r>
    </w:p>
    <w:p>
      <w:pPr>
        <w:pBdr/>
        <w:pStyle w:val="Heading 4"/>
        <w:spacing/>
        <w:ind/>
        <w:rPr>
          <w:bCs/>
        </w:rPr>
      </w:pPr>
      <w:r>
        <w:rPr/>
        <w:t xml:space="preserve">Članak 74.</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(1) U svrhu održavanja i/ili obnove građevine i starodobnog vozila (oldtimer) koji su zaštićena kulturna dobra, Ministarstvo izdaje suglasnost za kupovinu i korištenje strogo ograničenih količina proizvoda koji odstupaju od graničnih vrijednosti sadržaja hlapivih organskih spojeva propisanih uredbom iz članka 70. stavka 2. ovoga Zakona koja se odnosi na boje i lakove koji se koriste u graditeljstvu i proizvode za završnu obradu vozila.</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(2) Zahtjev za izdavanje suglasnosti iz stavka 1. ovoga članka podnosi se Ministarstvu.</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(3) U zahtjevu pravna osoba i/ili obrtnik koji obavlja održavanje i/ili obnovu građevine i starodobnog vozila (oldtimer) koji su zaštićena kulturna dobra mora navesti vrstu i količinu proizvoda za kupovinu izraženu u kg ili l te vrijednost sadržaja hlapivih organskih spojeva u g/l.</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(4) Uz zahtjev iz stavka 3. ovoga članka potrebno je dostaviti sljedeće:</w:t>
      </w:r>
    </w:p>
    <w:p>
      <w:pPr>
        <w:pBdr/>
        <w:pStyle w:val="Normal"/>
        <w:spacing w:before="120" w:after="0" w:line="240" w:lineRule="auto"/>
        <w:ind/>
        <w:jc w:val="both"/>
        <w:rPr>
          <w:rFonts w:ascii="Arial" w:eastAsia="Arial" w:hAnsi="Arial" w:cs="Arial"/>
          <w:bCs/>
          <w:sz w:val="24"/>
          <w:szCs w:val="24"/>
        </w:rPr>
      </w:pPr>
      <w:r>
        <w:rPr>
          <w:rFonts w:ascii="Arial" w:eastAsia="Arial" w:hAnsi="Arial" w:cs="Arial"/>
          <w:bCs/>
          <w:sz w:val="24"/>
          <w:szCs w:val="24"/>
        </w:rPr>
        <w:t xml:space="preserve">– dokaz o vlasništvu ili pravu nad građevinom odnosno vlasništvu starodobnog vozila</w:t>
      </w:r>
    </w:p>
    <w:p>
      <w:pPr>
        <w:pBdr/>
        <w:pStyle w:val="Normal"/>
        <w:spacing w:before="120" w:after="0" w:line="240" w:lineRule="auto"/>
        <w:ind/>
        <w:jc w:val="both"/>
        <w:rPr>
          <w:rFonts w:ascii="Arial" w:eastAsia="Arial" w:hAnsi="Arial" w:cs="Arial"/>
          <w:bCs/>
          <w:sz w:val="24"/>
          <w:szCs w:val="24"/>
        </w:rPr>
      </w:pPr>
      <w:r>
        <w:rPr>
          <w:rFonts w:ascii="Arial" w:eastAsia="Arial" w:hAnsi="Arial" w:cs="Arial"/>
          <w:bCs/>
          <w:sz w:val="24"/>
          <w:szCs w:val="24"/>
        </w:rPr>
        <w:t xml:space="preserve">– dokaz da je građevina odnosno starodobno vozilo zaštićeno kulturno dobro i</w:t>
      </w:r>
    </w:p>
    <w:p>
      <w:pPr>
        <w:pBdr/>
        <w:pStyle w:val="Normal"/>
        <w:spacing w:before="120" w:after="0" w:line="240" w:lineRule="auto"/>
        <w:ind/>
        <w:jc w:val="both"/>
        <w:rPr>
          <w:rFonts w:ascii="Arial" w:eastAsia="Arial" w:hAnsi="Arial" w:cs="Arial"/>
          <w:bCs/>
          <w:sz w:val="24"/>
          <w:szCs w:val="24"/>
        </w:rPr>
      </w:pPr>
      <w:r>
        <w:rPr>
          <w:rFonts w:ascii="Arial" w:eastAsia="Arial" w:hAnsi="Arial" w:cs="Arial"/>
          <w:bCs/>
          <w:sz w:val="24"/>
          <w:szCs w:val="24"/>
        </w:rPr>
        <w:t xml:space="preserve">– izvješće o ispitivanju proizvoda za kupovinu.</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(5) Rješenje kojim se odlučuje o zahtjevu za izdavanje suglasnosti donosi se i dostavlja stranki u roku od 30 dana od dana podnošenja urednog zahtjeva.</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(6) Suglasnost iz stavka 1. ovoga članka upravni je akt i izdaje se na rok od dvije godine.</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(7) Protiv rješenja iz stavka 5. ovoga članka žalba nije dopuštena, ali se može pokrenuti upravni spor pred nadležnim upravnim sudom.</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(8) O izdanim suglasnostima iz stavka 1. ovoga članka Ministarstvo vodi evidenciju.</w:t>
      </w:r>
    </w:p>
    <w:p>
      <w:pPr>
        <w:pBdr/>
        <w:pStyle w:val="Heading 3"/>
        <w:spacing/>
        <w:ind/>
        <w:rPr/>
      </w:pPr>
      <w:r>
        <w:rPr/>
        <w:t xml:space="preserve">Praćenje emisija onečišćujućih tvari u zrak iz nepokretnih izvora</w:t>
      </w:r>
    </w:p>
    <w:p>
      <w:pPr>
        <w:pBdr/>
        <w:pStyle w:val="Heading 4"/>
        <w:spacing/>
        <w:ind/>
        <w:rPr/>
      </w:pPr>
      <w:r>
        <w:rPr/>
        <w:t xml:space="preserve">Članak 75.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Način praćenja emisija onečišćujućih tvari u zrak iz nepokretnih izvora, opseg i vrsta mjerenja, referentne metode mjerenja, način dokazivanja ekvivalentnosti za druge metode mjerenja, način provjere ispravnosti i umjeravanja mjernih instrumenata, način provjere ispravnosti mjernog sustava za kontinuirano mjerenje emisija onečišćujućih tvari u zrak iz nepokretnih izvora, postupak uzorkovanja i vrednovanja rezultata mjerenja, način dostave podataka za potrebe ISZZ-a o emisijama i način redovitog informiranja javnosti o praćenju emisija propisuje ministar pravilnikom.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Pravilnikom iz stavka 1. ovoga članka detaljno se propisuju kriteriji, metodologija i način kvantifikacije pri utvrđivanju graničnih vrijednosti emisija, uvjeti praćenja i pravila za ocjenu sukladnosti emisija, primjena standarda kvalitete zraka pri utvrđivanju strožih uvjeta, način procjene utjecaja i praćenja strožih uvjeta kao i pravila postupanja i evidentiranja tijekom uvjeta koji nisu normalni uvjeti rada za postrojenja i izvore onečišćavanja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Pravilnikom iz stavka 1. ovoga članka propisuje se i način </w:t>
      </w:r>
      <w:r>
        <w:rPr>
          <w:rFonts w:ascii="Arial" w:eastAsia="Arial" w:hAnsi="Arial" w:cs="Arial"/>
          <w:sz w:val="24"/>
          <w:szCs w:val="24"/>
        </w:rPr>
        <w:t xml:space="preserve">praćenja emisija neugodnih mirisa za postrojenja koja su obveznici okolišne dozvole i/</w:t>
      </w:r>
      <w:r>
        <w:rPr>
          <w:rFonts w:ascii="Arial" w:eastAsia="Arial" w:hAnsi="Arial" w:cs="Arial"/>
          <w:sz w:val="24"/>
          <w:szCs w:val="24"/>
        </w:rPr>
        <w:t xml:space="preserve">ili koja posjeduju dozvolu za gospodarenje otpadom za vrste otpada koje mogu uzrokovati dodijavanje mirisima u skladu s propisima kojima se uređuje gospodarenje otpadom.</w:t>
      </w:r>
    </w:p>
    <w:p>
      <w:pPr>
        <w:pBdr/>
        <w:pStyle w:val="Heading 3"/>
        <w:spacing/>
        <w:ind/>
        <w:rPr>
          <w:iCs/>
        </w:rPr>
      </w:pPr>
      <w:r>
        <w:rPr/>
        <w:t xml:space="preserve">Registar malih kućnih ložišta</w:t>
      </w:r>
    </w:p>
    <w:p>
      <w:pPr>
        <w:pBdr/>
        <w:pStyle w:val="Heading 4"/>
        <w:spacing/>
        <w:ind/>
        <w:rPr/>
      </w:pPr>
      <w:r>
        <w:rPr/>
        <w:t xml:space="preserve">Članak 76.</w:t>
      </w:r>
    </w:p>
    <w:p>
      <w:pPr>
        <w:pBdr/>
        <w:pStyle w:val="Normal"/>
        <w:spacing w:before="100" w:beforeAutospacing="true"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(1) Za potrebe praćenja i ocjenjivanja kvalitete zraka, izrade i provedbe planova, programa i drugih dokumenata zaštite zraka, izrade nacionalnih inventara emisija onečišćujućih tvari u zrak, modeliranja kvalitete zraka, praćenja učinaka mjera za smanjenje emisija iz malih kućnih ložišta, planiranja mjera energetske obnove i zamjene uređaja za loženje uspostavlja se Registar malih kućnih ložišta.</w:t>
      </w:r>
    </w:p>
    <w:p>
      <w:pPr>
        <w:pBdr/>
        <w:pStyle w:val="Normal"/>
        <w:spacing w:before="100" w:beforeAutospacing="true"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(2) Registar iz stavka 1. ovoga članka sastavni je dio informacijskog sustava zaštite okoliša i prirode.</w:t>
      </w:r>
    </w:p>
    <w:p>
      <w:pPr>
        <w:pBdr/>
        <w:pStyle w:val="Normal"/>
        <w:spacing w:before="100" w:beforeAutospacing="true"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(3) Sadržaj Registra iz stavka 1. ovoga članka, podatke koji se prikupljaju, način, rokove i tehničke uvjete unosa podataka, način vođenja Registra, način razmjene </w:t>
      </w:r>
      <w:r>
        <w:rPr>
          <w:rFonts w:ascii="Arial" w:eastAsia="Arial" w:hAnsi="Arial" w:cs="Arial"/>
          <w:sz w:val="24"/>
          <w:szCs w:val="24"/>
        </w:rPr>
        <w:t xml:space="preserve">podataka s drugim informacijskim sustavima, pravo pristupa i korištenja podataka te druga pitanja potrebna za uspostavu i vođenje Registra propisuje ministar pravilnikom.</w:t>
      </w:r>
    </w:p>
    <w:p>
      <w:pPr>
        <w:pBdr/>
        <w:pStyle w:val="Heading 3"/>
        <w:spacing/>
        <w:ind/>
        <w:rPr/>
      </w:pPr>
      <w:r>
        <w:rPr/>
        <w:t xml:space="preserve">Nadležnost i upravljanje Registrom malih kućnih ložišta</w:t>
      </w:r>
    </w:p>
    <w:p>
      <w:pPr>
        <w:pBdr/>
        <w:pStyle w:val="Heading 4"/>
        <w:spacing/>
        <w:ind/>
        <w:rPr/>
      </w:pPr>
      <w:r>
        <w:rPr/>
        <w:t xml:space="preserve">Članak 77.</w:t>
      </w:r>
    </w:p>
    <w:p>
      <w:pPr>
        <w:pBdr/>
        <w:pStyle w:val="Normal"/>
        <w:spacing w:before="100" w:beforeAutospacing="true"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(1) Uspostavu, vođenje i održavanje Registra iz članka 76. ovoga Zakona obavlja Zavod.</w:t>
      </w:r>
    </w:p>
    <w:p>
      <w:pPr>
        <w:pBdr/>
        <w:pStyle w:val="Normal"/>
        <w:spacing w:before="100" w:beforeAutospacing="true"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(2) Ministarstvo osigurava uspostavu i funkcioniranje registra iz stavka 1. ovoga članka, njegovu usklađenost s drugim informacijskim sustavima, zaštitu podataka u skladu s zakonom kojim se uređuje zaštita osobnih podataka te dostupnost podataka nadležnim tijelima u okviru njihove zakonom propisane nadležnosti.</w:t>
      </w:r>
    </w:p>
    <w:p>
      <w:pPr>
        <w:pBdr/>
        <w:pStyle w:val="Normal"/>
        <w:spacing w:before="100" w:beforeAutospacing="true"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(3) Prikupljanje podataka i upis istih u Registar iz članka 76. ovoga Zakona obavljaju osobe koje obavljaju dimnjačarske poslove sukladno propisima kojima se uređuje komunalno gospodarstvo tijekom redovitog obavljanja dimnjačarskih poslova.</w:t>
      </w:r>
    </w:p>
    <w:p>
      <w:pPr>
        <w:pBdr/>
        <w:pStyle w:val="Normal"/>
        <w:spacing w:before="100" w:beforeAutospacing="true"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(4) Iznimno od odredbi stavka 3. ovoga članka ako podatke iz članka 76. ovoga Zakona nije moguće utvrditi tijekom obavljanja dimnjačarskih poslova, oni se u registar unose na temelju podataka iz Središnjeg registra stanovništva koje vlasnik ili korisnik malog kućnog ložišta dostavlja temeljem zakona kojim se uređuje središnji registar stanovništva.</w:t>
      </w:r>
    </w:p>
    <w:p>
      <w:pPr>
        <w:pBdr/>
        <w:pStyle w:val="Normal"/>
        <w:spacing w:before="100" w:beforeAutospacing="true"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(5) Jedinice lokalne samouprave, u okviru svojih ovlasti propisanih zakonom kojim se uređuje komunalno gospodarstvo, osiguravaju uvjete za provedbu obveza iz ovoga Zakona koje se odnose na obavljanje dimnjačarskih poslova.</w:t>
      </w:r>
    </w:p>
    <w:p>
      <w:pPr>
        <w:pBdr/>
        <w:pStyle w:val="Normal"/>
        <w:spacing w:before="100" w:beforeAutospacing="true"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(6) Ako provedba obveza iz ovoga Zakona zahtijeva prilagodbu načina obavljanja dimnjačarskih poslova ili financiranja njihove provedbe, jedinice lokalne samouprave mogu odgovarajuće uskladiti svoje opće akte i ugovore sklopljene za obavljanje dimnjačarskih poslova, u skladu s propisima kojima se uređuje komunalno gospodarstvo.</w:t>
      </w:r>
    </w:p>
    <w:p>
      <w:pPr>
        <w:pBdr/>
        <w:pStyle w:val="Heading 2"/>
        <w:spacing/>
        <w:ind/>
        <w:rPr/>
      </w:pPr>
      <w:r>
        <w:rPr/>
        <w:t xml:space="preserve">GLAVA VIII.</w:t>
      </w:r>
    </w:p>
    <w:p>
      <w:pPr>
        <w:pBdr/>
        <w:pStyle w:val="Heading 2"/>
        <w:spacing/>
        <w:ind/>
        <w:rPr/>
      </w:pPr>
      <w:r>
        <w:rPr/>
        <w:t xml:space="preserve">DJELATNOST PRAĆENJA KVALITETE ZRAKA I EMISIJA ONEČIŠĆUJUĆIH TVARI U ZRAK</w:t>
      </w:r>
    </w:p>
    <w:p>
      <w:pPr>
        <w:pBdr/>
        <w:pStyle w:val="Heading 3"/>
        <w:spacing/>
        <w:ind/>
        <w:rPr>
          <w:b/>
        </w:rPr>
      </w:pPr>
      <w:r>
        <w:rPr/>
        <w:t xml:space="preserve">Dozvola za obavljanje djelatnosti za ispitni laboratorij</w:t>
      </w:r>
    </w:p>
    <w:p>
      <w:pPr>
        <w:pBdr/>
        <w:pStyle w:val="Heading 4"/>
        <w:spacing/>
        <w:ind/>
        <w:rPr/>
      </w:pPr>
      <w:r>
        <w:rPr/>
        <w:t xml:space="preserve">Članak 78.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Ispitni laboratorij može obavljati djelatnost praćenja kvalitete zraka, djelatnost praćenja emisija onečišćujućih tvari u zrak iz nepokretnih izvora i/ili djelatnost provjere ispravnosti mjernog sustava za kontinuirano mjerenje emisija onečišćujućih tvari u zrak iz nepokretnih izvora ako ishodi dozvolu Ministarstva.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O dozvoli iz stavka 1. ovoga članka Ministarstvo donosi rješenje.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Protiv rješenja iz stavka 2. ovoga članka nije dopuštena žalba, ali se može pokrenuti upravni spor pred nadležnim upravnim sudom.</w:t>
      </w:r>
    </w:p>
    <w:p>
      <w:pPr>
        <w:pBdr/>
        <w:pStyle w:val="Heading 3"/>
        <w:spacing/>
        <w:ind/>
        <w:rPr/>
      </w:pPr>
      <w:r>
        <w:rPr/>
        <w:t xml:space="preserve">Uvjeti za izdavanje dozvole za ispitni laboratorij</w:t>
      </w:r>
    </w:p>
    <w:p>
      <w:pPr>
        <w:pBdr/>
        <w:pStyle w:val="Heading 4"/>
        <w:spacing/>
        <w:ind/>
        <w:rPr/>
      </w:pPr>
      <w:r>
        <w:rPr/>
        <w:t xml:space="preserve">Članak 79.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Dozvola iz članka 78. ovoga Zakona izdaje se ispitnom laboratoriju koji udovoljava sljedećim uvjetima: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registriran je za obavljanje djelatnosti praćenja kvalitete zraka, djelatnosti praćenja emisija onečišćujućih tvari u zrak iz nepokretnih izvora i/ili djelatnosti provjere ispravnosti mjernog sustava za kontinuirano mjerenje emisija onečišćujućih tvari u zrak iz nepokretnih izvora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praćenje kvalitete zraka, raspolaže mjernom opremom za obavljanje poslova praćenja kvalitete zraka prema referentnim metodama mjerenja propisanima pravilnikom iz članka 23. ovoga Zakona i da je akreditiran prema zahtjevu usklađene norme za ispitne i umjerne laboratorije za svaku referentnu metodu mjerenja posebno, odnosno ima potvrdu o stručno-</w:t>
      </w:r>
      <w:r>
        <w:rPr>
          <w:rFonts w:ascii="Arial" w:eastAsia="Arial" w:hAnsi="Arial" w:cs="Arial"/>
          <w:sz w:val="24"/>
          <w:szCs w:val="24"/>
        </w:rPr>
        <w:t xml:space="preserve">tehničkoj osposobljenosti izdanu od nacionalnog referentnog laboratorija za osiguravanje točnosti mjerenja te prijenos i dijeljenje mjernih podataka kvalitete zraka za svaku referentnu metodu mjerenja posebno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praćenje emisija onečišćujućih tvari u zrak iz nepokretnih izvora, raspolaže mjernom opremom za obavljanje poslova praćenja emisija onečišćujućih tvari u zrak iz nepokretnih izvora prema metodama mjerenja propisanim pravilnikom iz članka 75. ovoga Zakona i da je akreditiran prema zahtjevu usklađene norme za ispitne i umjerne laboratorije za svaku referentnu metodu mjerenja posebno odnosno za svaku metodu posebno u skladu s CEN i ISO normama propisanima pravilnikom iz članka 75. ovoga Zakona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provjeru ispravnosti mjernog sustava za kontinuirano mjerenje emisija iz nepokretnih izvora, da je akreditiran prema zahtjevu usklađene norme za ispitne i umjerne laboratorije za referentne metode mjerenja emisija propisanih pravilnikom iz članka 75. ovoga Zakona, a koje su u skladu s normom HRN EN 14181.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Za praćenje kvalitete zraka ispitni laboratorij može koristiti i druge metode mjerenja onečišćujućih tvari u zraku za koje su propisane referentne metode mjerenja pravilnikom iz članka 23. ovoga Zakona ako je za njih akreditiran ili ima potvrdu o stručno-</w:t>
      </w:r>
      <w:r>
        <w:rPr>
          <w:rFonts w:ascii="Arial" w:eastAsia="Arial" w:hAnsi="Arial" w:cs="Arial"/>
          <w:sz w:val="24"/>
          <w:szCs w:val="24"/>
        </w:rPr>
        <w:t xml:space="preserve">tehničkoj osposobljenosti izdanu od nacionalnog referentnog laboratorija za osiguravanje točnosti mjerenja te prijenos i dijeljenje mjernih podataka za svaku metodu mjerenja posebno i ima potvrdu nacionalnog referentnog laboratorija da su provedeni testovi ekvivalencije drugih metoda mjerenja s referentnim metodama u skladu sa standardima Europske komisije.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Iznimno od stavka 2. ovoga članka, za praćenje kvalitete zraka za one onečišćujuće tvari u zraku za koje nisu propisane referentne metode mjerenja ispitni laboratorij može koristiti druge metode mjerenja ako je za njih akreditiran prema zahtjevu usklađene norme za ispitne i umjerne laboratorije.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Za praćenje emisija onečišćujućih tvari u zrak iz nepokretnih izvora, osim referentnih metoda mjerenja propisanih pravilnikom iz članka 75. ovoga Zakona, ispitni laboratorij može koristiti i druge metode mjerenja ako je za njih akreditiran, uz dokazivanje ekvivalentnosti prema zahtjevu norme HRN CEN/TS 14793.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Iznimno od stavka 1. podstavka 3. ovoga članka, uvjet za izdavanje dozvole za djelatnost praćenja kvalitete zraka iz članka 78. ovoga Zakona za automatske metode ili druge metode mjerenja sumporovodika, amonijaka ili merkaptana je sljedeći: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automatske metode mjerenje sumporovodika da je akreditiran prema zahtjevu usklađene norme za ispitne i umjerne laboratorije za metodu mjerenja sumporova dioksida ili ima potvrdu o stručno-</w:t>
      </w:r>
      <w:r>
        <w:rPr>
          <w:rFonts w:ascii="Arial" w:eastAsia="Arial" w:hAnsi="Arial" w:cs="Arial"/>
          <w:sz w:val="24"/>
          <w:szCs w:val="24"/>
        </w:rPr>
        <w:t xml:space="preserve">tehničkoj osposobljenosti izdanu od nacionalnog referentnog laboratorija za mjerenje sumporova dioksida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automatske metode mjerenje amonijaka da je akreditiran prema zahtjevu usklađene norme za ispitne i umjerne laboratorije za metodu mjerenja dušikova dioksida ili ima potvrdu o stručno-</w:t>
      </w:r>
      <w:r>
        <w:rPr>
          <w:rFonts w:ascii="Arial" w:eastAsia="Arial" w:hAnsi="Arial" w:cs="Arial"/>
          <w:sz w:val="24"/>
          <w:szCs w:val="24"/>
        </w:rPr>
        <w:t xml:space="preserve">tehničkoj osposobljenosti izdanu od nacionalnog referentnog laboratorija za mjerenje dušikova dioksida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automatske metode mjerenje merkaptana da je akreditiran prema zahtjevu usklađene norme za ispitne i umjerne laboratorije za metodu mjerenja benzena ili ima potvrdu o stručno-</w:t>
      </w:r>
      <w:r>
        <w:rPr>
          <w:rFonts w:ascii="Arial" w:eastAsia="Arial" w:hAnsi="Arial" w:cs="Arial"/>
          <w:sz w:val="24"/>
          <w:szCs w:val="24"/>
        </w:rPr>
        <w:t xml:space="preserve">tehničkoj osposobljenosti izdanu od nacionalnog referentnog laboratorija za mjerenje benzena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druge metode mjerenja sumporovodika, amonijaka i merkaptana da je akreditiran u skladu s mjerodavnom usklađenom normom za ispitne i umjerne laboratorije za mjerenje onečišćujuće tvari za koju traži dozvolu ili dokaz o posjedovanju sljedivog mjerača protoka u skladu s mjerodavnom usklađenom normom za ispitne i umjerne laboratorije te dokaz da je analiza uzoraka provedena opremom dokazive sljedivosti u skladu s mjerodavnom usklađenom normom za ispitne i umjerne laboratorije.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Ispitni laboratorij može obavljati djelatnost praćenja kvalitete zraka, djelatnost praćenja emisija onečišćujućih tvari iz nepokretnih izvora i/ili djelatnost provjere ispravnosti mjernog sustava za kontinuirano mjerenje emisija iz nepokretnih izvora prema referentnoj metodi mjerenja odnosno drugoj metodi mjerenja za koju je ishodio dozvolu iz članka 78.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Odredba stavka 1. podstavka 1. ovoga članka ne primjenjuje se na tijelo državne uprave.</w:t>
      </w:r>
    </w:p>
    <w:p>
      <w:pPr>
        <w:pBdr/>
        <w:pStyle w:val="Heading 3"/>
        <w:spacing/>
        <w:ind/>
        <w:rPr/>
      </w:pPr>
      <w:r>
        <w:rPr/>
        <w:t xml:space="preserve">Dokazi za izdavanje dozvole za ispitni laboratorij</w:t>
      </w:r>
    </w:p>
    <w:p>
      <w:pPr>
        <w:pBdr/>
        <w:pStyle w:val="Heading 4"/>
        <w:spacing/>
        <w:ind/>
        <w:rPr/>
      </w:pPr>
      <w:r>
        <w:rPr/>
        <w:t xml:space="preserve">Članak 80.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Uz zahtjev za izdavanje dozvole iz članka 78. ovoga Zakona prilaže se: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praćenje kvalitete zraka, potvrda o akreditaciji praćenja kvalitete zraka prema zahtjevu usklađene norme za ispitne i umjerne laboratorije ili potvrda o stručno-</w:t>
      </w:r>
      <w:r>
        <w:rPr>
          <w:rFonts w:ascii="Arial" w:eastAsia="Arial" w:hAnsi="Arial" w:cs="Arial"/>
          <w:sz w:val="24"/>
          <w:szCs w:val="24"/>
        </w:rPr>
        <w:t xml:space="preserve">tehničkoj osposobljenosti izdana od nacionalnog referentnog laboratorija za osiguravanje točnosti mjerenja te prijenos i dijeljenje mjernih podataka kvalitete zraka, s popisom referentnih metoda mjerenja ili drugih metoda mjerenja za koje je proveden postupak dokazivanja ekvivalentnosti s referentnim metodama mjerenja propisanima pravilnikom iz članka 23. ovoga Zakona, za koje se traži dozvola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praćenje emisija onečišćujućih tvari u zrak iz nepokretnih izvora, potvrda o akreditaciji praćenja emisija onečišćujućih tvari u zrak iz nepokretnih izvora prema zahtjevu usklađene norme za ispitne i umjerne laboratorije s popisom referentnih metoda mjerenja ili drugih metoda mjerenja za koje je proveden postupak dokazivanja ekvivalentnosti s referentnim metodama mjerenja odnosno za svaku metodu posebno u skladu s CEN i ISO normama propisanima pravilnikom iz članka 75. ovoga Zakona za koje se traži dozvola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provjeru ispravnosti mjernog sustava za kontinuirano mjerenje emisija iz nepokretnih izvora, potvrda o akreditaciji praćenja emisija onečišćujućih tvari u zrak iz nepokretnih izvora prema zahtjevu usklađene norme za ispitne i umjerne laboratorije s </w:t>
      </w:r>
      <w:r>
        <w:rPr>
          <w:rFonts w:ascii="Arial" w:eastAsia="Arial" w:hAnsi="Arial" w:cs="Arial"/>
          <w:sz w:val="24"/>
          <w:szCs w:val="24"/>
        </w:rPr>
        <w:t xml:space="preserve">popisom referentnih metoda mjerenja emisija koje su u skladu s normom HRN EN 14181 za koje se traži dozvola.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Potvrdu o akreditaciji iz stavka 1. podstavaka 1., 2. i 3. ovoga članka izdaje tijelo koje obavlja poslove nacionalne službe za akreditaciju.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Potvrdu o stručno-</w:t>
      </w:r>
      <w:r>
        <w:rPr>
          <w:rFonts w:ascii="Arial" w:eastAsia="Arial" w:hAnsi="Arial" w:cs="Arial"/>
          <w:sz w:val="24"/>
          <w:szCs w:val="24"/>
        </w:rPr>
        <w:t xml:space="preserve">tehničkoj osposobljenosti iz stavka 1. podstavka 1. ovoga članka izdaje Nacionalni referentni laboratorij iz članka 11.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Iznimno od stavka 3. ovoga članka, ako u Republici Hrvatskoj za određenu referentnu metodu mjerenja ne postoji Nacionalni referentni laboratorij iz članka 11. ovoga Zakona, priznaje se potvrda o stručno-</w:t>
      </w:r>
      <w:r>
        <w:rPr>
          <w:rFonts w:ascii="Arial" w:eastAsia="Arial" w:hAnsi="Arial" w:cs="Arial"/>
          <w:sz w:val="24"/>
          <w:szCs w:val="24"/>
        </w:rPr>
        <w:t xml:space="preserve">tehničkoj osposobljenosti nacionalnog referentnog laboratorija za osiguravanje točnosti mjerenja te prijenos i dijeljenje mjernih podataka kvalitete zraka za pojedine metode mjerenja iz države članice Europske unije, a potvrda mora biti prevedena na hrvatski jezik po ovlaštenoj osobi.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Potvrdu o provedenom postupku dokazivanja ekvivalentnosti drugih metoda mjerenja kvalitete zraka s referentnim metodama propisanima pravilnikom iz članka 23. ovoga Zakona, za koje se traži dozvola, izdaje Nacionalni referentni laboratorij iz članka 11. ovoga Zakona.</w:t>
      </w:r>
    </w:p>
    <w:p>
      <w:pPr>
        <w:pBdr/>
        <w:pStyle w:val="Heading 3"/>
        <w:spacing/>
        <w:ind/>
        <w:rPr/>
      </w:pPr>
      <w:r>
        <w:rPr/>
        <w:t xml:space="preserve">Dozvola za obavljanje djelatnosti za vlasnika ili korisnika izvora onečišćivanja zraka</w:t>
      </w:r>
    </w:p>
    <w:p>
      <w:pPr>
        <w:pBdr/>
        <w:pStyle w:val="Heading 4"/>
        <w:spacing/>
        <w:ind/>
        <w:rPr/>
      </w:pPr>
      <w:r>
        <w:rPr/>
        <w:t xml:space="preserve">Članak 81.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Vlasnik ili korisnik izvora onečišćivanja zraka, koji na odgovarajući način ispunjava uvjete iz članka 79. ovoga Zakona, može započeti samostalno obavljati djelatnost praćenja kvalitete zraka i/ili praćenja emisija onečišćujućih tvari u zrak iz nepokretnih izvora, unutar svoje registrirane djelatnosti, ako ishodi dozvolu Ministarstva.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O dozvoli iz stavka 1. ovoga članka Ministarstvo donosi rješenje.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Uz zahtjev za izdavanje dozvole iz stavka 1. ovoga članka prilažu se dokazi iz članka 80.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Protiv rješenja iz stavka 2. ovoga članka nije dopuštena žalba, ali se može pokrenuti upravni spor pred nadležnim upravnim sudom.</w:t>
      </w:r>
    </w:p>
    <w:p>
      <w:pPr>
        <w:pBdr/>
        <w:pStyle w:val="Heading 3"/>
        <w:spacing/>
        <w:ind/>
        <w:rPr/>
      </w:pPr>
      <w:r>
        <w:rPr/>
        <w:t xml:space="preserve">Dozvola za obavljanje djelatnosti za ispitni laboratorij sa sjedištem unutar ili izvan Europskog gospodarskog prostora</w:t>
      </w:r>
    </w:p>
    <w:p>
      <w:pPr>
        <w:pBdr/>
        <w:pStyle w:val="Heading 4"/>
        <w:spacing/>
        <w:ind/>
        <w:rPr/>
      </w:pPr>
      <w:r>
        <w:rPr/>
        <w:t xml:space="preserve">Članak 82.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Ispitni laboratorij koji ima sjedište u državi ugovornici Ugovora o Europskom gospodarskom prostoru može u Republici Hrvatskoj obavljati djelatnosti iz članka 78. ovoga Zakona ako ishodi dozvolu Ministarstva.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Dozvola iz stavka 1. ovoga članka izdaje se ispitnom laboratoriju koji udovoljava sljedećim uvjetima: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ima registriranu djelatnost prema kojoj u državi svoga sjedišta ima pravo obavljanja poslova praćenja kvalitete zraka odnosno praćenja emisija onečišćujućih tvari u zrak iz nepokretnih izvora i/ili provjere ispravnosti mjernog sustava za kontinuirano mjerenje emisija onečišćujućih tvari u zrak iz nepokretnih izvora te da prema registriranoj djelatnosti u državi svoga sjedišta smije obavljati iste poslove u svezi s kojim zaključuje ugovor s naručiteljem iz Republike Hrvatske odnosno da u tom pogledu nema ograničenja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na odgovarajući način ispunjava uvjete propisane u članku 79.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Uz zahtjev za izdavanje dozvole iz stavka 1. ovoga članka prilažu se na odgovarajući način dokazi iz članka 80.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Ispitni laboratorij koji ima sjedište u državi izvan Europskog gospodarskog prostora može u Republici Hrvatskoj obavljati djelatnosti iz članka 78. ovoga Zakona ako ishodi dozvolu Ministarstva.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Dozvola iz stavka 4. ovoga članka izdaje se ispitnom laboratoriju koji udovoljava sljedećim uvjetima: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na odgovarajući način ispunjava uvjete propisane stavkom 2. ovoga članka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zapošljava radnike sa znanjem stručnih poslova praćenja kvalitete zraka ili praćenja emisija onečišćujućih tvari u zrak iz nepokretnih izvora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raspolaže radnim prostorom unutar kojeg je laboratorij za obavljanje dijela postupka analize uzoraka, obrade i prikaza mjernih rezultata i provjere mjernih postupaka i podataka dobivenih mjerenjem ili uzorkovanjem osim onih koji se po prirodi stvari obavljaju na otvorenom prostoru odnosno izravno na ispustu otpadnih plinova.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Uz zahtjev za izdavanje dozvole iz stavka 4. ovoga članka prilažu se na odgovarajući način dokazi iz članka 80. ovoga Zakona te dodatno: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dokaz o stručnoj osposobljenosti radnika -</w:t>
      </w:r>
      <w:r>
        <w:rPr>
          <w:rFonts w:ascii="Arial" w:eastAsia="Arial" w:hAnsi="Arial" w:cs="Arial"/>
          <w:sz w:val="24"/>
          <w:szCs w:val="24"/>
        </w:rPr>
        <w:t xml:space="preserve"> elektronički zapis o radnom stažu ili potvrda o radnom stažu i diploma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opis radnog iskustva radnika te popis stručnih poslova praćenja kvalitete zraka ili praćenja emisija onečišćujućih tvari u zrak iz nepokretnih izvora u kojima je sudjelovao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izvadak iz zemljišne knjige odnosno ugovor o zakupu radnog prostora uz izvadak iz zemljišne knjige zakupodavca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dokaz o postojanju uzajamnosti, odnosno podatke o propisu kojim je propisana uzajamnost za pravne osobe u Republici Hrvatskoj u državi njegova sjedišta i službenom glasilu u kojem je propis objavljen.</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Za potrebe izdavanja dozvole iz stavaka 1. ili 4. ovoga članka i provjere o ispunjavanju uvjeta iz članka 79. stavka 1. podstavka 2. ovoga Zakona u dijelu koji se odnosi na potvrdu nacionalnog referentnog laboratorija za </w:t>
      </w:r>
      <w:r>
        <w:rPr>
          <w:rFonts w:ascii="Arial" w:eastAsia="Arial" w:hAnsi="Arial" w:cs="Arial"/>
          <w:sz w:val="24"/>
          <w:szCs w:val="24"/>
        </w:rPr>
        <w:t xml:space="preserve">osiguravanje točnosti mjerenja te prijenos i dijeljenje mjernih podataka</w:t>
      </w:r>
      <w:r>
        <w:rPr>
          <w:rFonts w:ascii="Arial" w:eastAsia="Arial" w:hAnsi="Arial" w:cs="Arial"/>
          <w:sz w:val="24"/>
          <w:szCs w:val="24"/>
        </w:rPr>
        <w:t xml:space="preserve"> za svaku referentnu metodu mjerenja, Ministarstvo traži mišljenje nacionalnog referentnog laboratorija iz članka 11.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(8) O dozvoli iz stavaka 1. ili 4. ovoga članka Ministarstvo donosi rješenje.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(9) Protiv rješenja iz stavka 8. ovoga članka nije dopuštena žalba, ali se može pokrenuti upravni spor pred nadležnim upravnim sudom.</w:t>
      </w:r>
    </w:p>
    <w:p>
      <w:pPr>
        <w:pBdr/>
        <w:pStyle w:val="Heading 3"/>
        <w:spacing/>
        <w:ind/>
        <w:rPr/>
      </w:pPr>
      <w:r>
        <w:rPr/>
        <w:t xml:space="preserve">Dozvola za referentni laboratorij za </w:t>
      </w:r>
      <w:r>
        <w:rPr/>
        <w:t xml:space="preserve">ispitivanja sposobnosti za praćenje kvalitete zraka</w:t>
      </w:r>
    </w:p>
    <w:p>
      <w:pPr>
        <w:pBdr/>
        <w:pStyle w:val="Heading 4"/>
        <w:spacing/>
        <w:ind/>
        <w:rPr/>
      </w:pPr>
      <w:r>
        <w:rPr/>
        <w:t xml:space="preserve">Članak 83.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Poslove organizacije i provođenja ispitivanja sposobnosti ispitnih laboratorija za praćenje kvalitete zraka međulaboratorijskim usporedbama na nacionalnoj razini obavlja referentni laboratorij ako ishodi dozvolu Ministarstva.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Dozvola iz stavka 1. ovoga članka izdaje se referentnom laboratoriju koji ispunjava uvjete iz članka 79. stavka 1. podstavka 1. ovoga Zakona te posebne uvjete: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registriran je za obavljanje djelatnosti osiguranja kvalitete mjerenja i podataka kvalitete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akreditiran je prema zahtjevu usklađene norme za ispitivanje sposobnosti za praćenje kvalitete zraka i raspolaže mjernom opremom i radnim prostorom za potrebe provođenja redovitih ispitivanja sposobnosti ispitnih laboratorija za praćenje kvalitete zraka međulaboratorijskim usporedbama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uspješno je sudjelovao u ispitivanjima sposobnosti referentnih laboratorija u međunarodnim programima međulaboratorijskih usporedbi za referentne metode propisane pravilnikom iz članka 23. ovoga Zakona za koje je akreditiran i za koje se ispitivanja organiziraju, a najmanje svake tri godine.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Uz zahtjev za izdavanje dozvole iz stavka 1. ovoga članka prilažu se sljedeći dokazi: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potvrda o akreditaciji za praćenje kvalitete zraka prema zahtjevu usklađene norme za ispitne i umjerne laboratorije s popisom referentnih metoda mjerenja propisanih pravilnikom iz članka 23. ovoga Zakona, za koje se traži dozvola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potvrda o akreditaciji u skladu s mjerodavnom usklađenom normom za ispitivanje sposobnosti za poslove iz stavka 1. ovoga članka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dokaz o uspješnom sudjelovanju u ispitivanjima sposobnosti referentnih laboratorija u međunarodnim programima međulaboratorijskih usporedbi.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O dozvoli iz stavka 1. ovoga članka Ministarstvo donosi rješenje.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Protiv rješenja iz stavka 4. ovoga članka nije dopuštena žalba, ali se može pokrenuti upravni spor pred nadležnim upravnim sudom.</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Odredbe stavka 2. podstavaka 1. i 2. ovoga članka ne primjenjuju se na tijelo državne uprave.</w:t>
      </w:r>
    </w:p>
    <w:p>
      <w:pPr>
        <w:pBdr/>
        <w:pStyle w:val="Heading 3"/>
        <w:spacing/>
        <w:ind/>
        <w:rPr/>
      </w:pPr>
      <w:r>
        <w:rPr/>
        <w:t xml:space="preserve">Rokovi važenja dozvola</w:t>
      </w:r>
    </w:p>
    <w:p>
      <w:pPr>
        <w:pBdr/>
        <w:pStyle w:val="Heading 4"/>
        <w:spacing/>
        <w:ind/>
        <w:rPr/>
      </w:pPr>
      <w:r>
        <w:rPr/>
        <w:t xml:space="preserve">Članak 84.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Dozvola iz članka 78., članka 81., članka 82. stavaka 1. i 4. i članka 83. ovoga Zakona izdaje se na rok do isteka roka važenja potvrde o akreditaciji.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Iznimno od stavka 1. ovoga članka, dozvola za obavljanje djelatnosti praćenja kvalitete zraka izdana na temelju potvrde nacionalnog referentnog laboratorija iz članka 80. stavaka 3. i 5. ovoga Zakona izdaje se na rok do pet godina uz uvjet da za </w:t>
      </w:r>
      <w:r>
        <w:rPr>
          <w:rFonts w:ascii="Arial" w:eastAsia="Arial" w:hAnsi="Arial" w:cs="Arial"/>
          <w:sz w:val="24"/>
          <w:szCs w:val="24"/>
        </w:rPr>
        <w:t xml:space="preserve">svaku godinu važenja dozvole ispitni laboratorij dostavi Ministarstvu novu potvrdu nacionalnog referentnog laboratorija.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Ako ispitni laboratorij koji je ishodio dozvolu iz stavka 2. ovoga članka ne dostavi potvrdu nacionalnog referentnog laboratorija iz članka 80. stavaka 3. i 5. ovoga Zakona za pojedinu godinu važenja te dozvole, Ministarstvo rješenjem ukida tu dozvolu.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Iznimno od stavka 1. ovoga članka, ako potvrda o akreditaciji ne sadrži rok važenja, dozvola iz članka 78., članka 81., članka 82. stavaka 1. i 4. i članka 83. ovoga Zakona izdaje se na rok do pet godina.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U slučaju promjene ispunjavanja uvjeta za izdavanje dozvole iz članka 78., članka 81., članka 82. stavaka 1. i 4. i članka 83. ovoga Zakona, pravna osoba dužna je u roku od osam dana od dana nastale promjene o tome izvijestiti Ministarstvo.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Protiv rješenja iz stavka 3. ovoga članka nije dopuštena žalba, ali se može pokrenuti upravni spor pred nadležnim upravnim sudom.</w:t>
      </w:r>
    </w:p>
    <w:p>
      <w:pPr>
        <w:pBdr/>
        <w:pStyle w:val="Heading 3"/>
        <w:spacing/>
        <w:ind/>
        <w:rPr/>
      </w:pPr>
      <w:r>
        <w:rPr/>
        <w:t xml:space="preserve">Obveze i odgovornosti ispitnih laboratorija</w:t>
      </w:r>
    </w:p>
    <w:p>
      <w:pPr>
        <w:pBdr/>
        <w:pStyle w:val="Heading 4"/>
        <w:spacing/>
        <w:ind/>
        <w:rPr/>
      </w:pPr>
      <w:r>
        <w:rPr/>
        <w:t xml:space="preserve">Članak 85.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Pravna osoba koja je dobila dozvolu Ministarstva za poslove praćenja kvalitete zraka, emisija onečišćujućih tvari u zrak, godišnju provjeru ispravnosti mjernog sustava za kontinuirano mjerenje emisija onečišćujućih tvari u zrak iz nepokretnih izvora te organizacije i provođenja ispitivanja sposobnosti ispitnih laboratorija, dužna je te poslove obavljati kvalitetno i odgovorno u skladu s pravilima struke te je odgovorna za istinitost i stručnu utemeljenost podataka i obavljenih poslova.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Pravna osoba koja je dobila dozvolu Ministarstva mora osigurati nepristranost svojih radnika koji ne smiju biti izloženi poslovnim, financijskim i drugim pritiscima koji mogu utjecati na njihovu tehničku prosudbu.</w:t>
      </w:r>
    </w:p>
    <w:p>
      <w:pPr>
        <w:pBdr/>
        <w:pStyle w:val="Heading 3"/>
        <w:spacing/>
        <w:ind/>
        <w:rPr/>
      </w:pPr>
      <w:r>
        <w:rPr/>
        <w:t xml:space="preserve">Ukidanje dozvola</w:t>
      </w:r>
    </w:p>
    <w:p>
      <w:pPr>
        <w:pBdr/>
        <w:pStyle w:val="Heading 4"/>
        <w:spacing/>
        <w:ind/>
        <w:rPr/>
      </w:pPr>
      <w:r>
        <w:rPr/>
        <w:t xml:space="preserve">Članak 86.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Ministarstvo će po službenoj dužnosti ili po prijedlogu inspektora zaštite okoliša rješenjem ukinuti pravnoj osobi iz članka 78., članka 81., članka 82. stavaka 1. i 4. i članka 83. ovoga Zakona dozvolu i prije isteka roka iz članka 84. stavaka 1. i 4. ovoga Zakona u sljedećim slučajevima: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ako Ministarstvo utvrdi da osoba koja je ishodila dozvolu ne ispunjava propisane uvjete ili obveze i/ili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kada pravna osoba koja je ishodila dozvolu u svom radu ne provodi poslove propisane ovim Zakonom ili podzakonskim propisima donesenim temeljem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Ministarstvo dostavlja rješenje iz stavka 1. ovoga članka inspekciji nadležnoj za poslove zaštite okoliša.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Protiv rješenja iz stavka 1. ovoga članka nije dopuštena žalba, ali se može pokrenuti upravni spor pred nadležnim upravnim sudom.</w:t>
      </w:r>
    </w:p>
    <w:p>
      <w:pPr>
        <w:pBdr/>
        <w:pStyle w:val="Heading 3"/>
        <w:spacing/>
        <w:ind/>
        <w:rPr/>
      </w:pPr>
      <w:r>
        <w:rPr/>
        <w:t xml:space="preserve">Popis pravnih osoba kojima je izdana dozvola</w:t>
      </w:r>
    </w:p>
    <w:p>
      <w:pPr>
        <w:pBdr/>
        <w:pStyle w:val="Heading 4"/>
        <w:spacing/>
        <w:ind/>
        <w:rPr/>
      </w:pPr>
      <w:r>
        <w:rPr/>
        <w:t xml:space="preserve">Članak 87.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Popis pravnih osoba kojima je izdana dozvola za obavljanje djelatnosti praćenja kvalitete zraka, praćenja emisija onečišćujućih tvari u zrak iz nepokretnih izvora, provjere ispravnosti mjernog sustava za kontinuirano mjerenje emisija onečišćujućih tvari u zrak i organizacije i provođenja ispitivanja sposobnosti ispitnih laboratorija objavljuje se na ISZZ-u.</w:t>
      </w:r>
    </w:p>
    <w:p>
      <w:pPr>
        <w:pBdr/>
        <w:pStyle w:val="Heading 3"/>
        <w:spacing/>
        <w:ind/>
        <w:rPr/>
      </w:pPr>
      <w:r>
        <w:rPr/>
        <w:t xml:space="preserve">Uvjeti za obavljanje poslova Nacionalnih referentnih laboratorija</w:t>
      </w:r>
    </w:p>
    <w:p>
      <w:pPr>
        <w:pBdr/>
        <w:pStyle w:val="Heading 4"/>
        <w:spacing/>
        <w:ind/>
        <w:rPr/>
      </w:pPr>
      <w:r>
        <w:rPr/>
        <w:t xml:space="preserve">Članak 88.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Nacionalni referentni laboratoriji iz članka 11. stavaka 1. i 2. ovoga Zakona obavljaju poslove osiguravanja točnosti mjerenja te prijenosa i dijeljenja mjernih podataka kvalitete zraka na području Republike Hrvatske ako ispunjavaju sljedeće uvjete: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ima dozvolu iz članka 78. ovoga Zakona za ispitne metode za onečišćujuće tvari utvrđene u članku 30. stavku 2. i 3. ovoga Zakona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uspješno je sudjelovao u ispitivanjima sposobnosti Nacionalnih referentnih laboratorija u međunarodnim programima međulaboratorijskih usporedbi za referentne metode mjerenja propisane pravilnikom iz članka 23. ovoga Zakona za koje je akreditiran i za koje se ispitivanja organiziraju.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Nacionalni referentni laboratoriji iz članka 11. stavka 3. ovoga Zakona obavlja poslove mjerenja emisija onečišćujućih tvari iz motora s unutarnjim izgaranjem za necestovne pokretne strojeve na području Republike Hrvatske ako ispunjava sljedeći uvjet:</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imenovan je od strane Državnog zavoda za mjeriteljstvo kao tehnička služba za obavljanje poslova ispitivanja iz Uredbe (EU) 2016/1628.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Nacionalni referentni laboratoriji iz stavka 1. ovoga članka dužni su na zahtjev Ministarstva dostaviti dokaz o uspješnom sudjelovanju u ispitivanjima sposobnosti iz stavka 1. podstavka 2. ovoga članka.</w:t>
      </w:r>
    </w:p>
    <w:p>
      <w:pPr>
        <w:pBdr/>
        <w:pStyle w:val="Heading 2"/>
        <w:spacing/>
        <w:ind/>
        <w:rPr/>
      </w:pPr>
      <w:r>
        <w:rPr/>
        <w:t xml:space="preserve">GLAVA IX.</w:t>
      </w:r>
    </w:p>
    <w:p>
      <w:pPr>
        <w:pBdr/>
        <w:pStyle w:val="Heading 2"/>
        <w:spacing/>
        <w:ind/>
        <w:rPr/>
      </w:pPr>
      <w:r>
        <w:rPr/>
        <w:t xml:space="preserve">FINANCIRANJE ZAŠTITE ZRAKA</w:t>
      </w:r>
    </w:p>
    <w:p>
      <w:pPr>
        <w:pBdr/>
        <w:pStyle w:val="Heading 3"/>
        <w:spacing/>
        <w:ind/>
        <w:rPr/>
      </w:pPr>
      <w:r>
        <w:rPr/>
        <w:t xml:space="preserve">Financiranje zaštite zraka</w:t>
      </w:r>
    </w:p>
    <w:p>
      <w:pPr>
        <w:pBdr/>
        <w:pStyle w:val="Heading 4"/>
        <w:spacing/>
        <w:ind/>
        <w:rPr/>
      </w:pPr>
      <w:r>
        <w:rPr/>
        <w:t xml:space="preserve">Članak 89.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Sredstva za financiranje zaštite zraka osiguravaju se u državnom proračunu Republike Hrvatske, proračunima jedinice lokalne i područne (regionalne) samouprave, Fondu za zaštitu okoliša i energetsku učinkovitost te iz drugih izvora, prema odredbama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Sredstva iz stavka 1. ovoga članka koriste se za financiranje: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državne mreže za praćenje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mjernih postaja i mjerenja posebne namjene jedinica lokalne i područne (regionalne) samouprave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procjenjivanja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modeliranja za potrebe procjene iz članaka 21. i 22. ovoga Zakona i za potrebe izvješćivanja iz članka 57.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modeliranja za potrebe stručnih analiza podataka o emisijama onečišćujućih tvari i određivanje doprinosa pojedinog izvora emisija razinama onečišćujućih tvari u zraku za potrebe planova za kvalitetu zraka, planova djelovanja za kvalitetu zraka i kratkoročnih akcijskih planova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modeliranja za potrebe određivanja prostorne reprezentativnosti mjernih mjesta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modeliranja za potrebe izrade projekcija kvalitete zraka koji su sastavni dio planova za kvalitetu zraka iz članka 45.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izrade i provedbe planova za kvalitetu zraka, planova djelovanja za kvalitetu zraka i kratkoročnih akcijskih planova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uspostavu, vođenje, održavanje, razvoj i nadogradnju ISZZ-a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mjerenje emisija onečišćujućih tvari iz necestovnih pokretnih strojeva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prikupljanje podataka te praćenje i evidencija emisija onečišćujućih tvari u zrak iz pokretnih izvora iz članka 12. stavka 3. podstavaka 1. i 2.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izrada proračuna o emisijama onečišćujućih tvari iz pokretnih izvora iz članka 12. stavka 3. podstavka 1. i 2. ovoga Zakona </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izradu nacionalnih inventara emisija, projekcija emisija i pripadajućih izvješća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obveza prema međunarodnim ugovorima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izrade programa mjerenja posebne namjene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mjera zaštite ljudi pri pojavi pragova upozorenja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programa za zaštitu zraka i pripadajućih mjera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stručnih i znanstvenih istraživanja potrebnih za ostvarivanje ciljeva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poticanja korištenja ekološki prihvatljivih vozila, čišćih tehnologija i obnovljivih izvora energije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poticanja uvođenja mjera energetske učinkovitosti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uspostave, održavanja i nadogradnje Registra iz članka 69.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uspostave, održavanja i nadogradnje Registra iz članka 76. ovog Zakona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praćenja negativnih učinaka onečišćenja zraka na ekosustave.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Drugi izvori iz stavka 1. ovoga članka jesu: sredstva onečišćivača, donacije, zajmovi, sredstva državne potpore, sredstva međunarodne pomoći, sredstva stranih ulaganja namijenjenih za zaštitu i poboljšanje kvalitete zraka.</w:t>
      </w:r>
    </w:p>
    <w:p>
      <w:pPr>
        <w:pBdr/>
        <w:pStyle w:val="Heading 2"/>
        <w:spacing/>
        <w:ind/>
        <w:rPr/>
      </w:pPr>
      <w:r>
        <w:rPr/>
        <w:t xml:space="preserve">GLAVA X.</w:t>
      </w:r>
    </w:p>
    <w:p>
      <w:pPr>
        <w:pBdr/>
        <w:pStyle w:val="Heading 2"/>
        <w:spacing/>
        <w:ind/>
        <w:rPr/>
      </w:pPr>
      <w:r>
        <w:rPr/>
        <w:t xml:space="preserve">PRISTUP PRAVOSUĐU I NAKNADA ŠTETE</w:t>
      </w:r>
    </w:p>
    <w:p>
      <w:pPr>
        <w:pBdr/>
        <w:pStyle w:val="Heading 3"/>
        <w:spacing/>
        <w:ind/>
        <w:rPr/>
      </w:pPr>
      <w:r>
        <w:rPr/>
        <w:t xml:space="preserve">Pristup pravosuđu i naknada štete</w:t>
      </w:r>
    </w:p>
    <w:p>
      <w:pPr>
        <w:pBdr/>
        <w:pStyle w:val="Heading 4"/>
        <w:spacing/>
        <w:ind/>
        <w:rPr/>
      </w:pPr>
      <w:r>
        <w:rPr/>
        <w:t xml:space="preserve">Članak 90.</w:t>
      </w:r>
    </w:p>
    <w:p>
      <w:pPr>
        <w:pBdr/>
        <w:pStyle w:val="Normal"/>
        <w:spacing w:before="240"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(1) Pripadnici zainteresirane javnosti, udruge i druge organizacije civilnoga društva koje djeluju u području zaštite okoliša ili zaštite zdravlja ljudi, imaju pravo osporavati zakonitost odluka, radnji ili propusta nadležnih tijela u području zaštite zraka u skladu s odredbama zakona koji uređuje upravni spor.</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(2) Predmet osporavanja osobito se odnosi na sljedeće:</w:t>
      </w:r>
    </w:p>
    <w:p>
      <w:pPr>
        <w:pBdr/>
        <w:pStyle w:val="Normal"/>
        <w:spacing w:before="120" w:after="0" w:line="240" w:lineRule="auto"/>
        <w:ind/>
        <w:jc w:val="both"/>
        <w:rPr>
          <w:rFonts w:ascii="Arial" w:eastAsia="Arial" w:hAnsi="Arial" w:cs="Arial"/>
          <w:bCs/>
          <w:sz w:val="24"/>
          <w:szCs w:val="24"/>
        </w:rPr>
      </w:pPr>
      <w:r>
        <w:rPr>
          <w:rFonts w:ascii="Arial" w:eastAsia="Arial" w:hAnsi="Arial" w:cs="Arial"/>
          <w:bCs/>
          <w:sz w:val="24"/>
          <w:szCs w:val="24"/>
        </w:rPr>
        <w:t xml:space="preserve">– određivanje lokacija i broja točaka uzorkovanja za praćenje kvalitete zraka iz članka 24. ovoga Zakona</w:t>
      </w:r>
    </w:p>
    <w:p>
      <w:pPr>
        <w:pBdr/>
        <w:pStyle w:val="Normal"/>
        <w:spacing w:before="120" w:after="0" w:line="240" w:lineRule="auto"/>
        <w:ind/>
        <w:jc w:val="both"/>
        <w:rPr>
          <w:rFonts w:ascii="Arial" w:eastAsia="Arial" w:hAnsi="Arial" w:cs="Arial"/>
          <w:bCs/>
          <w:sz w:val="24"/>
          <w:szCs w:val="24"/>
        </w:rPr>
      </w:pPr>
      <w:r>
        <w:rPr>
          <w:rFonts w:ascii="Arial" w:eastAsia="Arial" w:hAnsi="Arial" w:cs="Arial"/>
          <w:bCs/>
          <w:sz w:val="24"/>
          <w:szCs w:val="24"/>
        </w:rPr>
        <w:t xml:space="preserve">– planove za kvalitetu zraka iz članka 45. ovoga Zakona</w:t>
      </w:r>
    </w:p>
    <w:p>
      <w:pPr>
        <w:pBdr/>
        <w:pStyle w:val="Normal"/>
        <w:spacing w:before="120" w:after="0" w:line="240" w:lineRule="auto"/>
        <w:ind/>
        <w:jc w:val="both"/>
        <w:rPr>
          <w:rFonts w:ascii="Arial" w:eastAsia="Arial" w:hAnsi="Arial" w:cs="Arial"/>
          <w:bCs/>
          <w:sz w:val="24"/>
          <w:szCs w:val="24"/>
        </w:rPr>
      </w:pPr>
      <w:r>
        <w:rPr>
          <w:rFonts w:ascii="Arial" w:eastAsia="Arial" w:hAnsi="Arial" w:cs="Arial"/>
          <w:bCs/>
          <w:sz w:val="24"/>
          <w:szCs w:val="24"/>
        </w:rPr>
        <w:t xml:space="preserve">– planove djelovanja za kvalitetu zraka iz članka 46. ovoga Zakona i</w:t>
      </w:r>
    </w:p>
    <w:p>
      <w:pPr>
        <w:pBdr/>
        <w:pStyle w:val="Normal"/>
        <w:spacing w:before="120" w:after="0" w:line="240" w:lineRule="auto"/>
        <w:ind/>
        <w:jc w:val="both"/>
        <w:rPr>
          <w:rFonts w:ascii="Arial" w:eastAsia="Arial" w:hAnsi="Arial" w:cs="Arial"/>
          <w:bCs/>
          <w:sz w:val="24"/>
          <w:szCs w:val="24"/>
        </w:rPr>
      </w:pPr>
      <w:r>
        <w:rPr>
          <w:rFonts w:ascii="Arial" w:eastAsia="Arial" w:hAnsi="Arial" w:cs="Arial"/>
          <w:bCs/>
          <w:sz w:val="24"/>
          <w:szCs w:val="24"/>
        </w:rPr>
        <w:t xml:space="preserve">– kratkoročne akcijske planove iz članka 52. ovoga Zakona.</w:t>
      </w:r>
    </w:p>
    <w:p>
      <w:pPr>
        <w:pBdr/>
        <w:pStyle w:val="Heading 4"/>
        <w:spacing/>
        <w:ind/>
        <w:rPr/>
      </w:pPr>
      <w:r>
        <w:rPr/>
        <w:t xml:space="preserve">Članak 91.</w:t>
      </w:r>
    </w:p>
    <w:p>
      <w:pPr>
        <w:pBdr/>
        <w:pStyle w:val="Normal"/>
        <w:spacing w:before="240" w:after="120" w:line="240" w:lineRule="auto"/>
        <w:ind/>
        <w:jc w:val="both"/>
        <w:rPr>
          <w:rFonts w:ascii="Arial" w:eastAsia="Arial" w:hAnsi="Arial" w:cs="Arial"/>
          <w:sz w:val="24"/>
          <w:szCs w:val="24"/>
        </w:rPr>
      </w:pPr>
      <w:r>
        <w:rPr>
          <w:rFonts w:ascii="Arial" w:eastAsia="Arial" w:hAnsi="Arial" w:cs="Arial"/>
          <w:sz w:val="24"/>
          <w:szCs w:val="24"/>
        </w:rPr>
        <w:t xml:space="preserve">(1) Zainteresirana javnost iz članka 90. stavka 1. ovoga Zakona ima pravo pred nadležnim sudom osporavati zakonitost upravnog akta javnopravnog tijela u vezi sa zaštitom zraka. </w:t>
      </w:r>
    </w:p>
    <w:p>
      <w:pPr>
        <w:pBdr/>
        <w:pStyle w:val="Normal"/>
        <w:spacing w:before="240" w:after="0"/>
        <w:ind/>
        <w:jc w:val="both"/>
        <w:rPr>
          <w:rFonts w:ascii="Arial" w:eastAsia="Arial" w:hAnsi="Arial" w:cs="Arial"/>
          <w:iCs/>
          <w:sz w:val="24"/>
          <w:szCs w:val="24"/>
        </w:rPr>
      </w:pPr>
      <w:r>
        <w:rPr>
          <w:rFonts w:ascii="Arial" w:eastAsia="Arial" w:hAnsi="Arial" w:cs="Arial"/>
          <w:sz w:val="24"/>
          <w:szCs w:val="24"/>
        </w:rPr>
        <w:t xml:space="preserve">(2) Zainteresirana javnost iz članka 90. stavka 1. ovoga Zakona ima pravo pred nadležnim sudom osporavati zakonitost odluke u vezi sa zaštitom zraka ako smatra da je odlukom, radnjom ili propustom fizičke ili pravne osobe - onečišćivača u pitanjima zaštite zraka povrijeđen ovaj Zakon odnosno posebni propisi kojim je uređena zaštita pojedine sastavnice okoliša ili zaštita od utjecaja opterećenja.</w:t>
      </w:r>
    </w:p>
    <w:p>
      <w:pPr>
        <w:pBdr/>
        <w:pStyle w:val="Normal"/>
        <w:spacing w:before="240" w:after="120" w:line="240" w:lineRule="auto"/>
        <w:ind/>
        <w:jc w:val="both"/>
        <w:rPr>
          <w:rFonts w:ascii="Arial" w:eastAsia="Arial" w:hAnsi="Arial" w:cs="Arial"/>
          <w:sz w:val="24"/>
          <w:szCs w:val="24"/>
        </w:rPr>
      </w:pPr>
      <w:r>
        <w:rPr>
          <w:rFonts w:ascii="Arial" w:eastAsia="Arial" w:hAnsi="Arial" w:cs="Arial"/>
          <w:sz w:val="24"/>
          <w:szCs w:val="24"/>
        </w:rPr>
        <w:t xml:space="preserve">(3) Postupak pred sudom iz stavaka 1. i 2. ovoga članka pokreće se sukladno propisu kojim se uređuje upravni spor.</w:t>
      </w:r>
    </w:p>
    <w:p>
      <w:pPr>
        <w:pBdr/>
        <w:pStyle w:val="Heading 4"/>
        <w:spacing/>
        <w:ind/>
        <w:rPr/>
      </w:pPr>
      <w:r>
        <w:rPr/>
        <w:t xml:space="preserve">Članak 92.</w:t>
      </w:r>
    </w:p>
    <w:p>
      <w:pPr>
        <w:pBdr/>
        <w:pStyle w:val="Normal"/>
        <w:spacing w:before="240" w:after="120" w:line="240" w:lineRule="auto"/>
        <w:ind/>
        <w:jc w:val="both"/>
        <w:rPr>
          <w:rFonts w:ascii="Arial" w:eastAsia="Arial" w:hAnsi="Arial" w:cs="Arial"/>
          <w:sz w:val="24"/>
          <w:szCs w:val="24"/>
        </w:rPr>
      </w:pPr>
      <w:r>
        <w:rPr>
          <w:rFonts w:ascii="Arial" w:eastAsia="Arial" w:hAnsi="Arial" w:cs="Arial"/>
          <w:sz w:val="24"/>
          <w:szCs w:val="24"/>
        </w:rPr>
        <w:t xml:space="preserve">Sudski postupak iz područja zaštite zraka sukladno ovom Zakonu hitan je.</w:t>
      </w:r>
    </w:p>
    <w:p>
      <w:pPr>
        <w:pBdr/>
        <w:pStyle w:val="Heading 4"/>
        <w:spacing/>
        <w:ind/>
        <w:rPr/>
      </w:pPr>
      <w:r>
        <w:rPr/>
        <w:t xml:space="preserve">Članak 93.</w:t>
      </w:r>
    </w:p>
    <w:p>
      <w:pPr>
        <w:pBdr/>
        <w:pStyle w:val="Normal"/>
        <w:spacing w:before="240" w:after="120" w:line="240" w:lineRule="auto"/>
        <w:ind/>
        <w:jc w:val="both"/>
        <w:rPr>
          <w:rFonts w:ascii="Arial" w:eastAsia="Arial" w:hAnsi="Arial" w:cs="Arial"/>
          <w:sz w:val="24"/>
          <w:szCs w:val="24"/>
        </w:rPr>
      </w:pPr>
      <w:r>
        <w:rPr>
          <w:rFonts w:ascii="Arial" w:eastAsia="Arial" w:hAnsi="Arial" w:cs="Arial"/>
          <w:sz w:val="24"/>
          <w:szCs w:val="24"/>
        </w:rPr>
        <w:t xml:space="preserve">(1) Ako je šteta za zdravlje ljudi nastala postupanjem ili propuštanjem nadležnog tijela u provedbi odredbi koje se odnose na planove kvalitete zraka iz članka 45. ovoga Zakona, planove djelovanja za kvalitetu zraka iz članka 46. ovoga Zakona i kratkoročne akcijske planove iz članka 52. ovoga Zakona za štetu odgovara izvršno tijelo jedinice lokalne samouprave odnosno Grada Zagreba prema propisima kojima se uređuju obvezni odnosi.</w:t>
      </w:r>
    </w:p>
    <w:p>
      <w:pPr>
        <w:pBdr/>
        <w:pStyle w:val="Normal"/>
        <w:spacing w:before="240" w:after="120" w:line="240" w:lineRule="auto"/>
        <w:ind/>
        <w:jc w:val="both"/>
        <w:rPr>
          <w:rFonts w:ascii="Arial" w:eastAsia="Arial" w:hAnsi="Arial" w:cs="Arial"/>
        </w:rPr>
      </w:pPr>
      <w:r>
        <w:rPr>
          <w:rFonts w:ascii="Arial" w:eastAsia="Arial" w:hAnsi="Arial" w:cs="Arial"/>
          <w:sz w:val="24"/>
          <w:szCs w:val="24"/>
        </w:rPr>
        <w:t xml:space="preserve">(2) Ako je šteta za zdravlje ljudi nastala kršenjem odredbi vezanih za hlapive organske spojeve za određene aktivnosti propisane uredbom iz članka 67. stavka 1. ovoga Zakona, za štetu je odgovoran onečišćivač koji je prouzročio štetu prema propisima kojima se uređuju obvezni odnosi.</w:t>
      </w:r>
    </w:p>
    <w:p>
      <w:pPr>
        <w:pBdr/>
        <w:pStyle w:val="Heading 4"/>
        <w:spacing/>
        <w:ind/>
        <w:rPr/>
      </w:pPr>
      <w:r>
        <w:rPr/>
        <w:t xml:space="preserve">Članak 94.</w:t>
      </w:r>
    </w:p>
    <w:p>
      <w:pPr>
        <w:pBdr/>
        <w:pStyle w:val="Normal"/>
        <w:spacing w:before="240" w:after="0" w:line="240" w:lineRule="auto"/>
        <w:ind/>
        <w:jc w:val="both"/>
        <w:rPr>
          <w:rFonts w:ascii="Arial" w:eastAsia="Arial" w:hAnsi="Arial" w:cs="Arial"/>
          <w:bCs/>
          <w:sz w:val="24"/>
          <w:szCs w:val="24"/>
        </w:rPr>
      </w:pPr>
      <w:r>
        <w:rPr>
          <w:rFonts w:ascii="Arial" w:eastAsia="Arial" w:hAnsi="Arial" w:cs="Arial"/>
          <w:bCs/>
          <w:sz w:val="24"/>
          <w:szCs w:val="24"/>
        </w:rPr>
        <w:t xml:space="preserve">U slučaju štete za zdravlje ljudi rok za ostvarivanje prava na naknadu štete ne počinje teći prije nego što je povreda prestala i prije nego što je osoba koja traži naknadu znala ili se razumno moglo očekivati da će znati da je pretrpjela štetu zbog povrede iz članka 93. ovoga Zakona.</w:t>
      </w:r>
    </w:p>
    <w:p>
      <w:pPr>
        <w:pBdr/>
        <w:pStyle w:val="Heading 4"/>
        <w:spacing/>
        <w:ind/>
        <w:rPr/>
      </w:pPr>
      <w:r>
        <w:rPr/>
        <w:t xml:space="preserve">Članak 95.</w:t>
      </w:r>
    </w:p>
    <w:p>
      <w:pPr>
        <w:pBdr/>
        <w:pStyle w:val="Normal"/>
        <w:spacing w:before="240" w:after="0" w:line="240" w:lineRule="auto"/>
        <w:ind/>
        <w:jc w:val="both"/>
        <w:rPr>
          <w:rFonts w:ascii="Arial" w:eastAsia="Arial" w:hAnsi="Arial" w:cs="Arial"/>
          <w:bCs/>
          <w:sz w:val="24"/>
          <w:szCs w:val="24"/>
        </w:rPr>
      </w:pPr>
      <w:r>
        <w:rPr>
          <w:rFonts w:ascii="Arial" w:eastAsia="Arial" w:hAnsi="Arial" w:cs="Arial"/>
          <w:sz w:val="24"/>
          <w:szCs w:val="24"/>
        </w:rPr>
        <w:t xml:space="preserve">Na pitanja odgovornosti za štetu i postupke koji nisu uređeni ovim Zakonom na odgovarajući se način primjenjuju odredbe zakona kojim se uređuju obvezni odnosi i zakona kojim se uređuje upravni spor.</w:t>
      </w:r>
    </w:p>
    <w:p>
      <w:pPr>
        <w:pBdr/>
        <w:pStyle w:val="Heading 2"/>
        <w:spacing/>
        <w:ind/>
        <w:rPr/>
      </w:pPr>
      <w:r>
        <w:rPr/>
        <w:t xml:space="preserve">DIO TREĆI</w:t>
      </w:r>
    </w:p>
    <w:p>
      <w:pPr>
        <w:pBdr/>
        <w:pStyle w:val="Heading 2"/>
        <w:spacing/>
        <w:ind/>
        <w:rPr/>
      </w:pPr>
      <w:r>
        <w:rPr/>
        <w:t xml:space="preserve">NADZOR</w:t>
      </w:r>
    </w:p>
    <w:p>
      <w:pPr>
        <w:pBdr/>
        <w:pStyle w:val="Heading 2"/>
        <w:spacing/>
        <w:ind/>
        <w:rPr/>
      </w:pPr>
      <w:r>
        <w:rPr/>
        <w:t xml:space="preserve">GLAVA I.</w:t>
      </w:r>
    </w:p>
    <w:p>
      <w:pPr>
        <w:pBdr/>
        <w:pStyle w:val="Heading 2"/>
        <w:spacing/>
        <w:ind/>
        <w:rPr/>
      </w:pPr>
      <w:r>
        <w:rPr/>
        <w:t xml:space="preserve">UPRAVNI NADZOR</w:t>
      </w:r>
    </w:p>
    <w:p>
      <w:pPr>
        <w:pBdr/>
        <w:pStyle w:val="Heading 3"/>
        <w:spacing/>
        <w:ind/>
        <w:rPr/>
      </w:pPr>
      <w:r>
        <w:rPr/>
        <w:t xml:space="preserve">Upravni nadzor</w:t>
      </w:r>
    </w:p>
    <w:p>
      <w:pPr>
        <w:pBdr/>
        <w:pStyle w:val="Heading 4"/>
        <w:spacing/>
        <w:ind/>
        <w:rPr/>
      </w:pPr>
      <w:r>
        <w:rPr/>
        <w:t xml:space="preserve">Članak 96.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Upravni nadzor nad primjenom ovoga Zakona i propisa donesenih na temelju njega te radom i postupanjem nadležnih upravnih tijela, jedinica lokalne i područne (regionalne) samouprave i pravnih osoba koje imaju javne ovlasti nad povjerenim im poslovima državne uprave u području zaštite zraka obavlja Ministarstvo.</w:t>
      </w:r>
    </w:p>
    <w:p>
      <w:pPr>
        <w:pBdr/>
        <w:pStyle w:val="Heading 2"/>
        <w:spacing/>
        <w:ind/>
        <w:rPr/>
      </w:pPr>
      <w:r>
        <w:rPr/>
        <w:t xml:space="preserve">GLAVA II.</w:t>
      </w:r>
    </w:p>
    <w:p>
      <w:pPr>
        <w:pBdr/>
        <w:pStyle w:val="Heading 2"/>
        <w:spacing/>
        <w:ind/>
        <w:rPr/>
      </w:pPr>
      <w:r>
        <w:rPr/>
        <w:t xml:space="preserve">INSPEKCIJSKI NADZOR</w:t>
      </w:r>
    </w:p>
    <w:p>
      <w:pPr>
        <w:pBdr/>
        <w:pStyle w:val="Heading 3"/>
        <w:spacing/>
        <w:ind/>
        <w:rPr/>
      </w:pPr>
      <w:r>
        <w:rPr/>
        <w:t xml:space="preserve">Inspekcijski nadzor</w:t>
      </w:r>
    </w:p>
    <w:p>
      <w:pPr>
        <w:pBdr/>
        <w:pStyle w:val="Heading 4"/>
        <w:spacing/>
        <w:ind/>
        <w:rPr/>
      </w:pPr>
      <w:r>
        <w:rPr/>
        <w:t xml:space="preserve">Članak 97.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Inspekcijski nadzor nad primjenom ovoga Zakona, propisa donesenih na temelju ovoga Zakona i akata Europske unije iz članka 2. stavka 2. ovoga Zakona provodi inspektor zaštite okoliša, ako ovim Zakonom nije propisano drukčije.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Na inspekcijski nadzor koji se provodi na temelju odredbi ovoga Zakona na odgovarajući se način primjenjuju odredbe zakona kojim se uređuje zaštita okoliša, ako ovim Zakonom nije propisano drukčije.</w:t>
      </w:r>
    </w:p>
    <w:p>
      <w:pPr>
        <w:pBdr/>
        <w:pStyle w:val="Heading 4"/>
        <w:spacing/>
        <w:ind/>
        <w:rPr/>
      </w:pPr>
      <w:r>
        <w:rPr/>
        <w:t xml:space="preserve">Članak 98.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Inspekcijski nadzor nad provedbom ovoga Zakona i propisa donesenih na temelju njega kojima se propisuju granične vrijednosti sastavnica i/ili značajke kvalitete proizvoda, način utvrđivanja kvalitete proizvoda, dokazivanje sukladnosti te stavljanje proizvoda na tržište i/ili na raspolaganje na tržištu provodi tržišni inspektor Državnog inspektorata (u daljnjem tekstu: tržišni inspektor).</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Inspekcijski nadzor koji se odnosi na provedbu ovoga Zakona i propisa donesenih na temelju njega kojima se propisuju granične vrijednosti u vezi sa sastavom brodskih goriva i/ili drugih značajki kvalitete brodskih goriva prilikom njihova stavljanja na tržište i/ili na raspolaganje na tržištu, način utvrđivanja kvalitete brodskih goriva prilikom njihova stavljanja na tržište i/ili na raspolaganje na tržištu te način dokazivanja sukladnosti brodskih goriva prilikom njihova stavljanja na tržište i/ili na raspolaganje na tržištu provodi tržišni inspektor.</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Iznimno od stavaka 1. i 2. ovoga članka, inspekcijski nadzor koji se odnosi na provedbu ovoga Zakona i propisa donesenih na temelju njega kojima se propisuju granične vrijednosti u vezi sa sastavom brodskih goriva i/ili drugih značajki kvalitete brodskih goriva koja se koriste na pomorskim objektima, način utvrđivanja kvalitete brodskih goriva koja se koriste na pomorskim objektima odnosno nalaze na pomorskim objektima s namjerom njihova korištenja te način dokazivanja sukladnosti brodskih goriva prilikom njihove neposredne isporuke pomorskim objektima provod inspektor tijela državne uprave nadležnog za inspekcijske poslove u području sigurnosti plovidbe (u daljnjem tekstu: inspektor sigurnosti plovidbe).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Inspekcijski nadzor koji se odnosi na provedbu odredbi ovoga Zakona kojima se propisuje postupanje</w:t>
      </w:r>
      <w:r>
        <w:rPr/>
        <w:t xml:space="preserve"> </w:t>
      </w:r>
      <w:r>
        <w:rPr>
          <w:rFonts w:ascii="Arial" w:eastAsia="Arial" w:hAnsi="Arial" w:cs="Arial"/>
          <w:sz w:val="24"/>
          <w:szCs w:val="24"/>
        </w:rPr>
        <w:t xml:space="preserve">u slučaju izvanrednog događaja i/ili velike nesreće koja narušava </w:t>
      </w:r>
      <w:r>
        <w:rPr>
          <w:rFonts w:ascii="Arial" w:eastAsia="Arial" w:hAnsi="Arial" w:cs="Arial"/>
          <w:sz w:val="24"/>
          <w:szCs w:val="24"/>
        </w:rPr>
        <w:t xml:space="preserve">kvalitetu zraka i zdravlje ljudi provodi inspektor tijela državne uprave nadležnog za inspekcijske poslove u području civilne zaštite i/ili inspektor zaštite okoliša.</w:t>
      </w:r>
    </w:p>
    <w:p>
      <w:pPr>
        <w:pBdr/>
        <w:pStyle w:val="Heading 4"/>
        <w:spacing/>
        <w:ind/>
        <w:rPr/>
      </w:pPr>
      <w:r>
        <w:rPr/>
        <w:t xml:space="preserve">Članak 99.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 provedbi inspekcijskog nadzora tržišni inspektor će rješenjem narediti otklanjanje nepravilnosti i odrediti primjereni rok u kojem nepravilnosti treba otkloniti ako utvrdi da proizvodi definirani uredbama iz članka 70. stavaka 1., 2. i 3. ovoga Zakona koji su stavljeni na tržište i/ili stavljeni na raspolaganje na tržištu nisu označeni ili su nepotpuno označeni, ako nije utvrđena kvaliteta proizvoda na propisani način ili dokazivanje sukladnosti proizvoda nije obavljeno ili nije obavljeno na propisani način.</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 slučaju sumnje, a zbog koje je u postupku inspekcijskog nadzora potrebno utvrditi odgovara li proizvod iz stavka 1. ovoga članka propisanim zahtjevima označivanja i/ili kvalitete, tržišni inspektor može rješenjem privremeno zabraniti stavljanje proizvoda na tržište i/ili na raspolaganje na tržištu u vremenu potrebnom za dodatne preglede i ispitivanje.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Tržišni inspektor rješenjem će zabraniti stavljanje na tržište i/ili na raspolaganje na tržištu proizvoda i/ili narediti povlačenje s tržišta proizvoda definiranih uredbama iz članka 70. stavaka 1., 2. i 3. ovoga Zakona ako utvrdi da ne odgovaraju propisanoj kvaliteti ili ne zadovoljavaju granične vrijednosti ili u svom sastavu sadrže tvari koje nisu dozvoljene.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Mjera iz stavka 3. ovoga članka odnosi se i na proizvod uzorkovan i ispitan za potrebe Programa praćenja kvalitete goriva iz članka 72. ovoga Zakona za koji je u najkraćem mogućem roku od utvrđivanja rezultata dostavljena obavijest s rezultatima ispitivanja i ocjenom rezultata ispitivanja da proizvod ne odgovara propisanoj kvaliteti.</w:t>
      </w:r>
    </w:p>
    <w:p>
      <w:pPr>
        <w:pBdr/>
        <w:pStyle w:val="Heading 4"/>
        <w:spacing/>
        <w:ind/>
        <w:rPr/>
      </w:pPr>
      <w:r>
        <w:rPr/>
        <w:t xml:space="preserve">Članak 100.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 provedbi inspekcijskog nadzora inspektor sigurnosti plovidbe provodi izravni uvid u brodske isprave, zapise i knjige te poduzima druge radnje radi utvrđivanja kvalitete brodskih goriva na pomorskim objektima u skladu s odredbama uredbe iz članka 70. stavka 1.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Ako u provedbi inspekcijskog nadzora inspektor sigurnosti plovidbe utvrdi da pomorski objekt koristi brodska goriva koja ne ispunjavaju zahtjeve kvalitete u skladu s odredbama uredbe iz članka 70. stavka 1. ovoga Zakona, zapovjednik pomorskog objekta, kao predstavnik pravne ili fizičke osobe koja upravlja pomorskim objektom, obvezan je omogućiti: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predočenje evidencije postupaka koji su poduzeti u pokušaju postizanja sukladnosti s propisanom kvalitetom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predočenje dokaza da je pomorski objekt pokušao kupiti brodsko gorivo koje je u skladu s uredbom iz članka 70. stavka 1. ovoga Zakona i planom plovidbe pomorskog objekta i, ako gorivo nije bilo dostupno tamo gdje je to planirano, da je pokušao locirati alternativne izvore takvih brodskih goriva te da, unatoč najvećim naporima da se nabavi brodsko gorivo koje je u skladu s uredbom iz članka 70. stavka 1. ovoga Zakona, takvo brodsko gorivo nije bilo moguće kupiti.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Inspektor sigurnosti plovidbe ne može zahtijevati od pomorskog objekta da u svrhu postizanja sukladnosti s propisanom kvalitetom brodskog goriva u skladu s odredbama uredbe iz članka 70. stavka 1. ovoga Zakona odstupi od predviđene plovidbe ili odgodi plovidbu u slučaju da takvo gorivo nije bilo moguće kupiti.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Inspektor sigurnosti plovidbe rješenjem će zabraniti uporabu brodskog goriva na pomorskom objektu koje ne odgovara odredbama uredbe iz članka 70. stavka 1. ovoga Zakona i koje u svom sastavu sadrži nedopuštene tvari i/ili onečišćujuće tvari iznad propisanih graničnih vrijednosti.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Iznimno od stavka 4. ovoga članka, ako pomorski objekt dostavi informacije iz stavka 2. ovoga članka, inspektor sigurnosti plovidbe uzima u obzir sve relevantne okolnosti i dostavljene dokaze radi pokretanja odgovarajućeg postupka i uklanjanja brodskog goriva čija kvaliteta ne odgovara odredbama uredbe iz članka 70. stavka 1. ovoga Zakona, uključujući i nepoduzimanje mjera dodatnih pregleda i analiza.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U slučaju sumnje i/ili prijave da brodsko gorivo ne odgovara odredbama uredbe iz članka 70. stavka 1. ovoga Zakona, inspektor sigurnosti plovidbe može rješenjem privremeno zabraniti korištenje brodskog goriva u vremenu potrebnom za dodatne preglede i analize.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Ako u provedbi inspekcijskog nadzora inspektor sigurnosti plovidbe utvrdi da su na pomorskom objektu prekršene odredbe propisane uredbom iz članka 70. stavka 1. ovoga Zakona, rješenjem će narediti otklanjanje nepravilnosti i odrediti primjereni rok u kojem nepravilnosti treba otkloniti te poduzeti i druge mjere u skladu s odredbama ovoga Zakona, što može uključiti i zabranu isplovljenja iz luke, odnosno zadržavanje pomorskog objekta dok ne podmiri izrečenu kaznu i trošak prekršajnog postupka te druge štete nastale onečišćenjem zraka ili dok ne položi odgovarajuće jamstvo za pokriće ovih šteta.</w:t>
      </w:r>
    </w:p>
    <w:p>
      <w:pPr>
        <w:pBdr/>
        <w:pStyle w:val="Heading 4"/>
        <w:spacing/>
        <w:ind/>
        <w:rPr/>
      </w:pPr>
      <w:r>
        <w:rPr/>
        <w:t xml:space="preserve">Članak 101.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 provedbi inspekcijskog nadzora inspektor zaštite okoliša provodi izravni uvid u opće i pojedinačne akte, nadzire uvjete i način rada nadziranih pravnih osoba i obrtnika te poduzima ovim Zakonom i drugim propisima predviđene mjere da se utvrđeno stanje uskladi s ovim Zakonom i propisima donesenim na temelju njega.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 provedbi inspekcijskog nadzora inspektor zaštite okoliša osobito nadzire: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nepokretne izvore onečišćivanja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redovitost praćenja emisije iz nepokretnih izvora onečišćivanja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rad uređaja za smanjivanje emisija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vođenje evidencija o obavljenim mjerenjima s podacima o mjernim mjestima i rezultatima mjerenja, o upotrijebljenom gorivu i otpadu prilikom suspaljivanja i spaljivanja otpada i dostavljanje podataka o kvaliteti zraka i emisijama iz nepokretnih izvora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primjenu tehničkih standarda zaštite zraka za određene proizvode, postrojenja, pogone ili uređaje, opremu i proizvodne postupke koji mogu prouzročiti rizik ili opasnost za okoliš</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izvršenje obveza jedinica lokalne i područne (regionalne) samouprave propisanih ovim Zakonom</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usklađenost planova za kvalitetu zraka iz članka 45. ovoga Zakona i planova djelovanja za kvalitetu zraka iz članka 46.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planova za kvalitetu zraka iz članka 45.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planova djelovanja za kvalitetu zraka iz članka 46.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kratkoročnih akcijskih planova iz članka 52.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praćenje kvalitete zraka na točkama uzorkovanja za praćenje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mjera zaštite kvalitete zraka utvrđenih u rješenju o procjeni utjecaja na okoliš i rješenju o okolišnoj dozvoli po posebnom propisu</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mjerenja kvalitete zraka iz članka 32. stavka 1. ovoga Zakona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obavljanje djelatnosti praćenja kvalitete zraka, praćenja emisija onečišćujućih tvari iz nepokretnih izvora, provjere ispravnosti mjernog sustava za kontinuirano mjerenje emisija onečišćujućih tvari iz nepokretnih izvora te poslove organizacije i provođenja ispitivanja sposobnosti ispitnih laboratorija za praćenje kvalitete zraka međulaboratorijskim usporedbama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obavljanje poslova Nacionalnih referentnih laboratorija iz članka 11. ovoga Zakona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međunarodnih ugovora iz područja zaštite zraka.</w:t>
      </w:r>
    </w:p>
    <w:p>
      <w:pPr>
        <w:pBdr/>
        <w:pStyle w:val="Heading 4"/>
        <w:spacing/>
        <w:ind/>
        <w:rPr/>
      </w:pPr>
      <w:r>
        <w:rPr/>
        <w:t xml:space="preserve">Članak 102.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Stranke u inspekcijskom postupku nad primjenom ovoga Zakona i propisa donesenih na temelju njega mogu biti onečišćivač, operater, dobavljač, distributer, isporučitelj, trgovac, pravna osoba koja obavlja djelatnost praćenja kvalitete zraka, djelatnost praćenja emisija onečišćujućih tvari iz nepokretnih izvora, djelatnost provjere ispravnosti mjernog sustava za kontinuirano mjerenje emisija onečišćujućih tvari iz nepokretnih izvora, poslove organizacije i provođenja ispitivanja sposobnosti ispitnih laboratorija za praćenje kvalitete zraka međulaboratorijskim usporedbama, pravna osoba koja obavlja djelatnosti osiguravanja točnosti mjerenja te prijenosa i dijeljenja mjernih podataka kvalitete zraka, ovlaštenici iz članka 9. stavka 21. ovoga Zakona, nositelji mjera iz planova za kvalitetu zraka i planova djelovanja za kvalitetu zraka te jedinica lokalne i područne (regionalne) samouprave (u daljnjem tekstu: nadzirana osoba).</w:t>
      </w:r>
    </w:p>
    <w:p>
      <w:pPr>
        <w:pBdr/>
        <w:pStyle w:val="Heading 4"/>
        <w:spacing/>
        <w:ind/>
        <w:rPr/>
      </w:pPr>
      <w:r>
        <w:rPr/>
        <w:t xml:space="preserve">Članak 103.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 provedbi inspekcijskog nadzora, u slučaju povrede ovoga Zakona i/ili propisa donesenih na temelju njega, inspektor zaštite okoliša ima pravo i obvezu nadziranoj osobi rješenjem narediti mjere s rokom izvršenja, i to:</w:t>
      </w:r>
    </w:p>
    <w:p>
      <w:pPr>
        <w:pBdr/>
        <w:pStyle w:val="Normal"/>
        <w:spacing w:before="120" w:after="0" w:line="240" w:lineRule="auto"/>
        <w:ind/>
        <w:jc w:val="both"/>
        <w:rPr>
          <w:rFonts w:ascii="Arial" w:eastAsia="Arial" w:hAnsi="Arial" w:cs="Arial"/>
          <w:color w:val="000000"/>
          <w:sz w:val="24"/>
          <w:szCs w:val="24"/>
        </w:rPr>
      </w:pPr>
      <w:r>
        <w:rPr>
          <w:rFonts w:ascii="Arial" w:eastAsia="Arial" w:hAnsi="Arial" w:cs="Arial"/>
          <w:sz w:val="24"/>
          <w:szCs w:val="24"/>
        </w:rPr>
        <w:t xml:space="preserve">– otklanjanje nedostataka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otklanjanje nezakonitosti u postupanju</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zabranu obavljanja radnji u proizvodnom postupku</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zabranu uporabe postrojenja i uređaja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mjerenje emisije onečišćujućih tvari iz nepokretnih izvora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zabranu uporabe postrojenja i uređaja koji su prouzročili prekoračenje granične vrijednosti emisije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zabranu uporabe pogona, uređaja, opreme, proizvodnog postupka i određenih proizvoda ako ne ispunjava propisane tehničke standarde zaštite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zabranu obavljanja djelatnosti praćenja kvalitete zraka, djelatnosti praćenja emisija onečišćujućih tvari iz nepokretnih izvora, djelatnosti provjere ispravnosti mjernog sustava za kontinuirano mjerenje emisija onečišćujućih tvari iz nepokretnih izvora, poslove organizacije i provođenja ispitivanja sposobnosti ispitnih laboratorija za praćenje kvalitete zraka međulaboratorijskim usporedbama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zabranu obavljanja djelatnosti osiguravanja točnosti mjerenja te prijenosa i dijeljenja mjernih podataka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mjera zaštite zraka iz rješenja o prihvatljivosti zahvata za okoliš i/ili rješenja o okolišnoj dozvoli odnosno okolišne dozvole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mjera zaštite zraka iz plana za zaštitu zraka i plana djelovanja za kvalitetu zraka koje je izdalo nadležno tijelo u jedinici lokalne samouprave i/ili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provedbu mjera zaštite zraka iz kratkoročnog akcijskog plana koji je izdalo nadležno tijelo u jedinici lokalne samouprave te poduzimati i druge radnje u svrhu sprječavanja onečišćenja zraka protivno ovome Zakonu.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Ako se u provedbi inspekcijskog nadzora utvrde nedostaci i nepravilnosti u radu, inspektor zaštite okoliša ukazuje nadziranoj osobi nad kojom se provodi nadzor na nedostatke i nepravilnosti i određuje rok njihova otklanjanja,</w:t>
      </w:r>
      <w:r>
        <w:rPr/>
        <w:t xml:space="preserve"> </w:t>
      </w:r>
      <w:r>
        <w:rPr>
          <w:rFonts w:ascii="Arial" w:eastAsia="Arial" w:hAnsi="Arial" w:cs="Arial"/>
          <w:sz w:val="24"/>
          <w:szCs w:val="24"/>
        </w:rPr>
        <w:t xml:space="preserve">koji ne može biti duži od 8 radnih dana, što se unosi u zapisnik, od kojeg se jedan primjerak daje nadziranoj osobi nad kojom je proveden nadzor.</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Ako nadzirana osoba nad kojom je proveden nadzor ne otkloni nedostatke i nepravilnosti u zadanom roku, inspektor zaštite okoliša rješenjem naređuje otklanjanje nedostataka i poduzima druge radnje za koje je ovlašten u slučaju utvrđenja prekršaja ili kaznenog djela.</w:t>
      </w:r>
    </w:p>
    <w:p>
      <w:pPr>
        <w:pBdr/>
        <w:pStyle w:val="Heading 4"/>
        <w:spacing/>
        <w:ind/>
        <w:rPr/>
      </w:pPr>
      <w:r>
        <w:rPr/>
        <w:t xml:space="preserve">Članak 104.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Inspektor zaštite okoliša će nadziranoj osobi rješenjem narediti otklanjanje nezakonitosti u postupanju u primjerenom roku ako utvrdi da: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ne vodi i ne izrađuje propisane očevidnike, evidencije, bilance odnosno ne donosi propisane odluke, planove i programe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ne izrađuje propisana izvješća, evidencije i obrasce</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nije izradila izvješća o prvim, povremenim, posebnim i kontinuiranim mjerenjima u skladu s propisom kojim se uređuje praćenje emisija onečišćujućih tvari u zrak iz nepokretnih izvora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izvješća, evidencije, bilance, obrasce i podatke iz očevidnika ne dostavlja nadležnim tijelima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nije u registre Ministarstva prijavila nepokretne izvore iz članka 12. stavka 2. ovoga Zakona i/ili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nije</w:t>
      </w:r>
      <w:r>
        <w:rPr>
          <w:rFonts w:ascii="Arial" w:eastAsia="Arial" w:hAnsi="Arial" w:cs="Arial"/>
          <w:sz w:val="24"/>
          <w:szCs w:val="24"/>
        </w:rPr>
        <w:t xml:space="preserve"> </w:t>
      </w:r>
      <w:r>
        <w:rPr>
          <w:rFonts w:ascii="Arial" w:eastAsia="Arial" w:hAnsi="Arial" w:cs="Arial"/>
          <w:sz w:val="24"/>
          <w:szCs w:val="24"/>
        </w:rPr>
        <w:t xml:space="preserve">u registar emisija iz članka 69. ovoga Zakona dostavila podatke o pokretnim izvorima iz članka 12. stavka 3. podstavka 1. i 2.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Inspektor zaštite okoliša će nadziranoj osobi rješenjem narediti otklanjanje nedostataka ako utvrdi da dokumente iz stavka 1. podstavaka 1., 2. i 3. ovoga članka ne izrađuje na propisani način.</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Inspektor zaštite okoliša će nadziranoj osobi rješenjem narediti otklanjanje nedostataka i nepravilnosti u postupanju ako utvrdi da nadzirana osoba ne radi u skladu s provedbenim propisima donesenim na temelju ovoga Zakona i akata Europske unije iz članka 2. stavka 2. ovoga Zakona.</w:t>
      </w:r>
    </w:p>
    <w:p>
      <w:pPr>
        <w:pBdr/>
        <w:pStyle w:val="Heading 4"/>
        <w:spacing/>
        <w:ind/>
        <w:rPr/>
      </w:pPr>
      <w:r>
        <w:rPr/>
        <w:t xml:space="preserve">Članak 105.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Inspektor zaštite okoliša će onečišćivaču rješenjem narediti uklanjanje utvrđenih nedostataka ili nepravilnosti u radu zbog kojih je došlo ili može doći do prekoračenja graničnih vrijednosti i/ili ciljnih vrijednosti u određenom roku.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Ako onečišćivač iz stavka 1. ovoga članka ne izvrši rješenje, inspektor zaštite okoliša će rješenjem zabraniti uporabu postrojenja odnosno uređaja koji su prouzročili prekoračenja granične vrijednosti i/ili ciljne vrijednosti.</w:t>
      </w:r>
    </w:p>
    <w:p>
      <w:pPr>
        <w:pBdr/>
        <w:pStyle w:val="Heading 4"/>
        <w:spacing/>
        <w:ind/>
        <w:rPr/>
      </w:pPr>
      <w:r>
        <w:rPr/>
        <w:t xml:space="preserve">Članak 106.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Inspektor zaštite okoliša će onečišćivaču rješenjem narediti zabranu obavljanja radnji u proizvodnom postupku, uporabu postrojenja i uređaja koji su prouzročili onečišćenost zraka iznad praga upozorenja dok se nedostaci ne uklone.</w:t>
      </w:r>
    </w:p>
    <w:p>
      <w:pPr>
        <w:pBdr/>
        <w:pStyle w:val="Heading 4"/>
        <w:spacing/>
        <w:ind/>
        <w:rPr/>
      </w:pPr>
      <w:r>
        <w:rPr/>
        <w:t xml:space="preserve">Članak 107.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Inspektor zaštite okoliša će nadziranoj osobi rješenjem narediti mjerenja emisije onečišćujućih tvari iz nepokretnih izvora: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je došlo do izmjene goriva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nije obavila povremena mjerenja emisija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nije obavila povremena mjerenja emisija u propisanim rokovima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nije obavila mjerenje iz novih ili rekonstruiranih nepokretnih izvora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utvrdi nepravilnosti u obavljenom mjerenju, a na trošak osobe koja je mjerila i/ili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utvrdi da je mjerenje obavila neovlaštena osoba.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Inspektor zaštite okoliša će nadziranoj osobi rješenjem narediti mjerenja emisija iz nepokretnih izvora u slučaju osnovane sumnje da je došlo do prekoračenja graničnih vrijednosti emisija onečišćujućih tvari u zrak.</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Inspektor zaštite okoliša će nadziranoj osobi rješenjem narediti provedbu kontinuiranog mjerenja emisija onečišćujućih tvari iz nepokretnih izvora u primjerenom roku ako utvrdi da ih ne provodi ili ih ne provodi na propisani način.</w:t>
      </w:r>
    </w:p>
    <w:p>
      <w:pPr>
        <w:pBdr/>
        <w:pStyle w:val="Heading 4"/>
        <w:spacing/>
        <w:ind/>
        <w:rPr/>
      </w:pPr>
      <w:r>
        <w:rPr/>
        <w:t xml:space="preserve">Članak 108.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Inspektor zaštite okoliša će nadziranoj osobi rješenjem narediti provjeru učinkovitosti sustava u primjeni tehničkih standarda zaštite zraka pri uporabi pogona, uređaja, opreme, proizvodnog postupka i određenih proizvoda: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nije obavila provjeru učinkovitosti sustava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nije obavila provjeru učinkovitosti sustava u propisanim rokovima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utvrdi nepravilnosti u obavljenom mjerenju, a na trošak osobe koja je mjerila i/ili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utvrdi da je provjeru učinkovitosti sustava obavila neovlaštena osoba.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Inspektor zaštite okoliša će nadziranoj osobi rješenjem narediti posebnu provjeru učinkovitosti sustava u slučaju osnovane sumnje da je došlo do prekomjernog ispuštanja onečišćujućih tvari u zrak.</w:t>
      </w:r>
    </w:p>
    <w:p>
      <w:pPr>
        <w:pBdr/>
        <w:pStyle w:val="Heading 4"/>
        <w:spacing/>
        <w:ind/>
        <w:rPr/>
      </w:pPr>
      <w:r>
        <w:rPr/>
        <w:t xml:space="preserve">Članak 109.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Inspektor zaštite okoliša će nadziranoj osobi rješenjem narediti zabranu uporabe postrojenja i uređaja koji su prouzročili prekoračenje granične vrijednosti emisije dok se nedostaci ili nepravilnosti ne otklone.</w:t>
      </w:r>
    </w:p>
    <w:p>
      <w:pPr>
        <w:pBdr/>
        <w:pStyle w:val="Heading 4"/>
        <w:spacing/>
        <w:ind/>
        <w:rPr/>
      </w:pPr>
      <w:r>
        <w:rPr/>
        <w:t xml:space="preserve">Članak 110.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Inspektor zaštite okoliša nadziranoj će osobi rješenjem narediti provedbu odluke iz članka 34. stavka 1. ovoga Zakona, provedbu mjera iz rješenja o procjeni utjecaja na okoliš ili okolišne dozvole, provedbu mjera zaštite zraka iz plana za kvalitetu zraka, plana djelovanja za kvalitetu zraka odnosno kratkoročnog akcijskog plana, ako ih ne provodi, te u slučaju prijave za narušenu kvalitetu zraka onečišćivaču provedbu ispitivanja kvalitete zraka na mjestu najbližem od nepokretnog izvora na kojem se nalaze objekti u kojem trajno borave ljudi.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Ako se tijekom inspekcijskog nadzora inspektora zaštite okoliša utvrdi da nema povrede ovoga Zakona i/ili propisa donesenih na temelju ovoga Zakona te da nema opravdanog razloga za daljnje vođenje postupka po službenoj dužnosti, a podnositelj prijave zahtijeva daljnje izvođenje dokaza, postupak se nastavlja voditi po zahtjevu podnositelja prijave.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Troškove daljnjeg vođenja postupka iz stavka 2. ovoga članka u cijelosti snosi podnositelj prijave.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Ako se nakon provedbe ispitivanja kvalitete zraka, na mjestu najbližem od nepokretnog izvora na kojem se nalaze objekti u kojima trajno borave ljudi iz stavka 1. ovoga članka, utvrdi da nema povrede ovoga Zakona i/ili propisa donesenih na temelju ovoga Zakona, sve troškove predmetnog ispitivanja kvalitete zraka snosi podnositelj prijave.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U slučaju iz stavka 2. ovoga članka inspektor zaštite okoliša će zaključkom zatražiti od podnositelja prijave da unaprijed položi novčani iznos za troškove izvođenja drugih dokaza.</w:t>
      </w:r>
    </w:p>
    <w:p>
      <w:pPr>
        <w:pBdr/>
        <w:pStyle w:val="Heading 4"/>
        <w:spacing/>
        <w:ind/>
        <w:rPr/>
      </w:pPr>
      <w:r>
        <w:rPr/>
        <w:t xml:space="preserve">Članak 111.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Inspektor zaštite okoliša će nadziranoj osobi rješenjem narediti zabranu obavljanja djelatnosti praćenja kvalitete zraka, praćenja emisija onečišćujućih tvari iz nepokretnih izvora i provjere ispravnosti mjernog sustava za kontinuirano mjerenje emisija onečišćujućih tvari u zrak iz nepokretnih izvora: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nema dozvolu Ministarstva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ne ispunjava uvjete na temelju kojih je dobila dozvolu Ministarstva, do ispunjavanja uvjeta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obavlja djelatnost praćenja kvalitete zraka, praćenja emisija onečišćujućih tvari iz nepokretnih izvora i provjere ispravnosti mjernog sustava za kontinuirano mjerenje emisija onečišćujućih tvari iz nepokretnih izvora prema referentnoj metodi odnosno drugoj metodi mjerenja za koju nema dozvolu i/ili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obavlja poslove organizacije i provođenja ispitivanja sposobnosti ispitnih laboratorija za praćenje kvalitete zraka međulaboratorijskim usporedbama za koju nema dozvolu.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Inspektor zaštite okoliša će nadziranoj osobi rješenjem narediti zabranu obavljanja djelatnosti osiguravanja točnosti mjerenja te prijenosa i dijeljenja mjernih podataka kvalitete zraka:</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ne ispunjava uvjete iz članka 88. ovoga Zakona i/ili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ako obavlja osiguravanje točnosti mjerenja te prijenosa i dijeljenja mjernih podataka kvalitete zraka prema referentnoj metodi za koju nije akreditirana.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Ako su rješenja iz stavaka 1. i 2. ovoga članka donesena jer nadzirana osoba ne udovoljava uvjetima stavka 1. podstavaka 2., 3. i 4. odnosno stavka 2. podstavaka 1. i 2. ovoga članka, inspektor zaštite okoliša predložit će Ministarstvu ukidanje dozvole.</w:t>
      </w:r>
    </w:p>
    <w:p>
      <w:pPr>
        <w:pBdr/>
        <w:pStyle w:val="Heading 4"/>
        <w:spacing/>
        <w:ind/>
        <w:rPr/>
      </w:pPr>
      <w:r>
        <w:rPr/>
        <w:t xml:space="preserve">Članak 112.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Ako inspektor zaštite okoliša utvrdi prekoračenje granične vrijednosti emisije onečišćujućih tvari iz nepokretnih izvora na temelju emisijskih podataka može donijeti inspekcijsko rješenje i bez saslušanja stranke.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Inspektor zaštite okoliša može donijeti usmeno rješenje u slučaju pojave prekoračenja praga upozorenja poznatom onečišćivaču koji je prouzročio onečišćenost zraka.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Inspektor zaštite okoliša može donijeti usmeno rješenje u slučaju kada je potrebno otkloniti neposrednu opasnost za zdravlje ljudi i okoliš i u slučaju izvanrednog događaja i/ili velike nesreće.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Pisani otpravak usmenog rješenja mora se dostaviti stranki u roku od osam dana od dana donošenja usmenog rješenja.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Ako je doneseno usmeno rješenje inspektor može narediti izvršenje istoga bez donošenja rješenja o izvršenju.</w:t>
      </w:r>
    </w:p>
    <w:p>
      <w:pPr>
        <w:pBdr/>
        <w:pStyle w:val="Heading 4"/>
        <w:spacing/>
        <w:ind/>
        <w:rPr/>
      </w:pPr>
      <w:r>
        <w:rPr/>
        <w:t xml:space="preserve">Članak 113.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 svrhu osiguranja provedbe mjera iz članka 105. stavka 2., članka 106., članka 108., članka 109. i članka 111. stavaka 1. i 2. ovoga Zakona inspektor zaštite okoliša može pečaćenjem radnih prostorija, postrojenja, prostora i sredstva za rad, uređaja i druge opreme ili na drugi način onemogućiti daljnje nezakonito obavljanje djelatnosti.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Način pečaćenja iz stavka 1. ovoga članka određen je zakonom kojim se uređuje Državni inspektorat.</w:t>
      </w:r>
    </w:p>
    <w:p>
      <w:pPr>
        <w:pBdr/>
        <w:pStyle w:val="Heading 4"/>
        <w:spacing/>
        <w:ind/>
        <w:rPr/>
      </w:pPr>
      <w:r>
        <w:rPr/>
        <w:t xml:space="preserve">Članak 114.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Ako nadzirana osoba ne izvrši rješenjem naređenu mjeru iz članka 104., članka 105. stavka 1., članka 107. i članka 110. ovoga Zakona, inspektor zaštite okoliša donosi rješenje o izvršenju koje sadrži opomenu o novčanoj kazni i iznos kazne.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Ako izvršenik ne postupi po rješenju iz stavka 1. ovoga članka, inspektor donosi rješenje o novčanoj kazni.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Novčanu kaznu iz stavka 2. ovoga članka izvršenik uplaćuje u korist državnog proračuna Republike Hrvatske u roku od 30 dana od dana dostave rješenja o izvršenju.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Ako izvršenik istekom roka iz stavka 3. ovoga članka ne dostavi inspektoru dokaz o uplati novčane kazne, naplati će se pristupiti prisilnim putem u skladu s propisima koji se primjenjuju na sudsko izvršenje.</w:t>
      </w:r>
    </w:p>
    <w:p>
      <w:pPr>
        <w:pBdr/>
        <w:pStyle w:val="Heading 4"/>
        <w:spacing/>
        <w:ind/>
        <w:rPr/>
      </w:pPr>
      <w:r>
        <w:rPr/>
        <w:t xml:space="preserve">Članak 115.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Ako izvršenik ni nakon izrečene novčane kazne ne postupi po izvršnom rješenju iz članka 104. stavka 1. podstavka 3. ovoga Zakona, izvršenje rješenja provest će se putem treće osobe na trošak izvršenika.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U slučaju iz stavka 1. ovoga članka inspektor zaštite okoliša će Ministarstvu predložiti ukidanje dozvole.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Ako izvršenik ni nakon izrečene novčane kazne ne postupi po izvršnom rješenju iz članka 107. stavka 2. ovoga Zakona, izvršenje rješenja će se provesti putem treće osobe na trošak izvršenika.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Troškovi izvršenja inspekcijskog rješenja namiruju se iz državnog proračuna Republike Hrvatske do naplate od nadzirane pravne odnosno fizičke osobe kojoj je izvršenje naređeno.</w:t>
      </w:r>
    </w:p>
    <w:p>
      <w:pPr>
        <w:pBdr/>
        <w:pStyle w:val="Heading 4"/>
        <w:spacing/>
        <w:ind/>
        <w:rPr/>
      </w:pPr>
      <w:r>
        <w:rPr/>
        <w:t xml:space="preserve">Članak 116.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Protiv rješenja inspektora zaštite okoliša i tržišnog inspektora može se izjaviti žalba Državnom inspektoratu.</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Žalba iz stavka 1. ovoga članka ne odgađa izvršenje rješenja.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Protiv rješenja inspektora sigurnosti plovidbe nije dopuštena žalba, ali se može pokrenuti upravni spor pred nadležnim upravnim sudom.</w:t>
      </w:r>
    </w:p>
    <w:p>
      <w:pPr>
        <w:pBdr/>
        <w:pStyle w:val="Heading 2"/>
        <w:spacing/>
        <w:ind/>
        <w:rPr/>
      </w:pPr>
      <w:r>
        <w:rPr/>
        <w:t xml:space="preserve">DIO ČETVRTI</w:t>
      </w:r>
    </w:p>
    <w:p>
      <w:pPr>
        <w:pBdr/>
        <w:pStyle w:val="Heading 2"/>
        <w:spacing/>
        <w:ind/>
        <w:rPr/>
      </w:pPr>
      <w:r>
        <w:rPr/>
        <w:t xml:space="preserve">PREKRŠAJNE ODREDBE</w:t>
      </w:r>
    </w:p>
    <w:p>
      <w:pPr>
        <w:pBdr/>
        <w:pStyle w:val="Heading 3"/>
        <w:spacing/>
        <w:ind/>
        <w:rPr/>
      </w:pPr>
      <w:r>
        <w:rPr/>
        <w:t xml:space="preserve">Prekršajne odredbe</w:t>
      </w:r>
    </w:p>
    <w:p>
      <w:pPr>
        <w:pBdr/>
        <w:pStyle w:val="Heading 4"/>
        <w:spacing/>
        <w:ind/>
        <w:rPr/>
      </w:pPr>
      <w:r>
        <w:rPr/>
        <w:t xml:space="preserve">Članak 117</w:t>
      </w:r>
      <w:r>
        <w:rPr>
          <w:i/>
        </w:rPr>
        <w:t xml:space="preserv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Novčanom kaznom u iznosu od 39.810,00 do 132.720,00 eura kaznit će se za prekršaj pravna osoba – onečišćivač ako: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koristi izvore onečišćenja zraka iz članka 12. stavka 1. ovoga Zakona koji nisu izgrađeni ili proizvedeni, opremljeni, rabljeni i održavani tako da ne ispuštaju u zrak onečišćujuće tvari iznad graničnih vrijednosti emisije odnosno da ne ispuštaju/unose u zrak onečišćujuće tvari u količinama koje mogu narušiti kvalitetu zraka (članak 12. stavak 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praćenje kvalitete zraka prema rješenju o prihvatljivosti zahvata za okoliš i/</w:t>
      </w:r>
      <w:r>
        <w:rPr>
          <w:rFonts w:ascii="Arial" w:eastAsia="Arial" w:hAnsi="Arial" w:cs="Arial"/>
          <w:sz w:val="24"/>
          <w:szCs w:val="24"/>
        </w:rPr>
        <w:t xml:space="preserve">ili okolišnoj dozvoli (članak 32.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provede i ne financira mjere za smanjivanje onečišćenja zraka utvrđenih u planu za kvalitetu zraka ili planu djelovanja za kvalitetu zraka (članak 51. stavak 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provede i ne financira mjere za smanjivanje emisije onečišćujućih tvari u zrak utvrđenih u kratkoročnom akcijskom planu (članak 52. stavak 11.)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obustavi rad postrojenja u slučaju neposredne opasnosti za zdravlje ljudi ili prijetnje uzrokovanja neposrednog znatnog negativnog učinka na okoliš (članak 65. stavak 1. podstavak 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primjenu tehničkih standarda i provjeru učinkovitosti na način propisan uredbom iz članka 68. stavka 5. ovoga Zakona (članak 68. stavak 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koristi proizvode stavljene na tržište čije sastavnice i/ili druge značajke kvalitete prekoračuju granične vrijednosti propisane uredbama iz članka 70. ovoga Zakona (članak 70. stavak 1., 2. i 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metode smanjenja emisija na pomorskom objektu ne koristi na način propisan uredbom iz članka 70. stavka 1. ovoga Zakona (članak 71. stavak 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Za prekršaje iz stavka 1. ovoga članka kaznit će se i odgovorna osoba u pravnoj osobi novčanom kaznom u iznosu od 2.650,00 do 6.630,00 eura.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Za prekršaj iz stavka 1. ovoga članka kaznit će se obrtnik novčanom kaznom u iznosu od 13.270,00 do 66.360,00 eura.</w:t>
      </w:r>
    </w:p>
    <w:p>
      <w:pPr>
        <w:pBdr/>
        <w:pStyle w:val="Normal"/>
        <w:spacing w:before="240" w:after="0" w:line="240" w:lineRule="auto"/>
        <w:ind/>
        <w:jc w:val="both"/>
        <w:rPr>
          <w:rFonts w:ascii="Arial" w:eastAsia="Arial" w:hAnsi="Arial" w:cs="Arial"/>
          <w:b/>
          <w:sz w:val="24"/>
          <w:szCs w:val="24"/>
        </w:rPr>
      </w:pPr>
      <w:r>
        <w:rPr>
          <w:rFonts w:ascii="Arial" w:eastAsia="Arial" w:hAnsi="Arial" w:cs="Arial"/>
          <w:sz w:val="24"/>
          <w:szCs w:val="24"/>
        </w:rPr>
        <w:t xml:space="preserve">(4) Za prekršaj iz stavka 1. </w:t>
      </w:r>
      <w:r>
        <w:rPr>
          <w:rFonts w:ascii="Arial" w:eastAsia="Arial" w:hAnsi="Arial" w:cs="Arial"/>
          <w:sz w:val="24"/>
          <w:szCs w:val="24"/>
        </w:rPr>
        <w:t xml:space="preserve">podstavaka 1., 7. i 8.</w:t>
      </w:r>
      <w:r>
        <w:rPr>
          <w:rFonts w:ascii="Arial" w:eastAsia="Arial" w:hAnsi="Arial" w:cs="Arial"/>
          <w:sz w:val="24"/>
          <w:szCs w:val="24"/>
        </w:rPr>
        <w:t xml:space="preserve"> ovoga članka kaznit će se i zapovjednik pomorskog objekta novčanom kaznom u iznosu od 2.650,00 do 6.630,00 eura (članak 71. stavak 1. ).</w:t>
      </w:r>
    </w:p>
    <w:p>
      <w:pPr>
        <w:pBdr/>
        <w:pStyle w:val="Heading 4"/>
        <w:spacing/>
        <w:ind/>
        <w:rPr/>
      </w:pPr>
      <w:r>
        <w:rPr/>
        <w:t xml:space="preserve">Članak 118.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Novčanom kaznom u iznosu od 2.650,00 do 39.810,00 eura kaznit će se za prekršaj pravna osoba koja upravlja pomorskim objektom ako na pomorskom objektu ne posjeduje zapise, dokumentaciju ili uzorke vezano za primitak, izmjenu ili upotrebu brodskih goriva ili dokumentaciju vezanu za korištenje metoda smanjenja emisija ili nadležnim inspektorima tijela državne uprave nadležne za inspekcijske poslove u području sigurnosti plovidbe ne omogući utvrđivanje kvalitete brodskog goriva, i to na način propisan uredbom iz članka 70. stavka 1. ovoga Zakona (članak 71.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Za prekršaj iz stavka 1. ovoga članka kaznit će se i odgovorna osoba u pravnoj osobi novčanom kaznom u iznosu od 660,00 do 6.630,00 eura.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Za prekršaj iz stavka 1. ovoga članka kaznit će se i zapovjednik pomorskog objekta koji upravlja pomorskim objektom novčanom kaznom u iznosu od 660,00 do 6.630,00 eura.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Za prekršaj iz stavka 1. ovoga članka kaznit će se obrtnik koji upravlja pomorskim objektom novčanom kaznom u iznosu od 1.320,00 do 13.270,00 eura.</w:t>
      </w:r>
    </w:p>
    <w:p>
      <w:pPr>
        <w:pBdr/>
        <w:pStyle w:val="Heading 4"/>
        <w:spacing/>
        <w:ind/>
        <w:rPr/>
      </w:pPr>
      <w:r>
        <w:rPr/>
        <w:t xml:space="preserve">Članak 119.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Novčanom kaznom u iznosu od 39.810,00 do 132.720,00 eura kaznit će se za prekršaj pravna osoba – dobavljač, distributer, proizvođač, trgovac i/ili uvoznik koja stavlja na tržište i/ili na raspolaganje na tržištu proizvode čije sastavnice i/ili druge značajke kvalitete ne zadovoljavaju granične vrijednosti propisane uredbama iz članka 70. ovoga Zakona (članak 70. stavak 1., 2. i 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Za prekršaje iz stavka 1. ovoga članka kaznit će se i odgovorna osoba u pravnoj osobi novčanom kaznom u iznosu od 2.650,00 do 6.630,00 eura.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Za prekršaj iz stavka 1. ovoga članka kaznit će se obrtnik novčanom kaznom u iznosu od 13.270,00 do 66.360,00 eura.</w:t>
      </w:r>
    </w:p>
    <w:p>
      <w:pPr>
        <w:pBdr/>
        <w:pStyle w:val="Heading 4"/>
        <w:spacing/>
        <w:ind/>
        <w:rPr/>
      </w:pPr>
      <w:r>
        <w:rPr/>
        <w:t xml:space="preserve">Članak 120.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Novčanom kaznom u iznosu od 6.630,00 do 39.810,00 eura kaznit će se za prekršaj pravna osoba ako: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obavlja poslove Nacionalnog referentnog laboratorija iz članka 11. ovoga Zakona (članak 11.)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provodi praćenje kvalitete zraka u skladu sa člankom 23. ovoga Zakona (članak 23.)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izvorne i validirane podatke o obavljenim mjerenjima kvalitete zraka određenima u rješenju o prihvatljivosti zahvata za okoliš ili rješenju o okolišnoj dozvoli i izvješće o razinama onečišćenosti i ocjeni kvalitete zraka ne dostavi nadležnom upravnom tijelu jedinice lokalne i područne (regionalne) samouprave do 31. ožujka tekuće godine za proteklu kalendarsku godinu (članak 32. stavak 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dostavi izvješće o provedbi i financiranju mjera na zahtjev nadležnog upravnog tijela jedinice lokalne samouprave odnosno Grada Zagreba (članak 48. stavak 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provede i/ili ne financira mjere za smanjivanje onečišćenja zraka utvrđene u planovima za kvalitetu zraka iz članka 45. ovoga Zakona ili planovima djelovanja za kvalitetu zraka iz članka 46. ovoga Zakona (članak 51. stavak 10.)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primjenjuje mjere zaštite zraka utvrđene u rješenju o prihvatljivosti zahvata za okoliš, rješenju ocjene o potrebi procjene utjecaja zahvata na okoliš i/ili okolišnoj dozvoli (članak 61. podstavak 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primjenjuje mjere zaštite zraka utvrđene u projektu koji je sastavni dio dozvole koju izdaje nadležno tijelo (članak 61. podstavak 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primjenjuje najbolje raspoložive tehnike (članak 61. podstavak 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redovito praćenje emisija onečišćujućih tvari iz nepokretnih izvora i/ili o tome ne vodi evidenciju (članak 65. stavak 1. podstavak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obavljanje mjerenja emisije onečišćujućih tvari iz nepokretnih izvora (članak 65. stavak 1. podstavak 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vodi evidenciju o obavljenim mjerenjima s podacima o mjernim mjestima i rezultatima mjerenja te učestalosti mjerenja emisije (članak 65. stavak 1. podstavak 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vodi evidenciju o upotrijebljenom gorivu i otpadu prilikom procesa suspaljivanja (članak 65. stavak 1. podstavak 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vodi evidenciju o radu uređaja za smanjivanje emisija (članak 65. stavak 1. podstavak 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posjeduje uporabnu dozvolu za rad nepokretnog izvora ukoliko je njeno ishođenje obvezno po posebnom propisu (članak 65. stavak 1. podstavak 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prijavi svaku promjenu na nepokretnom izvoru nadležnom tijelu (članak 65. stavak 1. podstavak 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primjenu tehničkih standarda i provjeru njihove učinkovitosti iz članka 68. stavaka 3. i 4. ovoga Zakona (članak 68. stavak 3. i 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provodi utvrđivanje kvalitete proizvoda, i dokazivanje sukladnosti i ne označava proizvode iz članka 70. ovoga Zakona (članak 70. stavak 1., 2. i 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provodi praćenje emisija onečišćujućih tvari iz nepokretnih izvora u skladu sa člankom 75. stavkom 1. ovoga Zakona (članak 75.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provodi provjeru ispravnosti mjernog sustava za kontinuirano mjerenje emisija onečišćujućih tvari iz nepokretnih izvora u skladu sa člankom 75. stavkom 1. ovoga Zakona (članak 75.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obavlja djelatnost praćenja kvalitete zraka, praćenja emisija onečišćujućih tvari iz nepokretnih izvora i provjere ispravnosti mjernog sustava za kontinuirano mjerenje emisija onečišćujućih tvari iz nepokretnih izvora bez dozvole Ministarstva (članak 78.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obavlja djelatnost praćenja kvalitete zraka, praćenja emisija onečišćujućih tvari iz nepokretnih izvora i provjere ispravnosti mjernog sustava za kontinuirano mjerenje emisija onečišćujućih tvari u zrak iz nepokretnih izvora prema referentnoj metodi mjerenja odnosno drugoj metodi mjerenja za koju nije ishodila dozvolu Ministarstva (članak 79. stavak 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obavlja djelatnost praćenja kvalitete zraka i/ili praćenja emisija onečišćujućih tvari iz nepokretnih izvora unutar svoje registrirane djelatnosti bez dozvole Ministarstva (članak 81.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obavlja djelatnost praćenja kvalitete zraka, praćenja emisija onečišćujućih tvari iz nepokretnih izvora i provjere ispravnosti mjernog sustava za kontinuirano mjerenje emisija onečišćujućih tvari iz nepokretnih izvora bez dozvole Ministarstva (članak 82. stavci 1. i 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obavlja djelatnost organizacije i provođenja ispitivanja sposobnosti ispitnih laboratorija za praćenje kvalitete zraka međulaboratorijskim usporedbama na nacionalnoj razini</w:t>
      </w:r>
      <w:r>
        <w:rPr/>
        <w:t xml:space="preserve"> </w:t>
      </w:r>
      <w:r>
        <w:rPr>
          <w:rFonts w:ascii="Arial" w:eastAsia="Arial" w:hAnsi="Arial" w:cs="Arial"/>
          <w:sz w:val="24"/>
          <w:szCs w:val="24"/>
        </w:rPr>
        <w:t xml:space="preserve">bez dozvole Ministarstva (članak 83.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u roku od osam dana od nastale promjene ne izvijesti Ministarstvo o promjeni ispunjavanja uvjeta za izdavanje dozvole iz članaka 78., članka 81., članka 82. stavaka 1. i 4. te članka 83. ovoga Zakona (članak 84. stavak 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Za prekršaje iz stavka 1. ovoga članka kaznit će se i odgovorna osoba u pravnoj osobi novčanom kaznom u iznosu od 3.310,00 do 6.630,00 eura.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Za prekršaj iz stavka 1. ovoga članka kaznit će se obrtnik novčanom kaznom u iznosu od 9.290,00 do 19.900,00 eura.</w:t>
      </w:r>
    </w:p>
    <w:p>
      <w:pPr>
        <w:pBdr/>
        <w:pStyle w:val="Heading 4"/>
        <w:spacing/>
        <w:ind/>
        <w:rPr/>
      </w:pPr>
      <w:r>
        <w:rPr/>
        <w:t xml:space="preserve">Članak 121.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Novčanom kaznom u iznosu od 3.980,00 do 13.270,00 eura kaznit će se za prekršaj pravna osoba ako: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dostavlja ili ne upisuje podatke u registre Ministarstva na propisani način (članak 65. stavak 2., članak 67.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dostavlja godišnje izvješće o emisijama onečišćujućih tvari iz nepokretnih izvora (članak 67.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dostavlja podatke o primjeni tehničkih standarda pri uporabi pogona, uređaja, opreme, proizvodnog postupka i određenih proizvoda (članak 68. stavak 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dostavlja podatke o izvorima iz članka 12. stavka 3. podstavka 1. i 2. ovoga Zakona u registar emisija iz pokretnih izvora (članak 69. stavak 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dostavlja izvješće o kvaliteti i količinama proizvoda koji se stavljaju u promet na tržište Republike Hrvatske (članak 70.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ishodi suglasnost Ministarstva za kupovinu i korištenje strogo ograničenih količina proizvoda koji odstupaju od graničnih vrijednosti sadržaja hlapivih organskih spojeva koja se odnosi na boje i lakove koji se koriste u graditeljstvu u svrhu održavanja i/ili obnove građevine i proizvode za završnu obradu starodobnog vozila (oldtimer) koji su zaštićena kulturna dobra (članak 74.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prikuplja podatke i ne upisuje ih u Registar iz članka 76. ovoga Zakona (članak 77. stavak 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Za prekršaje iz stavka 1. ovoga članka kaznit će se i odgovorna osoba u pravnoj osobi novčanom kaznom u iznosu od 660,00 do 3.310,00 eura.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Za prekršaj iz stavka 1. ovoga članka kaznit će se obrtnik novčanom kaznom u iznosu od 3.310,00 do 9.290,00 eura.</w:t>
      </w:r>
    </w:p>
    <w:p>
      <w:pPr>
        <w:pBdr/>
        <w:pStyle w:val="Heading 4"/>
        <w:spacing/>
        <w:ind/>
        <w:rPr/>
      </w:pPr>
      <w:r>
        <w:rPr/>
        <w:t xml:space="preserve">Članak 122.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Novčanom kaznom u iznosu od 6.630,00 do 13.260,00 eura kaznit će se za prekršaj odgovorna osoba jedinice područne (regionalne) samouprave, Grada Zagreba i velikoga grada ako: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donese Program iz članka 15. stavka 1. ovoga Zakona (članak 15.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objavi Program iz članka 15. stavka 1. ovoga Zakona (članak 15. stavak 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izradi izvješće o provedbi Programa za razdoblje od četiri godine (članak 16.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Novčanom kaznom u iznosu od 6.630,00 do 13.260,00 eura kaznit će se za prekršaj odgovorna osoba u jedinici lokalne samouprave odnosno Gradu Zagrebu ako: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donese plan za kvalitetu zraka (članak 9. stavak 12.)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donese plan djelovanja za kvalitetu zraka (članak 9. stavak 13.)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donese kratkoročni akcijski plan (članak 9. stavak 16.)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izradi izvješće o provedbi mjera iz plana za kvalitetu zraka ili plana djelovanja za kvalitetu zraka (članak 48. stavak 2.).</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Novčanom kaznom u iznosu od 6.630,00 do 13.260,00 eura kaznit će se odgovorna osoba jedinice lokalne samouprave, jedinice područne (regionalne) samouprave i/ili tijela državne uprave ako ne provede i ne osigura financiranje mjera za smanjivanje onečišćenja zraka utvrđenih u planu za kvalitetu zraka ili planu djelovanja za kvalitetu zraka (članak 51. stavak 10.)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Novčanom kaznom u iznosu od 3.310,00 do 13.260,00 eura kaznit će se za prekršaj odgovorna osoba u jedinici lokalne i područne (regionalne) samouprave ako: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uspostavljene mjerne postaje za praćenje kvalitete zraka na svome području ne dostavi Ministarstvu izvorne i validirane podatke i izvješće o razinama onečišćenosti i ocjeni kvalitete zraka do 30. travnja tekuće godine za proteklu kalendarsku godinu (članak 31. stavak 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za mjerne postaje onečišćivača ne dostavi validirane podatke u ISZZ i ne dostavi Ministarstvu izvješće o razinama onečišćenosti i ocjeni kvalitete zraka do 30. travnja tekuće godine za proteklu kalendarsku godinu (članak 32. stavak 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Novčanom kaznom u iznosu od 3.310,00 do 13.260,00 eura kaznit će se za prekršaj odgovorna osoba u jedinici lokalne samouprave odnosno Gradu Zagrebu ako: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provedbu odluke iz članka 34. stavka 1. ovoga Zakona (članak 34. stavak 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naredi provedbu mjera iz kratkoročnih akcijskih planova (članak 40. stavak 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obavijesti javnost o prekoračenju ili predviđanju prekoračenja praga upozorenja ili praga obavješćivanja utvrđenog u Dodatku I. odjeljku 4. ovoga Zakona putem priopćenja u medijima koji pokrivaju područje te jedinice lokalne samouprave (članak 40. stavak 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prati provedbu mjera za smanjivanje onečišćenja zraka, vremenski plan provedbe i praćenje razina onečišćenosti zraka kao rezultat provedbe mjera iz plana za kvalitetu zraka ili plana djelovanja za kvalitetu zraka (članak 48.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Novčanom kaznom u iznosu od 2.650,00 do 6.630,00 eura kaznit će se za prekršaj odgovorna osoba u jedinici lokalne samouprave odnosno Gradu Zagrebu ako po utvrđivanju opravdanosti zahtjeva ili prijave građana da je došlo do onečišćenja u roku od pet dana ne donese odluku o mjerenjima posebne namjene ili procjeni razine onečišćenosti (članak 34. stavak 1.).</w:t>
      </w:r>
    </w:p>
    <w:p>
      <w:pPr>
        <w:pBdr/>
        <w:pStyle w:val="Heading 4"/>
        <w:spacing/>
        <w:ind/>
        <w:rPr/>
      </w:pPr>
      <w:r>
        <w:rPr/>
        <w:t xml:space="preserve">Članak 123.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Novčanom kaznom u iznosu od 3.310,00 do 13.260,00 eura kaznit će se za prekršaj odgovorna osoba u Državnom hidrometeorološkom zavodu ako: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provedbu izrade stručne podloge, analize i modeliranja kvalitete zraka za izradu planova za kvalitetu zraka, planova djelovanja za kvalitetu zraka kratkoročnih akcijskih planova (članak 9. stavak 15.)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provedbu praćenja kvalitete zraka na postajama u državnoj mreži (članak 30. stavak 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kontinuirani prijenos jednosatnih ažuriranih podataka, ne dostavi validirane podatke u ISZZ ili ne dostavi Ministarstvu izvješće o razinama onečišćenosti i ocjeni kvalitete zraka do 30. travnja tekuće godine za proteklu kalendarsku godinu (članak 30. stavak 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provedbu modeliranja za potrebe procjene rizika od prekoračenja odgovarajućih pragova upozorenja za predmetne onečišćujuće tvari (članak 49. stavak 3.).</w:t>
      </w:r>
    </w:p>
    <w:p>
      <w:pPr>
        <w:pBdr/>
        <w:pStyle w:val="Heading 4"/>
        <w:spacing/>
        <w:ind/>
        <w:rPr/>
      </w:pPr>
      <w:r>
        <w:rPr/>
        <w:t xml:space="preserve">Članak 124.</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Novčanom kaznom u iznosu od 3.310,00 do 13.260,00 eura kaznit će se za prekršaj odgovorna osoba u Institutu za medicinska istraživanja i medicinu rada ako:</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ne osigura kontinuirani prijenos jednosatnih ažuriranih podataka, ne dostavi validirane podatke u ISZZ ili ne dostavi Ministarstvu izvješće o razinama onečišćenosti </w:t>
      </w:r>
      <w:r>
        <w:rPr>
          <w:rFonts w:ascii="Arial" w:eastAsia="Arial" w:hAnsi="Arial" w:cs="Arial"/>
          <w:sz w:val="24"/>
          <w:szCs w:val="24"/>
        </w:rPr>
        <w:t xml:space="preserve">i ocjeni kvalitete zraka do 30. travnja tekuće godine za proteklu kalendarsku godinu (članak 30. stavak 7.).</w:t>
      </w:r>
    </w:p>
    <w:p>
      <w:pPr>
        <w:pBdr/>
        <w:pStyle w:val="Heading 2"/>
        <w:spacing/>
        <w:ind/>
        <w:rPr/>
      </w:pPr>
      <w:r>
        <w:rPr/>
        <w:t xml:space="preserve">DIO PETI</w:t>
      </w:r>
    </w:p>
    <w:p>
      <w:pPr>
        <w:pBdr/>
        <w:pStyle w:val="Heading 2"/>
        <w:spacing/>
        <w:ind/>
        <w:rPr/>
      </w:pPr>
      <w:r>
        <w:rPr/>
        <w:t xml:space="preserve">PRIJELAZNE I ZAVRŠNE ODREDBE</w:t>
      </w:r>
    </w:p>
    <w:p>
      <w:pPr>
        <w:pBdr/>
        <w:pStyle w:val="Heading 3"/>
        <w:spacing/>
        <w:ind/>
        <w:rPr/>
      </w:pPr>
      <w:r>
        <w:rPr/>
        <w:t xml:space="preserve">Prijelazne i završne odredbe</w:t>
      </w:r>
    </w:p>
    <w:p>
      <w:pPr>
        <w:pBdr/>
        <w:pStyle w:val="Heading 4"/>
        <w:spacing/>
        <w:ind/>
        <w:rPr/>
      </w:pPr>
      <w:r>
        <w:rPr/>
        <w:t xml:space="preserve">Članak 125.</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Upravni postupci pokrenuti temeljem odredbi Zakona o zaštiti zraka (»Narodne novine«, br. 127/19., 57/22. i 136/24.) dovršit će se po odredbama toga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Prekršajni postupci pokrenuti po odredbama Zakona o zaštiti zraka (»Narodne novine«, 127/19, 57/22, 136/24) do dana stupanja na snagu ovoga Zakona dovršit će se po odredbama toga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Iznimno od stavka 2. ovoga članka, prekršajni postupci pokrenuti po odredbama Zakona o zaštiti zraka (»Narodne novine«, br. 127/19, 57/22, 136/24) do stupanja na snagu ovoga Zakona dovršit će se po odredbama ovoga Zakona, ako je to povoljnije za počinitelja.</w:t>
      </w:r>
    </w:p>
    <w:p>
      <w:pPr>
        <w:pBdr/>
        <w:pStyle w:val="Heading 4"/>
        <w:spacing/>
        <w:ind/>
        <w:rPr/>
      </w:pPr>
      <w:r>
        <w:rPr/>
        <w:t xml:space="preserve">Članak 126.</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Akcijski planovi za poboljšanje kvalitete zraka doneseni na temelju članka 54. stavka 1. Zakona o zaštiti zraka (»Narodne novine«, br. 127/19., 57/22. i 136/24.) vrijede do isteka razdoblja na koji su doneseni odnosno do donošenja planova iz članka 45. ovoga Zakona ili članka 46.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Kratkoročni akcijski planovi doneseni na temelju članka 55. stavka 1. Zakona o zaštiti zraka (»Narodne novine«, br. 127/19., 57/22. i 136/24.) vrijede do isteka razdoblja na koja su doneseni.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Mjere za smanjivanje razina prizemnog ozona koje su donesene na temelju članka 54. stavka 2. Zakona o zaštiti zraka (»Narodne novine«, br. 127/19., 57/22. i 136/24.) vrijede do isteka razdoblja na koja su donesene.</w:t>
      </w:r>
    </w:p>
    <w:p>
      <w:pPr>
        <w:pBdr/>
        <w:pStyle w:val="Heading 4"/>
        <w:spacing/>
        <w:ind/>
        <w:rPr/>
      </w:pPr>
      <w:r>
        <w:rPr/>
        <w:t xml:space="preserve">Članak 127.</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Dozvole za obavljanje djelatnosti praćenja kvalitete zraka, djelatnosti praćenja emisija onečišćujućih tvari u zrak iz nepokretnih izvora i/ili djelatnosti provjere ispravnosti mjernog sustava za kontinuirano mjerenje emisija onečišćujućih tvari u zrak iz nepokretnih izvora izdane na temelju odredbi Zakona o zaštiti zraka (»Narodne novine«, br. 127/19., 57/22. i 136/24.) vrijede do isteka roka na koji su izdane.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Dozvole za obavljanje djelatnosti osiguranja kvalitete mjerenja i podataka kvalitete zraka na području Republike Hrvatske izdane na temelju odredbi Zakona o zaštiti zraka (»Narodne novine«, br. 127/19., 57/22. i 136/24.) vrijede do isteka roka na koji su izdane.</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Pravne osobe koje su ishodile dozvolu iz stavka 2. ovoga članka, dužne su u roku do 12 mjeseci od dana stupanja na snagu ovoga Zakona podnijeti zahtjev za izdavanjem dozvole iz članka 83.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Odredbe stavaka 2. i 3. ovoga članka ne primjenjuju se na Nacionalne referentne laboratorije iz članka 11. ovoga Zakona.</w:t>
      </w:r>
    </w:p>
    <w:p>
      <w:pPr>
        <w:pBdr/>
        <w:pStyle w:val="Heading 4"/>
        <w:spacing/>
        <w:ind/>
        <w:rPr/>
      </w:pPr>
      <w:r>
        <w:rPr/>
        <w:t xml:space="preserve">Članak 128.</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Vlada će uredbe iz članka 20. stavka 6. i članka 28. stavka 3. ovoga Zakona donijeti u roku od šest mjeseci od dana stupanja na snagu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Vlada će uredbe iz članka 62. stavka 1., članka 67. stavka 1., članka 68. stavka 5., članka 69. stavka 3. i članka 70. stavaka 1., 2. i 3. ovoga Zakona donijeti u roku od 12 mjeseci od dana stupanja na snagu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(3) Ministar će pravilnik iz članka 23. i program praćenja iz članka 29. stavka 1. ovoga Zakona donijeti u roku od šest mjeseci od dana stupanja na snagu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(4) Ministar će pravilnike iz članka 75. stavka 1. i članka 76. stavka 3. ovoga Zakona donijeti u roku od 12 mjeseci od dana stupanja na snagu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(5) Ministar će Ocjenu iz članka 20. stavka 4. ovoga Zakona donijeti u roku od 12 mjeseci od dana stupanja na snagu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(6) Ministar će Program iz članka 63. stavka 4. ovoga Zakona donijeti u roku od 12 mjeseci od dana stupanja na snagu ovoga Zakona.</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(7) Ministarstvo će Registar iz članka 69. stavka 1. ovoga Zakona i Registar iz članka 76. stavka 1. ovoga Zakona uspostaviti u roku od 24 mjeseca od dana stupanja na snagu ovoga Zakona.</w:t>
      </w:r>
    </w:p>
    <w:p>
      <w:pPr>
        <w:pBdr/>
        <w:pStyle w:val="Heading 4"/>
        <w:spacing/>
        <w:ind/>
        <w:rPr/>
      </w:pPr>
      <w:r>
        <w:rPr/>
        <w:t xml:space="preserve">Članak 129.</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(1) Do stupanja na snagu propisa iz članka 128. ovoga Zakona ostaju na snazi: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Uredba o kakvoći biogoriva (»Narodne novine«, br. 141/05. i 33/11.)</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Uredba o graničnim vrijednostima sadržaja hlapivih organskih spojeva u određenim bojama i lakovima koji se koriste u graditeljstvu i proizvodima za završnu obradu vozila (»Narodne novine«, br. 86/</w:t>
      </w:r>
      <w:r>
        <w:rPr>
          <w:rFonts w:ascii="Arial" w:eastAsia="Arial" w:hAnsi="Arial" w:cs="Arial"/>
          <w:sz w:val="24"/>
          <w:szCs w:val="24"/>
        </w:rPr>
        <w:t xml:space="preserve">21.)</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Uredba o određivanju zona i aglomeracija prema razinama onečišćenosti zraka na teritoriju Republike Hrvatske (»Narodne novine«, br. 1/14.)</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Uredba o utvrđivanju popisa mjernih mjesta za praćenje koncentracija pojedinih onečišćujućih tvari u zraku i lokacija mjernih postaja u državnoj mreži za trajno praćenje kvalitete zraka (»Narodne novine«, br. 107/</w:t>
      </w:r>
      <w:r>
        <w:rPr>
          <w:rFonts w:ascii="Arial" w:eastAsia="Arial" w:hAnsi="Arial" w:cs="Arial"/>
          <w:sz w:val="24"/>
          <w:szCs w:val="24"/>
        </w:rPr>
        <w:t xml:space="preserve">22.)</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Uredba o kvaliteti tekućih naftnih goriva (»Narodne novine«, br. 131/</w:t>
      </w:r>
      <w:r>
        <w:rPr>
          <w:rFonts w:ascii="Arial" w:eastAsia="Arial" w:hAnsi="Arial" w:cs="Arial"/>
          <w:sz w:val="24"/>
          <w:szCs w:val="24"/>
        </w:rPr>
        <w:t xml:space="preserve">21 i 83/25.)</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Uredba o graničnim vrijednostima emisija onečišćujućih tvari u zrak iz nepokretnih izvora (»Narodne novine«, br. 42/</w:t>
      </w:r>
      <w:r>
        <w:rPr>
          <w:rFonts w:ascii="Arial" w:eastAsia="Arial" w:hAnsi="Arial" w:cs="Arial"/>
          <w:sz w:val="24"/>
          <w:szCs w:val="24"/>
        </w:rPr>
        <w:t xml:space="preserve">21.)</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Uredba o nacionalnim obvezama smanjenja emisija određenih onečišćujućih tvari u zraku u Republici Hrvatskoj (»Narodne novine«, br. 76/18 i 140/24.)</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Pravilnik o praćenju emisija onečišćujućih tvari u zrak iz nepokretnih izvora (»Narodne novine«, br. 47/21.)</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Pravilnik o praćenju kvalitete zraka (»Narodne novine«, br. 72/</w:t>
      </w:r>
      <w:r>
        <w:rPr>
          <w:rFonts w:ascii="Arial" w:eastAsia="Arial" w:hAnsi="Arial" w:cs="Arial"/>
          <w:sz w:val="24"/>
          <w:szCs w:val="24"/>
        </w:rPr>
        <w:t xml:space="preserve">20.)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Program mjerenja razine onečišćenosti zraka u državnoj mreži za trajno praćenje kvalitete zraka (»Narodne novine«, br. 12/</w:t>
      </w:r>
      <w:r>
        <w:rPr>
          <w:rFonts w:ascii="Arial" w:eastAsia="Arial" w:hAnsi="Arial" w:cs="Arial"/>
          <w:sz w:val="24"/>
          <w:szCs w:val="24"/>
        </w:rPr>
        <w:t xml:space="preserve">23.).</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(2) Do stupanja na snagu uredbi iz članka 68. stavka 5. ovoga Zakona ostaju na snazi propisi doneseni na temelju Zakona o zaštiti okoliša (»Narodne novine«, br. 80/13, 153/13, 78/15, 12/18 i 118/18) i to:</w:t>
      </w:r>
    </w:p>
    <w:p>
      <w:pPr>
        <w:pBdr/>
        <w:pStyle w:val="Normal"/>
        <w:spacing w:before="240" w:after="0" w:line="240" w:lineRule="auto"/>
        <w:ind/>
        <w:jc w:val="both"/>
        <w:rPr>
          <w:rFonts w:ascii="Arial" w:eastAsia="Arial" w:hAnsi="Arial" w:cs="Arial"/>
          <w:b/>
          <w:sz w:val="24"/>
          <w:szCs w:val="24"/>
        </w:rPr>
      </w:pPr>
      <w:r>
        <w:rPr>
          <w:rFonts w:ascii="Arial" w:eastAsia="Arial" w:hAnsi="Arial" w:cs="Arial"/>
          <w:sz w:val="24"/>
          <w:szCs w:val="24"/>
        </w:rPr>
        <w:t xml:space="preserve">– </w:t>
      </w:r>
      <w:r>
        <w:rPr>
          <w:rFonts w:ascii="Arial" w:eastAsia="Arial" w:hAnsi="Arial" w:cs="Arial"/>
          <w:sz w:val="24"/>
          <w:szCs w:val="24"/>
        </w:rPr>
        <w:t xml:space="preserve">Uredba o tehničkim standardima zaštite okoliša od emisija hlapivih organskih spojeva koje nastaju skladištenjem i distribucijom benzina (»Narodne novine«, broj 135/06.) i</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 Uredba o tehničkim standardima zaštite okoliša za smanjenje emisija hlapivih organskih spojeva koje nastaju tijekom punjenja motornih vozila benzinom na benzinskim postajama (»Narodne novine«, br. 44/16 i 107/19.).</w:t>
      </w:r>
    </w:p>
    <w:p>
      <w:pPr>
        <w:pBdr/>
        <w:pStyle w:val="Heading 4"/>
        <w:spacing/>
        <w:ind/>
        <w:rPr/>
      </w:pPr>
      <w:r>
        <w:rPr/>
        <w:t xml:space="preserve">Članak 130.</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Stupanjem na snagu ovoga Zakona prestaju važiti: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Uredba o razinama onečišćujućih tvari u zraku (»Narodne novine«, br. 77/20.) i</w:t>
      </w:r>
    </w:p>
    <w:p>
      <w:pPr>
        <w:pBdr/>
        <w:pStyle w:val="Normal"/>
        <w:spacing w:before="120" w:after="0" w:line="240" w:lineRule="auto"/>
        <w:ind/>
        <w:jc w:val="both"/>
        <w:rPr>
          <w:rFonts w:ascii="Arial" w:eastAsia="Arial" w:hAnsi="Arial" w:cs="Arial"/>
          <w:sz w:val="24"/>
          <w:szCs w:val="24"/>
        </w:rPr>
      </w:pPr>
      <w:r>
        <w:rPr>
          <w:rFonts w:ascii="Arial" w:eastAsia="Arial" w:hAnsi="Arial" w:cs="Arial"/>
          <w:sz w:val="24"/>
          <w:szCs w:val="24"/>
        </w:rPr>
        <w:t xml:space="preserve">– Pravilnik o sadržaju, formatu i postupku donošenja akcijskog plana za poboljšanje kvalitete zraka, te uzajamnoj razmjeni informacija i izvješćivanju o kvaliteti zraka i obvezama za provedbu Odluke Komisije 2011/850/EU (»Narodne novine«, br. 26/23.)</w:t>
      </w:r>
    </w:p>
    <w:p>
      <w:pPr>
        <w:pBdr/>
        <w:pStyle w:val="Heading 4"/>
        <w:spacing/>
        <w:ind/>
        <w:rPr/>
      </w:pPr>
      <w:r>
        <w:rPr/>
        <w:t xml:space="preserve">Članak 131.</w:t>
      </w:r>
    </w:p>
    <w:p>
      <w:pPr>
        <w:pBdr/>
        <w:pStyle w:val="Normal"/>
        <w:spacing w:before="240" w:after="0" w:line="240" w:lineRule="auto"/>
        <w:ind/>
        <w:jc w:val="both"/>
        <w:rPr>
          <w:rFonts w:ascii="Arial" w:eastAsia="Arial" w:hAnsi="Arial" w:cs="Arial"/>
          <w:sz w:val="24"/>
          <w:szCs w:val="24"/>
        </w:rPr>
      </w:pPr>
      <w:r>
        <w:rPr>
          <w:rFonts w:ascii="Arial" w:eastAsia="Arial" w:hAnsi="Arial" w:cs="Arial"/>
          <w:sz w:val="24"/>
          <w:szCs w:val="24"/>
        </w:rPr>
        <w:t xml:space="preserve">Stupanjem na snagu ovoga Zakona prestaje važiti Zakon o zaštiti zraka (»Narodne novine«, br. 127/19., 57/22. i 136/24.).</w:t>
      </w:r>
    </w:p>
    <w:p>
      <w:pPr>
        <w:pBdr/>
        <w:pStyle w:val="Heading 4"/>
        <w:spacing/>
        <w:ind/>
        <w:rPr/>
      </w:pPr>
      <w:r>
        <w:rPr/>
        <w:t xml:space="preserve">Članak 132.</w:t>
      </w:r>
    </w:p>
    <w:p>
      <w:pPr>
        <w:pBdr/>
        <w:pStyle w:val="Normal"/>
        <w:spacing/>
        <w:ind/>
        <w:rPr>
          <w:rFonts w:ascii="Arial" w:eastAsia="Arial" w:hAnsi="Arial" w:cs="Arial"/>
          <w:sz w:val="24"/>
          <w:szCs w:val="24"/>
        </w:rPr>
      </w:pPr>
      <w:r>
        <w:rPr>
          <w:rFonts w:ascii="Arial" w:eastAsia="Arial" w:hAnsi="Arial" w:cs="Arial"/>
          <w:sz w:val="24"/>
          <w:szCs w:val="24"/>
        </w:rPr>
        <w:t xml:space="preserve">Ovaj Zakon stupa na snagu osmoga dana od dana objave u »Narodnim novinama« osim članka 35. ovoga Zakona koji stupa na snagu 1. siječnja 2029 i uspostave provedbe mjerenja iz članka 35. stavka 2.  </w:t>
      </w:r>
      <w:r>
        <w:rPr>
          <w:rFonts w:ascii="Arial" w:eastAsia="Arial" w:hAnsi="Arial" w:cs="Arial"/>
          <w:sz w:val="24"/>
          <w:szCs w:val="24"/>
        </w:rPr>
        <w:br w:type="page"/>
      </w:r>
    </w:p>
    <w:p>
      <w:pPr>
        <w:pBdr/>
        <w:pStyle w:val="Heading 2"/>
        <w:spacing/>
        <w:ind/>
        <w:rPr>
          <w:rFonts w:ascii="Arial" w:eastAsia="Arial" w:hAnsi="Arial" w:cs="Arial"/>
        </w:rPr>
      </w:pPr>
      <w:r>
        <w:rPr>
          <w:rFonts w:ascii="Arial" w:eastAsia="Arial" w:hAnsi="Arial" w:cs="Arial"/>
        </w:rPr>
        <w:t xml:space="preserve">DODATAK I. </w:t>
      </w:r>
    </w:p>
    <w:p>
      <w:pPr>
        <w:pBdr/>
        <w:pStyle w:val="Heading 2"/>
        <w:spacing/>
        <w:ind/>
        <w:rPr>
          <w:rFonts w:ascii="Arial" w:eastAsia="Arial" w:hAnsi="Arial" w:cs="Arial"/>
        </w:rPr>
      </w:pPr>
      <w:r>
        <w:rPr>
          <w:rFonts w:ascii="Arial" w:eastAsia="Arial" w:hAnsi="Arial" w:cs="Arial"/>
        </w:rPr>
        <w:t xml:space="preserve">STANDARDI KVALITETE ZRAKA</w:t>
      </w:r>
    </w:p>
    <w:p>
      <w:pPr>
        <w:pBdr/>
        <w:pStyle w:val="Normal"/>
        <w:spacing w:line="278" w:lineRule="auto"/>
        <w:ind/>
        <w:jc w:val="center"/>
        <w:rPr>
          <w:rFonts w:ascii="Arial" w:eastAsia="Arial" w:hAnsi="Arial" w:cs="Arial"/>
          <w:b/>
          <w:bCs/>
          <w:sz w:val="24"/>
          <w:szCs w:val="24"/>
        </w:rPr>
      </w:pPr>
    </w:p>
    <w:p>
      <w:pPr>
        <w:pBdr/>
        <w:pStyle w:val="Normal"/>
        <w:spacing w:line="278" w:lineRule="auto"/>
        <w:ind/>
        <w:jc w:val="both"/>
        <w:rPr>
          <w:rFonts w:ascii="Arial" w:eastAsia="Arial" w:hAnsi="Arial" w:cs="Arial"/>
          <w:b/>
          <w:bCs/>
          <w:sz w:val="24"/>
          <w:szCs w:val="24"/>
        </w:rPr>
      </w:pPr>
      <w:r>
        <w:rPr>
          <w:rFonts w:ascii="Arial" w:eastAsia="Arial" w:hAnsi="Arial" w:cs="Arial"/>
          <w:b/>
          <w:bCs/>
          <w:sz w:val="24"/>
          <w:szCs w:val="24"/>
        </w:rPr>
        <w:t xml:space="preserve">Odjeljak 1. – Granične vrijednosti za zaštitu zdravlja ljudi</w:t>
      </w:r>
    </w:p>
    <w:p>
      <w:pPr>
        <w:pBdr/>
        <w:pStyle w:val="Normal"/>
        <w:spacing w:line="278" w:lineRule="auto"/>
        <w:ind/>
        <w:jc w:val="both"/>
        <w:rPr>
          <w:rFonts w:ascii="Arial" w:eastAsia="Arial" w:hAnsi="Arial" w:cs="Arial"/>
          <w:b/>
          <w:bCs/>
          <w:sz w:val="24"/>
          <w:szCs w:val="24"/>
        </w:rPr>
      </w:pPr>
      <w:r>
        <w:rPr>
          <w:rFonts w:ascii="Arial" w:eastAsia="Arial" w:hAnsi="Arial" w:cs="Arial"/>
          <w:b/>
          <w:bCs/>
          <w:sz w:val="24"/>
          <w:szCs w:val="24"/>
        </w:rPr>
        <w:t xml:space="preserve">Tablica 1. – Granične vrijednosti za zaštitu zdravlja ljudi koje treba postići do 1. siječnja 2030.</w:t>
      </w:r>
    </w:p>
    <w:tbl>
      <w:tblPr>
        <w:tblStyle w:val="Rešetka tablice2"/>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1838"/>
        <w:gridCol w:w="2268"/>
        <w:gridCol w:w="1701"/>
        <w:gridCol w:w="3255"/>
      </w:tblGrid>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Razdoblje računanja prosjeka</w:t>
            </w:r>
          </w:p>
        </w:tc>
        <w:tc>
          <w:tcPr>
            <w:tcW w:w="4956" w:type="dxa"/>
            <w:tcBorders/>
            <w:shd w:fill="auto" w:color="auto"/>
            <w:vAlign w:val="center"/>
            <w:gridSpan w:val="2"/>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Granična vrijednost</w:t>
            </w:r>
          </w:p>
        </w:tc>
      </w:tr>
      <w:tr>
        <w:tblPrEx>
          <w:tblBorders/>
        </w:tblPrEx>
        <w:trPr>
          <w:trHeight w:hRule="atLeast" w:val="454"/>
        </w:trPr>
        <w:tc>
          <w:tcPr>
            <w:tcW w:w="1838" w:type="dxa"/>
            <w:tcBorders/>
            <w:shd w:fill="auto" w:color="auto"/>
            <w:vAlign w:val="center"/>
            <w:vMerge w:val="restart"/>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2,5</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25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18 puta u kalendarskoj godini</w:t>
            </w:r>
          </w:p>
        </w:tc>
      </w:tr>
      <w:tr>
        <w:tblPrEx>
          <w:tblBorders/>
        </w:tblPrEx>
        <w:trPr>
          <w:trHeight w:hRule="atLeast" w:val="454"/>
        </w:trPr>
        <w:tc>
          <w:tcPr>
            <w:tcW w:w="1838" w:type="dxa"/>
            <w:tcBorders/>
            <w:shd w:fill="auto" w:color="auto"/>
            <w:vAlign w:val="center"/>
            <w:vMerge w:val="continue"/>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10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38" w:type="dxa"/>
            <w:tcBorders/>
            <w:shd w:fill="auto" w:color="auto"/>
            <w:vAlign w:val="center"/>
            <w:vMerge w:val="restart"/>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10</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45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18 puta u kalendarskoj godini</w:t>
            </w:r>
          </w:p>
        </w:tc>
      </w:tr>
      <w:tr>
        <w:tblPrEx>
          <w:tblBorders/>
        </w:tblPrEx>
        <w:trPr>
          <w:trHeight w:hRule="atLeast" w:val="454"/>
        </w:trPr>
        <w:tc>
          <w:tcPr>
            <w:tcW w:w="1838" w:type="dxa"/>
            <w:tcBorders/>
            <w:shd w:fill="auto" w:color="auto"/>
            <w:vAlign w:val="center"/>
            <w:vMerge w:val="continue"/>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20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38" w:type="dxa"/>
            <w:tcBorders/>
            <w:shd w:fill="auto" w:color="auto"/>
            <w:vAlign w:val="center"/>
            <w:vMerge w:val="restart"/>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Dušikov dioksid (NO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sat</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200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3 puta u kalendarskoj godini</w:t>
            </w:r>
          </w:p>
        </w:tc>
      </w:tr>
      <w:tr>
        <w:tblPrEx>
          <w:tblBorders/>
        </w:tblPrEx>
        <w:trPr>
          <w:trHeight w:hRule="atLeast" w:val="454"/>
        </w:trPr>
        <w:tc>
          <w:tcPr>
            <w:tcW w:w="1838" w:type="dxa"/>
            <w:tcBorders/>
            <w:shd w:fill="auto" w:color="auto"/>
            <w:vAlign w:val="center"/>
            <w:vMerge w:val="continue"/>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50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18 puta u kalendarskoj godini</w:t>
            </w:r>
          </w:p>
        </w:tc>
      </w:tr>
      <w:tr>
        <w:tblPrEx>
          <w:tblBorders/>
        </w:tblPrEx>
        <w:trPr>
          <w:trHeight w:hRule="atLeast" w:val="454"/>
        </w:trPr>
        <w:tc>
          <w:tcPr>
            <w:tcW w:w="1838" w:type="dxa"/>
            <w:tcBorders/>
            <w:shd w:fill="auto" w:color="auto"/>
            <w:vAlign w:val="center"/>
            <w:vMerge w:val="continue"/>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20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38" w:type="dxa"/>
            <w:tcBorders/>
            <w:shd w:fill="auto" w:color="auto"/>
            <w:vAlign w:val="center"/>
            <w:vMerge w:val="restart"/>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Sumporov dioksid (SO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sat</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350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3 puta u kalendarskoj godini</w:t>
            </w:r>
          </w:p>
        </w:tc>
      </w:tr>
      <w:tr>
        <w:tblPrEx>
          <w:tblBorders/>
        </w:tblPrEx>
        <w:trPr>
          <w:trHeight w:hRule="atLeast" w:val="454"/>
        </w:trPr>
        <w:tc>
          <w:tcPr>
            <w:tcW w:w="1838" w:type="dxa"/>
            <w:tcBorders/>
            <w:shd w:fill="auto" w:color="auto"/>
            <w:vAlign w:val="center"/>
            <w:vMerge w:val="continue"/>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50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18 puta u kalendarskoj godini</w:t>
            </w:r>
          </w:p>
        </w:tc>
      </w:tr>
      <w:tr>
        <w:tblPrEx>
          <w:tblBorders/>
        </w:tblPrEx>
        <w:trPr>
          <w:trHeight w:hRule="atLeast" w:val="454"/>
        </w:trPr>
        <w:tc>
          <w:tcPr>
            <w:tcW w:w="1838" w:type="dxa"/>
            <w:tcBorders/>
            <w:shd w:fill="auto" w:color="auto"/>
            <w:vAlign w:val="center"/>
            <w:vMerge w:val="continue"/>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20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Benzen</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3,4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38" w:type="dxa"/>
            <w:tcBorders/>
            <w:shd w:fill="auto" w:color="auto"/>
            <w:vAlign w:val="center"/>
            <w:vMerge w:val="restart"/>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Ugljikov monoksid </w:t>
            </w:r>
          </w:p>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(CO)</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najviša dnevna osmosatna srednja vrijednost </w:t>
            </w:r>
            <w:r>
              <w:rPr>
                <w:rFonts w:ascii="Times New Roman" w:eastAsia="Aptos" w:hAnsi="Times New Roman" w:cs="Times New Roman"/>
                <w:sz w:val="24"/>
                <w:szCs w:val="24"/>
                <w:vertAlign w:val="superscript"/>
              </w:rPr>
              <w:t xml:space="preserve">(1)</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10 mg/m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38" w:type="dxa"/>
            <w:tcBorders/>
            <w:shd w:fill="auto" w:color="auto"/>
            <w:vAlign w:val="center"/>
            <w:vMerge w:val="continue"/>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4 mg/m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18 puta u kalendarskoj godini</w:t>
            </w:r>
          </w:p>
        </w:tc>
      </w:tr>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Olovo (Pb) </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0,5 µg/m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Arsen (As)</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6,0 ng/m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Kadmij (Cd)</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5,0 ng/m</w:t>
            </w:r>
            <w:r>
              <w:rPr>
                <w:rFonts w:ascii="Times New Roman" w:eastAsia="Aptos" w:hAnsi="Times New Roman" w:cs="Times New Roman"/>
                <w:sz w:val="24"/>
                <w:szCs w:val="24"/>
                <w:vertAlign w:val="superscript"/>
              </w:rPr>
              <w:t xml:space="preserve">3</w:t>
            </w:r>
            <w:r>
              <w:rPr>
                <w:rFonts w:ascii="Times New Roman" w:eastAsia="Aptos" w:hAnsi="Times New Roman" w:cs="Times New Roman"/>
                <w:sz w:val="24"/>
                <w:szCs w:val="24"/>
              </w:rPr>
              <w:t xml:space="preserve"> </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Nikal (Ni)</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20 ng/m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Benzo(a)piren</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701"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1,0 ng/m</w:t>
            </w:r>
            <w:r>
              <w:rPr>
                <w:rFonts w:ascii="Times New Roman" w:eastAsia="Aptos" w:hAnsi="Times New Roman" w:cs="Times New Roman"/>
                <w:sz w:val="24"/>
                <w:szCs w:val="24"/>
                <w:vertAlign w:val="superscript"/>
              </w:rPr>
              <w:t xml:space="preserve">3</w:t>
            </w:r>
          </w:p>
        </w:tc>
        <w:tc>
          <w:tcPr>
            <w:tcW w:w="3255"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bl>
    <w:p>
      <w:pPr>
        <w:pBdr/>
        <w:pStyle w:val="Normal"/>
        <w:spacing w:line="278" w:lineRule="auto"/>
        <w:ind/>
        <w:jc w:val="both"/>
        <w:rPr>
          <w:rFonts w:ascii="Arial" w:eastAsia="Arial" w:hAnsi="Arial" w:cs="Arial"/>
          <w:sz w:val="24"/>
          <w:szCs w:val="24"/>
        </w:rPr>
      </w:pPr>
      <w:r>
        <w:rPr>
          <w:rFonts w:ascii="Arial" w:eastAsia="Arial" w:hAnsi="Arial" w:cs="Arial"/>
          <w:sz w:val="24"/>
          <w:szCs w:val="24"/>
          <w:vertAlign w:val="superscript"/>
        </w:rPr>
        <w:t xml:space="preserve">(1)</w:t>
      </w:r>
      <w:r>
        <w:rPr>
          <w:rFonts w:ascii="Arial" w:eastAsia="Arial" w:hAnsi="Arial" w:cs="Arial"/>
          <w:sz w:val="24"/>
          <w:szCs w:val="24"/>
        </w:rPr>
        <w:t xml:space="preserve"> Najviša dnevna osmosatna srednja vrijednost koncentracije odabire se na temelju ispitivanja osmosatnih pomičnih prosjeka, izračunanih iz jednosatnih podataka i ažuriranih svaki sat. Svaki tako izračunan osmosatni prosjek pripisuje se danu kada završava, tj. prvo obračunsko razdoblje za bilo koji dan bit će razdoblje od 17 sati prethodnog dana do 1 sat tog dana; posljednje obračunsko razdoblje za 1 dan bit će razdoblje od 16 sati do 24 sata tog dana.</w:t>
      </w:r>
    </w:p>
    <w:p>
      <w:pPr>
        <w:pBdr/>
        <w:pStyle w:val="Normal"/>
        <w:spacing w:line="278" w:lineRule="auto"/>
        <w:ind/>
        <w:jc w:val="both"/>
        <w:rPr>
          <w:rFonts w:ascii="Arial" w:eastAsia="Arial" w:hAnsi="Arial" w:cs="Arial"/>
          <w:b/>
          <w:bCs/>
          <w:sz w:val="24"/>
          <w:szCs w:val="24"/>
        </w:rPr>
      </w:pPr>
      <w:r>
        <w:rPr>
          <w:rFonts w:ascii="Arial" w:eastAsia="Arial" w:hAnsi="Arial" w:cs="Arial"/>
          <w:b/>
          <w:bCs/>
          <w:sz w:val="24"/>
          <w:szCs w:val="24"/>
        </w:rPr>
        <w:t xml:space="preserve">Tablica 2. – Granične vrijednosti za zaštitu zdravlja ljudi koje treba postići do 11. prosinca 2026.</w:t>
      </w:r>
    </w:p>
    <w:tbl>
      <w:tblPr>
        <w:tblStyle w:val="Rešetka tablice2"/>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1843"/>
        <w:gridCol w:w="2268"/>
        <w:gridCol w:w="1693"/>
        <w:gridCol w:w="3258"/>
      </w:tblGrid>
      <w:tr>
        <w:tblPrEx>
          <w:tblBorders/>
        </w:tblPrEx>
        <w:trPr>
          <w:trHeight w:hRule="atLeast" w:val="454"/>
        </w:trPr>
        <w:tc>
          <w:tcPr>
            <w:tcW w:w="1843"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Razdoblje računanja prosjeka</w:t>
            </w:r>
          </w:p>
        </w:tc>
        <w:tc>
          <w:tcPr>
            <w:tcW w:w="4951" w:type="dxa"/>
            <w:tcBorders/>
            <w:shd w:fill="auto" w:color="auto"/>
            <w:vAlign w:val="center"/>
            <w:gridSpan w:val="2"/>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Granična vrijednost</w:t>
            </w:r>
          </w:p>
        </w:tc>
      </w:tr>
      <w:tr>
        <w:tblPrEx>
          <w:tblBorders/>
        </w:tblPrEx>
        <w:trPr>
          <w:trHeight w:hRule="atLeast" w:val="454"/>
        </w:trPr>
        <w:tc>
          <w:tcPr>
            <w:tcW w:w="1843"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2,5</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693"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25 µg/m</w:t>
            </w:r>
            <w:r>
              <w:rPr>
                <w:rFonts w:ascii="Times New Roman" w:eastAsia="Aptos" w:hAnsi="Times New Roman" w:cs="Times New Roman"/>
                <w:sz w:val="24"/>
                <w:szCs w:val="24"/>
                <w:vertAlign w:val="superscript"/>
              </w:rPr>
              <w:t xml:space="preserve">3</w:t>
            </w:r>
          </w:p>
        </w:tc>
        <w:tc>
          <w:tcPr>
            <w:tcW w:w="325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43" w:type="dxa"/>
            <w:tcBorders/>
            <w:shd w:fill="auto" w:color="auto"/>
            <w:vAlign w:val="center"/>
            <w:vMerge w:val="restart"/>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10</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1693"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50 µg/m</w:t>
            </w:r>
            <w:r>
              <w:rPr>
                <w:rFonts w:ascii="Times New Roman" w:eastAsia="Aptos" w:hAnsi="Times New Roman" w:cs="Times New Roman"/>
                <w:sz w:val="24"/>
                <w:szCs w:val="24"/>
                <w:vertAlign w:val="superscript"/>
              </w:rPr>
              <w:t xml:space="preserve">3</w:t>
            </w:r>
          </w:p>
        </w:tc>
        <w:tc>
          <w:tcPr>
            <w:tcW w:w="325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35 puta u kalendarskoj godini</w:t>
            </w:r>
          </w:p>
        </w:tc>
      </w:tr>
      <w:tr>
        <w:tblPrEx>
          <w:tblBorders/>
        </w:tblPrEx>
        <w:trPr>
          <w:trHeight w:hRule="atLeast" w:val="454"/>
        </w:trPr>
        <w:tc>
          <w:tcPr>
            <w:tcW w:w="1843" w:type="dxa"/>
            <w:tcBorders/>
            <w:shd w:fill="auto" w:color="auto"/>
            <w:vAlign w:val="center"/>
            <w:vMerge w:val="continue"/>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693"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40 µg/m</w:t>
            </w:r>
            <w:r>
              <w:rPr>
                <w:rFonts w:ascii="Times New Roman" w:eastAsia="Aptos" w:hAnsi="Times New Roman" w:cs="Times New Roman"/>
                <w:sz w:val="24"/>
                <w:szCs w:val="24"/>
                <w:vertAlign w:val="superscript"/>
              </w:rPr>
              <w:t xml:space="preserve">3</w:t>
            </w:r>
          </w:p>
        </w:tc>
        <w:tc>
          <w:tcPr>
            <w:tcW w:w="325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43" w:type="dxa"/>
            <w:tcBorders/>
            <w:shd w:fill="auto" w:color="auto"/>
            <w:vAlign w:val="center"/>
            <w:vMerge w:val="restart"/>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Dušikov dioksid (NO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sat</w:t>
            </w:r>
          </w:p>
        </w:tc>
        <w:tc>
          <w:tcPr>
            <w:tcW w:w="1693"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200 µg/m</w:t>
            </w:r>
            <w:r>
              <w:rPr>
                <w:rFonts w:ascii="Times New Roman" w:eastAsia="Aptos" w:hAnsi="Times New Roman" w:cs="Times New Roman"/>
                <w:sz w:val="24"/>
                <w:szCs w:val="24"/>
                <w:vertAlign w:val="superscript"/>
              </w:rPr>
              <w:t xml:space="preserve">3</w:t>
            </w:r>
          </w:p>
        </w:tc>
        <w:tc>
          <w:tcPr>
            <w:tcW w:w="325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18 puta u kalendarskoj godini</w:t>
            </w:r>
          </w:p>
        </w:tc>
      </w:tr>
      <w:tr>
        <w:tblPrEx>
          <w:tblBorders/>
        </w:tblPrEx>
        <w:trPr>
          <w:trHeight w:hRule="atLeast" w:val="454"/>
        </w:trPr>
        <w:tc>
          <w:tcPr>
            <w:tcW w:w="1843" w:type="dxa"/>
            <w:tcBorders/>
            <w:shd w:fill="auto" w:color="auto"/>
            <w:vAlign w:val="center"/>
            <w:vMerge w:val="continue"/>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693"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40 µg/m</w:t>
            </w:r>
            <w:r>
              <w:rPr>
                <w:rFonts w:ascii="Times New Roman" w:eastAsia="Aptos" w:hAnsi="Times New Roman" w:cs="Times New Roman"/>
                <w:sz w:val="24"/>
                <w:szCs w:val="24"/>
                <w:vertAlign w:val="superscript"/>
              </w:rPr>
              <w:t xml:space="preserve">3</w:t>
            </w:r>
          </w:p>
        </w:tc>
        <w:tc>
          <w:tcPr>
            <w:tcW w:w="325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p>
        </w:tc>
      </w:tr>
      <w:tr>
        <w:tblPrEx>
          <w:tblBorders/>
        </w:tblPrEx>
        <w:trPr>
          <w:trHeight w:hRule="atLeast" w:val="454"/>
        </w:trPr>
        <w:tc>
          <w:tcPr>
            <w:tcW w:w="1843" w:type="dxa"/>
            <w:tcBorders/>
            <w:shd w:fill="auto" w:color="auto"/>
            <w:vAlign w:val="center"/>
            <w:vMerge w:val="restart"/>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Sumporov dioksid (SO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sat</w:t>
            </w:r>
          </w:p>
        </w:tc>
        <w:tc>
          <w:tcPr>
            <w:tcW w:w="1693"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350 µg/m</w:t>
            </w:r>
            <w:r>
              <w:rPr>
                <w:rFonts w:ascii="Times New Roman" w:eastAsia="Aptos" w:hAnsi="Times New Roman" w:cs="Times New Roman"/>
                <w:sz w:val="24"/>
                <w:szCs w:val="24"/>
                <w:vertAlign w:val="superscript"/>
              </w:rPr>
              <w:t xml:space="preserve">3</w:t>
            </w:r>
          </w:p>
        </w:tc>
        <w:tc>
          <w:tcPr>
            <w:tcW w:w="325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24 puta u kalendarskoj godini</w:t>
            </w:r>
          </w:p>
        </w:tc>
      </w:tr>
      <w:tr>
        <w:tblPrEx>
          <w:tblBorders/>
        </w:tblPrEx>
        <w:trPr>
          <w:trHeight w:hRule="atLeast" w:val="454"/>
        </w:trPr>
        <w:tc>
          <w:tcPr>
            <w:tcW w:w="1843" w:type="dxa"/>
            <w:tcBorders/>
            <w:shd w:fill="auto" w:color="auto"/>
            <w:vAlign w:val="center"/>
            <w:vMerge w:val="continue"/>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1693"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125 µg/m</w:t>
            </w:r>
            <w:r>
              <w:rPr>
                <w:rFonts w:ascii="Times New Roman" w:eastAsia="Aptos" w:hAnsi="Times New Roman" w:cs="Times New Roman"/>
                <w:sz w:val="24"/>
                <w:szCs w:val="24"/>
                <w:vertAlign w:val="superscript"/>
              </w:rPr>
              <w:t xml:space="preserve">3</w:t>
            </w:r>
          </w:p>
        </w:tc>
        <w:tc>
          <w:tcPr>
            <w:tcW w:w="325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3 puta u kalendarskoj godini</w:t>
            </w:r>
          </w:p>
        </w:tc>
      </w:tr>
      <w:tr>
        <w:tblPrEx>
          <w:tblBorders/>
        </w:tblPrEx>
        <w:trPr>
          <w:trHeight w:hRule="atLeast" w:val="454"/>
        </w:trPr>
        <w:tc>
          <w:tcPr>
            <w:tcW w:w="1843"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Benzen</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693"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5 µg/m</w:t>
            </w:r>
            <w:r>
              <w:rPr>
                <w:rFonts w:ascii="Times New Roman" w:eastAsia="Aptos" w:hAnsi="Times New Roman" w:cs="Times New Roman"/>
                <w:sz w:val="24"/>
                <w:szCs w:val="24"/>
                <w:vertAlign w:val="superscript"/>
              </w:rPr>
              <w:t xml:space="preserve">3</w:t>
            </w:r>
          </w:p>
        </w:tc>
        <w:tc>
          <w:tcPr>
            <w:tcW w:w="325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43"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Ugljikov monoksid</w:t>
            </w:r>
          </w:p>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(CO)</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najviša dnevna osmosatna srednja vrijednost </w:t>
            </w:r>
            <w:r>
              <w:rPr>
                <w:rFonts w:ascii="Times New Roman" w:eastAsia="Aptos" w:hAnsi="Times New Roman" w:cs="Times New Roman"/>
                <w:sz w:val="24"/>
                <w:szCs w:val="24"/>
                <w:vertAlign w:val="superscript"/>
              </w:rPr>
              <w:t xml:space="preserve">(1)</w:t>
            </w:r>
          </w:p>
        </w:tc>
        <w:tc>
          <w:tcPr>
            <w:tcW w:w="1693"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10 mg/m</w:t>
            </w:r>
            <w:r>
              <w:rPr>
                <w:rFonts w:ascii="Times New Roman" w:eastAsia="Aptos" w:hAnsi="Times New Roman" w:cs="Times New Roman"/>
                <w:sz w:val="24"/>
                <w:szCs w:val="24"/>
                <w:vertAlign w:val="superscript"/>
              </w:rPr>
              <w:t xml:space="preserve">3</w:t>
            </w:r>
          </w:p>
        </w:tc>
        <w:tc>
          <w:tcPr>
            <w:tcW w:w="325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r>
        <w:tblPrEx>
          <w:tblBorders/>
        </w:tblPrEx>
        <w:trPr>
          <w:trHeight w:hRule="atLeast" w:val="454"/>
        </w:trPr>
        <w:tc>
          <w:tcPr>
            <w:tcW w:w="1843"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Olovo (Pb)</w:t>
            </w:r>
          </w:p>
        </w:tc>
        <w:tc>
          <w:tcPr>
            <w:tcW w:w="226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1693"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0,5 µg/m</w:t>
            </w:r>
            <w:r>
              <w:rPr>
                <w:rFonts w:ascii="Times New Roman" w:eastAsia="Aptos" w:hAnsi="Times New Roman" w:cs="Times New Roman"/>
                <w:sz w:val="24"/>
                <w:szCs w:val="24"/>
                <w:vertAlign w:val="superscript"/>
              </w:rPr>
              <w:t xml:space="preserve">3</w:t>
            </w:r>
          </w:p>
        </w:tc>
        <w:tc>
          <w:tcPr>
            <w:tcW w:w="325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w:t>
            </w:r>
          </w:p>
        </w:tc>
      </w:tr>
    </w:tbl>
    <w:p>
      <w:pPr>
        <w:pBdr/>
        <w:pStyle w:val="Normal"/>
        <w:spacing w:line="278" w:lineRule="auto"/>
        <w:ind/>
        <w:jc w:val="both"/>
        <w:rPr>
          <w:rFonts w:ascii="Arial" w:eastAsia="Arial" w:hAnsi="Arial" w:cs="Arial"/>
          <w:sz w:val="24"/>
          <w:szCs w:val="24"/>
        </w:rPr>
      </w:pPr>
      <w:r>
        <w:rPr>
          <w:rFonts w:ascii="Arial" w:eastAsia="Arial" w:hAnsi="Arial" w:cs="Arial"/>
          <w:sz w:val="24"/>
          <w:szCs w:val="24"/>
          <w:vertAlign w:val="superscript"/>
        </w:rPr>
        <w:t xml:space="preserve">(1)</w:t>
      </w:r>
      <w:r>
        <w:rPr>
          <w:rFonts w:ascii="Arial" w:eastAsia="Arial" w:hAnsi="Arial" w:cs="Arial"/>
          <w:sz w:val="24"/>
          <w:szCs w:val="24"/>
        </w:rPr>
        <w:t xml:space="preserve"> Najviša dnevna osmosatna srednja vrijednost koncentracije odabire se na temelju ispitivanja osmosatnih pomičnih prosjeka, izračunanih iz jednosatnih podataka i ažuriranih svaki sat. Svaki tako izračunan osmosatni prosjek pripisuje se danu kada završava, tj. prvo obračunsko razdoblje za bilo koji dan bit će razdoblje od 17 sati prethodnog dana do 1 sat tog dana; posljednje obračunsko razdoblje za 1 dan bit će razdoblje od 16 sati do 24 sata tog dana.</w:t>
      </w:r>
    </w:p>
    <w:p>
      <w:pPr>
        <w:pBdr/>
        <w:pStyle w:val="Normal"/>
        <w:spacing w:line="278" w:lineRule="auto"/>
        <w:ind/>
        <w:rPr>
          <w:rFonts w:ascii="Arial" w:eastAsia="Arial" w:hAnsi="Arial" w:cs="Arial"/>
          <w:sz w:val="24"/>
          <w:szCs w:val="24"/>
        </w:rPr>
      </w:pPr>
    </w:p>
    <w:p>
      <w:pPr>
        <w:pBdr/>
        <w:pStyle w:val="Normal"/>
        <w:spacing w:line="278" w:lineRule="auto"/>
        <w:ind/>
        <w:jc w:val="both"/>
        <w:rPr>
          <w:rFonts w:ascii="Arial" w:eastAsia="Arial" w:hAnsi="Arial" w:cs="Arial"/>
          <w:b/>
          <w:bCs/>
          <w:sz w:val="24"/>
          <w:szCs w:val="24"/>
        </w:rPr>
      </w:pPr>
      <w:r>
        <w:rPr>
          <w:rFonts w:ascii="Arial" w:eastAsia="Arial" w:hAnsi="Arial" w:cs="Arial"/>
          <w:b/>
          <w:bCs/>
          <w:sz w:val="24"/>
          <w:szCs w:val="24"/>
        </w:rPr>
        <w:t xml:space="preserve">Tablica 3. – Ciljne vrijednosti za zaštitu zdravlja ljudi koje treba postići do 11. prosinca 2026.</w:t>
      </w:r>
    </w:p>
    <w:tbl>
      <w:tblPr>
        <w:tblStyle w:val="Rešetka tablice2"/>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3020"/>
        <w:gridCol w:w="2784"/>
        <w:gridCol w:w="3258"/>
      </w:tblGrid>
      <w:tr>
        <w:tblPrEx>
          <w:tblBorders/>
        </w:tblPrEx>
        <w:trPr>
          <w:trHeight w:hRule="atLeast" w:val="454"/>
        </w:trPr>
        <w:tc>
          <w:tcPr>
            <w:tcW w:w="3020"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2784"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Razdoblje računanja prosjeka</w:t>
            </w:r>
          </w:p>
        </w:tc>
        <w:tc>
          <w:tcPr>
            <w:tcW w:w="325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Ciljna vrijednost</w:t>
            </w:r>
          </w:p>
        </w:tc>
      </w:tr>
      <w:tr>
        <w:tblPrEx>
          <w:tblBorders/>
        </w:tblPrEx>
        <w:trPr>
          <w:trHeight w:hRule="atLeast" w:val="454"/>
        </w:trPr>
        <w:tc>
          <w:tcPr>
            <w:tcW w:w="3020"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Arsen (As) </w:t>
            </w:r>
          </w:p>
        </w:tc>
        <w:tc>
          <w:tcPr>
            <w:tcW w:w="2784"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325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6,0 ng/m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3020"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Kadmij (Cd) </w:t>
            </w:r>
          </w:p>
        </w:tc>
        <w:tc>
          <w:tcPr>
            <w:tcW w:w="2784"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325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5,0 ng/m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3020"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Nikal (Ni) </w:t>
            </w:r>
          </w:p>
        </w:tc>
        <w:tc>
          <w:tcPr>
            <w:tcW w:w="2784"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325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20 ng/m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3020"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Benzo(a)piren </w:t>
            </w:r>
          </w:p>
        </w:tc>
        <w:tc>
          <w:tcPr>
            <w:tcW w:w="2784"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325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1,0 ng/m</w:t>
            </w:r>
            <w:r>
              <w:rPr>
                <w:rFonts w:ascii="Times New Roman" w:eastAsia="Aptos" w:hAnsi="Times New Roman" w:cs="Times New Roman"/>
                <w:sz w:val="24"/>
                <w:szCs w:val="24"/>
                <w:vertAlign w:val="superscript"/>
              </w:rPr>
              <w:t xml:space="preserve">3</w:t>
            </w:r>
          </w:p>
        </w:tc>
      </w:tr>
    </w:tbl>
    <w:p>
      <w:pPr>
        <w:pBdr/>
        <w:pStyle w:val="Normal"/>
        <w:spacing w:line="278" w:lineRule="auto"/>
        <w:ind/>
        <w:rPr>
          <w:rFonts w:ascii="Arial" w:eastAsia="Arial" w:hAnsi="Arial" w:cs="Arial"/>
          <w:sz w:val="24"/>
          <w:szCs w:val="24"/>
        </w:rPr>
      </w:pPr>
    </w:p>
    <w:p>
      <w:pPr>
        <w:pBdr/>
        <w:pStyle w:val="Normal"/>
        <w:spacing w:line="278" w:lineRule="auto"/>
        <w:ind/>
        <w:jc w:val="both"/>
        <w:rPr>
          <w:rFonts w:ascii="Arial" w:eastAsia="Arial" w:hAnsi="Arial" w:cs="Arial"/>
          <w:b/>
          <w:bCs/>
          <w:sz w:val="24"/>
          <w:szCs w:val="24"/>
        </w:rPr>
      </w:pPr>
      <w:r>
        <w:rPr>
          <w:rFonts w:ascii="Arial" w:eastAsia="Arial" w:hAnsi="Arial" w:cs="Arial"/>
          <w:b/>
          <w:bCs/>
          <w:sz w:val="24"/>
          <w:szCs w:val="24"/>
        </w:rPr>
        <w:t xml:space="preserve">Odjeljak 2. – Ciljne vrijednosti i dugoročni ciljevi za prizemni ozon</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Definicije i kriteriji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„Akumulirana izloženost prizemnom ozonu viša od praga od 40 dijelova na milijardu” (AOT40), izražena u „(μg/m</w:t>
      </w:r>
      <w:r>
        <w:rPr>
          <w:rFonts w:ascii="Arial" w:eastAsia="Arial" w:hAnsi="Arial" w:cs="Arial"/>
          <w:sz w:val="24"/>
          <w:szCs w:val="24"/>
          <w:vertAlign w:val="superscript"/>
        </w:rPr>
        <w:t xml:space="preserve">3</w:t>
      </w:r>
      <w:r>
        <w:rPr>
          <w:rFonts w:ascii="Arial" w:eastAsia="Arial" w:hAnsi="Arial" w:cs="Arial"/>
          <w:sz w:val="24"/>
          <w:szCs w:val="24"/>
        </w:rPr>
        <w:t xml:space="preserve">) × sati”, označava zbroj razlike između koncentracija svakog sata koje su veće od 80 μg/m</w:t>
      </w:r>
      <w:r>
        <w:rPr>
          <w:rFonts w:ascii="Arial" w:eastAsia="Arial" w:hAnsi="Arial" w:cs="Arial"/>
          <w:sz w:val="24"/>
          <w:szCs w:val="24"/>
          <w:vertAlign w:val="superscript"/>
        </w:rPr>
        <w:t xml:space="preserve">3</w:t>
      </w:r>
      <w:r>
        <w:rPr>
          <w:rFonts w:ascii="Arial" w:eastAsia="Arial" w:hAnsi="Arial" w:cs="Arial"/>
          <w:sz w:val="24"/>
          <w:szCs w:val="24"/>
        </w:rPr>
        <w:t xml:space="preserve"> (= 40 dijelova na milijardu) i 80 μg/m</w:t>
      </w:r>
      <w:r>
        <w:rPr>
          <w:rFonts w:ascii="Arial" w:eastAsia="Arial" w:hAnsi="Arial" w:cs="Arial"/>
          <w:sz w:val="24"/>
          <w:szCs w:val="24"/>
          <w:vertAlign w:val="superscript"/>
        </w:rPr>
        <w:t xml:space="preserve">3</w:t>
      </w:r>
      <w:r>
        <w:rPr>
          <w:rFonts w:ascii="Arial" w:eastAsia="Arial" w:hAnsi="Arial" w:cs="Arial"/>
          <w:sz w:val="24"/>
          <w:szCs w:val="24"/>
        </w:rPr>
        <w:t xml:space="preserve"> u zadanom razdoblju, koristeći samo jednosatne vrijednosti, izmjerene svakog dana između 8 i 20 sati po srednjoeuropskom vremenu (CET).</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Ciljne vrijednosti za prizemni ozon</w:t>
      </w:r>
    </w:p>
    <w:tbl>
      <w:tblPr>
        <w:tblStyle w:val="Rešetka tablice2"/>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1838"/>
        <w:gridCol w:w="2126"/>
        <w:gridCol w:w="2410"/>
        <w:gridCol w:w="2688"/>
      </w:tblGrid>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Cilj</w:t>
            </w:r>
          </w:p>
        </w:tc>
        <w:tc>
          <w:tcPr>
            <w:tcW w:w="2126"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Razdoblje računanja prosjeka</w:t>
            </w:r>
          </w:p>
        </w:tc>
        <w:tc>
          <w:tcPr>
            <w:tcW w:w="5098" w:type="dxa"/>
            <w:tcBorders/>
            <w:shd w:fill="auto" w:color="auto"/>
            <w:vAlign w:val="center"/>
            <w:gridSpan w:val="2"/>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Ciljna vrijednost</w:t>
            </w:r>
          </w:p>
        </w:tc>
      </w:tr>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Zaštita zdravlja ljudi</w:t>
            </w:r>
          </w:p>
        </w:tc>
        <w:tc>
          <w:tcPr>
            <w:tcW w:w="2126"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Najviša dnevna osmosatna srednja vrijednost </w:t>
            </w:r>
            <w:r>
              <w:rPr>
                <w:rFonts w:ascii="Times New Roman" w:eastAsia="Aptos" w:hAnsi="Times New Roman" w:cs="Times New Roman"/>
                <w:sz w:val="24"/>
                <w:szCs w:val="24"/>
                <w:vertAlign w:val="superscript"/>
              </w:rPr>
              <w:t xml:space="preserve">(1)</w:t>
            </w:r>
          </w:p>
        </w:tc>
        <w:tc>
          <w:tcPr>
            <w:tcW w:w="2410"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120 µg/m</w:t>
            </w:r>
            <w:r>
              <w:rPr>
                <w:rFonts w:ascii="Times New Roman" w:eastAsia="Aptos" w:hAnsi="Times New Roman" w:cs="Times New Roman"/>
                <w:sz w:val="24"/>
                <w:szCs w:val="24"/>
                <w:vertAlign w:val="superscript"/>
              </w:rPr>
              <w:t xml:space="preserve">3</w:t>
            </w:r>
          </w:p>
        </w:tc>
        <w:tc>
          <w:tcPr>
            <w:tcW w:w="268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ne smije se prekoračiti više od 18 dana po kalendarskoj godini prema prosjeku za 3 godine </w:t>
            </w:r>
            <w:r>
              <w:rPr>
                <w:rFonts w:ascii="Times New Roman" w:eastAsia="Aptos" w:hAnsi="Times New Roman" w:cs="Times New Roman"/>
                <w:sz w:val="24"/>
                <w:szCs w:val="24"/>
                <w:vertAlign w:val="superscript"/>
              </w:rPr>
              <w:t xml:space="preserve">(2) (3)</w:t>
            </w:r>
          </w:p>
        </w:tc>
      </w:tr>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Zaštita vegetacije</w:t>
            </w:r>
          </w:p>
        </w:tc>
        <w:tc>
          <w:tcPr>
            <w:tcW w:w="2126"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Od svibnja do srpnja</w:t>
            </w:r>
          </w:p>
        </w:tc>
        <w:tc>
          <w:tcPr>
            <w:tcW w:w="2410" w:type="dxa"/>
            <w:tcBorders>
              <w:right w:val="nil"/>
            </w:tcBorders>
            <w:shd w:fill="auto" w:color="auto"/>
            <w:vAlign w:val="center"/>
          </w:tcPr>
          <w:p>
            <w:pPr>
              <w:pBdr/>
              <w:pStyle w:val="Normal"/>
              <w:spacing w:before="60"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AOT40 (izračunato na temelju jednosatne vrijednosti)</w:t>
            </w:r>
          </w:p>
        </w:tc>
        <w:tc>
          <w:tcPr>
            <w:tcW w:w="2688" w:type="dxa"/>
            <w:tcBorders>
              <w:left w:val="nil"/>
            </w:tcBorders>
            <w:shd w:fill="auto" w:color="auto"/>
            <w:vAlign w:val="center"/>
          </w:tcPr>
          <w:p>
            <w:pPr>
              <w:pBdr/>
              <w:pStyle w:val="Normal"/>
              <w:spacing w:before="60"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18 000 µg/m</w:t>
            </w:r>
            <w:r>
              <w:rPr>
                <w:rFonts w:ascii="Times New Roman" w:eastAsia="Aptos" w:hAnsi="Times New Roman" w:cs="Times New Roman"/>
                <w:sz w:val="24"/>
                <w:szCs w:val="24"/>
                <w:vertAlign w:val="superscript"/>
              </w:rPr>
              <w:t xml:space="preserve">3 x </w:t>
            </w:r>
            <w:r>
              <w:rPr>
                <w:rFonts w:ascii="Times New Roman" w:eastAsia="Aptos" w:hAnsi="Times New Roman" w:cs="Times New Roman"/>
                <w:sz w:val="24"/>
                <w:szCs w:val="24"/>
              </w:rPr>
              <w:t xml:space="preserve">h kao prosjek pet godina </w:t>
            </w:r>
            <w:r>
              <w:rPr>
                <w:rFonts w:ascii="Times New Roman" w:eastAsia="Aptos" w:hAnsi="Times New Roman" w:cs="Times New Roman"/>
                <w:sz w:val="24"/>
                <w:szCs w:val="24"/>
                <w:vertAlign w:val="superscript"/>
              </w:rPr>
              <w:t xml:space="preserve">(2)</w:t>
            </w:r>
          </w:p>
        </w:tc>
      </w:tr>
    </w:tbl>
    <w:p>
      <w:pPr>
        <w:pBdr/>
        <w:pStyle w:val="Normal"/>
        <w:spacing w:line="278" w:lineRule="auto"/>
        <w:ind/>
        <w:jc w:val="both"/>
        <w:rPr>
          <w:rFonts w:ascii="Arial" w:eastAsia="Arial" w:hAnsi="Arial" w:cs="Arial"/>
          <w:sz w:val="24"/>
          <w:szCs w:val="24"/>
        </w:rPr>
      </w:pPr>
      <w:r>
        <w:rPr>
          <w:rFonts w:ascii="Arial" w:eastAsia="Arial" w:hAnsi="Arial" w:cs="Arial"/>
          <w:sz w:val="24"/>
          <w:szCs w:val="24"/>
          <w:vertAlign w:val="superscript"/>
        </w:rPr>
        <w:t xml:space="preserve">(1)</w:t>
      </w:r>
      <w:r>
        <w:rPr>
          <w:rFonts w:ascii="Arial" w:eastAsia="Arial" w:hAnsi="Arial" w:cs="Arial"/>
          <w:sz w:val="24"/>
          <w:szCs w:val="24"/>
        </w:rPr>
        <w:t xml:space="preserve"> Najviša dnevna osmosatna srednja vrijednost koncentracije odabire se na temelju ispitivanja osmosatnih pomičnih prosjeka, izračunanih iz jednosatnih podataka i ažuriranih svaki sat. Svaki tako izračunan osmosatni prosjek pripisuje se danu kada završava, tj. prvo obračunsko razdoblje za bilo koji dan bit će razdoblje od 17 sati prethodnog dana do 1 sat tog dana; posljednje obračunsko razdoblje za 1 dan bit će razdoblje od 16 sati do 24 sata tog dana.</w:t>
      </w:r>
    </w:p>
    <w:p>
      <w:pPr>
        <w:pBdr/>
        <w:pStyle w:val="Normal"/>
        <w:spacing w:after="0" w:line="278" w:lineRule="auto"/>
        <w:ind/>
        <w:jc w:val="both"/>
        <w:rPr>
          <w:rFonts w:ascii="Arial" w:eastAsia="Arial" w:hAnsi="Arial" w:cs="Arial"/>
          <w:sz w:val="24"/>
          <w:szCs w:val="24"/>
        </w:rPr>
      </w:pPr>
      <w:r>
        <w:rPr>
          <w:rFonts w:ascii="Arial" w:eastAsia="Arial" w:hAnsi="Arial" w:cs="Arial"/>
          <w:sz w:val="24"/>
          <w:szCs w:val="24"/>
          <w:vertAlign w:val="superscript"/>
        </w:rPr>
        <w:t xml:space="preserve">(2)</w:t>
      </w:r>
      <w:r>
        <w:rPr>
          <w:rFonts w:ascii="Arial" w:eastAsia="Arial" w:hAnsi="Arial" w:cs="Arial"/>
          <w:sz w:val="24"/>
          <w:szCs w:val="24"/>
        </w:rPr>
        <w:t xml:space="preserve"> Ako se prosjeci za tri ili pet godina ne mogu odrediti na temelju potpunog i uzastopnog niza godišnjih podataka, minimum godišnjih podataka potrebnih za provjeru sukladnosti s ciljnim vrijednostima za prizemni ozon je:</w:t>
      </w:r>
    </w:p>
    <w:p>
      <w:pPr>
        <w:pBdr/>
        <w:pStyle w:val="Normal"/>
        <w:spacing w:after="0" w:line="278" w:lineRule="auto"/>
        <w:ind/>
        <w:jc w:val="both"/>
        <w:rPr>
          <w:rFonts w:ascii="Arial" w:eastAsia="Arial" w:hAnsi="Arial" w:cs="Arial"/>
          <w:sz w:val="24"/>
          <w:szCs w:val="24"/>
        </w:rPr>
      </w:pPr>
      <w:r>
        <w:rPr>
          <w:rFonts w:ascii="Arial" w:eastAsia="Arial" w:hAnsi="Arial" w:cs="Arial"/>
          <w:sz w:val="24"/>
          <w:szCs w:val="24"/>
        </w:rPr>
        <w:t xml:space="preserve">— za ciljnu vrijednost za zaštitu zdravlja ljudi: valjani podatci za godinu dana,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 za ciljnu vrijednost za zaštitu vegetacije: valjani podatci za tri godine.</w:t>
      </w:r>
    </w:p>
    <w:p>
      <w:pPr>
        <w:pBdr/>
        <w:pStyle w:val="Normal"/>
        <w:spacing w:line="278" w:lineRule="auto"/>
        <w:ind/>
        <w:jc w:val="both"/>
        <w:rPr>
          <w:rFonts w:ascii="Arial" w:eastAsia="Arial" w:hAnsi="Arial" w:cs="Arial"/>
          <w:sz w:val="24"/>
          <w:szCs w:val="24"/>
        </w:rPr>
      </w:pPr>
      <w:r>
        <w:rPr>
          <w:rFonts w:ascii="Arial" w:eastAsia="Arial" w:hAnsi="Arial" w:cs="Arial"/>
          <w:sz w:val="24"/>
          <w:szCs w:val="24"/>
          <w:vertAlign w:val="superscript"/>
        </w:rPr>
        <w:t xml:space="preserve">(3)</w:t>
      </w:r>
      <w:r>
        <w:rPr>
          <w:rFonts w:ascii="Arial" w:eastAsia="Arial" w:hAnsi="Arial" w:cs="Arial"/>
          <w:sz w:val="24"/>
          <w:szCs w:val="24"/>
        </w:rPr>
        <w:t xml:space="preserve"> Do 1. siječnja 2030. 120 μg/m3 ne smije se prekoračiti više od 25 dana po kalendarskoj godini prema prosjeku za 3 godine.</w:t>
      </w:r>
    </w:p>
    <w:p>
      <w:pPr>
        <w:pBdr/>
        <w:pStyle w:val="Normal"/>
        <w:spacing w:line="278" w:lineRule="auto"/>
        <w:ind/>
        <w:rPr>
          <w:rFonts w:ascii="Arial" w:eastAsia="Arial" w:hAnsi="Arial" w:cs="Arial"/>
          <w:sz w:val="24"/>
          <w:szCs w:val="24"/>
        </w:rPr>
      </w:pPr>
    </w:p>
    <w:p>
      <w:pPr>
        <w:pBdr/>
        <w:pStyle w:val="Normal"/>
        <w:spacing w:line="278" w:lineRule="auto"/>
        <w:ind/>
        <w:rPr>
          <w:rFonts w:ascii="Arial" w:eastAsia="Arial" w:hAnsi="Arial" w:cs="Arial"/>
          <w:sz w:val="24"/>
          <w:szCs w:val="24"/>
        </w:rPr>
      </w:pPr>
      <w:r>
        <w:rPr>
          <w:rFonts w:ascii="Arial" w:eastAsia="Arial" w:hAnsi="Arial" w:cs="Arial"/>
          <w:sz w:val="24"/>
          <w:szCs w:val="24"/>
        </w:rPr>
        <w:t xml:space="preserve">C. Dugoročni ciljevi za prizemni ozon (O</w:t>
      </w:r>
      <w:r>
        <w:rPr>
          <w:rFonts w:ascii="Arial" w:eastAsia="Arial" w:hAnsi="Arial" w:cs="Arial"/>
          <w:sz w:val="24"/>
          <w:szCs w:val="24"/>
          <w:vertAlign w:val="subscript"/>
        </w:rPr>
        <w:t xml:space="preserve">3</w:t>
      </w:r>
      <w:r>
        <w:rPr>
          <w:rFonts w:ascii="Arial" w:eastAsia="Arial" w:hAnsi="Arial" w:cs="Arial"/>
          <w:sz w:val="24"/>
          <w:szCs w:val="24"/>
        </w:rPr>
        <w:t xml:space="preserve">) koje treba postići do 1. siječnja 2050.</w:t>
      </w:r>
    </w:p>
    <w:tbl>
      <w:tblPr>
        <w:tblStyle w:val="Rešetka tablice2"/>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1838"/>
        <w:gridCol w:w="2126"/>
        <w:gridCol w:w="2410"/>
        <w:gridCol w:w="2688"/>
      </w:tblGrid>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Cilj</w:t>
            </w:r>
          </w:p>
        </w:tc>
        <w:tc>
          <w:tcPr>
            <w:tcW w:w="2126"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Razdoblje računanja prosjeka</w:t>
            </w:r>
          </w:p>
        </w:tc>
        <w:tc>
          <w:tcPr>
            <w:tcW w:w="5098" w:type="dxa"/>
            <w:tcBorders/>
            <w:shd w:fill="auto" w:color="auto"/>
            <w:vAlign w:val="center"/>
            <w:gridSpan w:val="2"/>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Dugoročni ciljevi</w:t>
            </w:r>
          </w:p>
        </w:tc>
      </w:tr>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Zaštita zdravlja ljudi</w:t>
            </w:r>
          </w:p>
        </w:tc>
        <w:tc>
          <w:tcPr>
            <w:tcW w:w="2126"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Najviša dnevna osmosatna srednja vrijednost u kalendarskoj godini</w:t>
            </w:r>
          </w:p>
        </w:tc>
        <w:tc>
          <w:tcPr>
            <w:tcW w:w="2410"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100 µg/m</w:t>
            </w:r>
            <w:r>
              <w:rPr>
                <w:rFonts w:ascii="Times New Roman" w:eastAsia="Aptos" w:hAnsi="Times New Roman" w:cs="Times New Roman"/>
                <w:sz w:val="24"/>
                <w:szCs w:val="24"/>
                <w:vertAlign w:val="superscript"/>
              </w:rPr>
              <w:t xml:space="preserve">3</w:t>
            </w:r>
            <w:r>
              <w:rPr>
                <w:rFonts w:ascii="Times New Roman" w:eastAsia="Aptos" w:hAnsi="Times New Roman" w:cs="Times New Roman"/>
                <w:sz w:val="24"/>
                <w:szCs w:val="24"/>
              </w:rPr>
              <w:t xml:space="preserve"> ne smije se prekoračiti više od tri dana po kalendarskoj godini (99. percentil)</w:t>
            </w:r>
          </w:p>
        </w:tc>
        <w:tc>
          <w:tcPr>
            <w:tcW w:w="2688" w:type="dxa"/>
            <w:tcBorders>
              <w:lef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p>
        </w:tc>
      </w:tr>
      <w:tr>
        <w:tblPrEx>
          <w:tblBorders/>
        </w:tblPrEx>
        <w:trPr>
          <w:trHeight w:hRule="atLeast" w:val="454"/>
        </w:trPr>
        <w:tc>
          <w:tcPr>
            <w:tcW w:w="183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Zaštita vegetacije</w:t>
            </w:r>
          </w:p>
        </w:tc>
        <w:tc>
          <w:tcPr>
            <w:tcW w:w="2126"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Od svibnja do srpnja</w:t>
            </w:r>
          </w:p>
        </w:tc>
        <w:tc>
          <w:tcPr>
            <w:tcW w:w="2410" w:type="dxa"/>
            <w:tcBorders>
              <w:right w:val="nil"/>
            </w:tcBorders>
            <w:shd w:fill="auto" w:color="auto"/>
            <w:vAlign w:val="center"/>
          </w:tcPr>
          <w:p>
            <w:pPr>
              <w:pBdr/>
              <w:pStyle w:val="Normal"/>
              <w:spacing w:before="60"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AOT40 (izračunato na temelju jednosatne vrijednosti)</w:t>
            </w:r>
          </w:p>
        </w:tc>
        <w:tc>
          <w:tcPr>
            <w:tcW w:w="2688" w:type="dxa"/>
            <w:tcBorders>
              <w:left w:val="nil"/>
            </w:tcBorders>
            <w:shd w:fill="auto" w:color="auto"/>
            <w:vAlign w:val="center"/>
          </w:tcPr>
          <w:p>
            <w:pPr>
              <w:pBdr/>
              <w:pStyle w:val="Normal"/>
              <w:spacing w:before="60"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6 000 µg/m</w:t>
            </w:r>
            <w:r>
              <w:rPr>
                <w:rFonts w:ascii="Times New Roman" w:eastAsia="Aptos" w:hAnsi="Times New Roman" w:cs="Times New Roman"/>
                <w:sz w:val="24"/>
                <w:szCs w:val="24"/>
                <w:vertAlign w:val="superscript"/>
              </w:rPr>
              <w:t xml:space="preserve">3 x </w:t>
            </w:r>
            <w:r>
              <w:rPr>
                <w:rFonts w:ascii="Times New Roman" w:eastAsia="Aptos" w:hAnsi="Times New Roman" w:cs="Times New Roman"/>
                <w:sz w:val="24"/>
                <w:szCs w:val="24"/>
              </w:rPr>
              <w:t xml:space="preserve">h</w:t>
            </w:r>
          </w:p>
        </w:tc>
      </w:tr>
    </w:tbl>
    <w:p>
      <w:pPr>
        <w:pBdr/>
        <w:pStyle w:val="Normal"/>
        <w:spacing w:line="278" w:lineRule="auto"/>
        <w:ind/>
        <w:rPr>
          <w:rFonts w:ascii="Arial" w:eastAsia="Arial" w:hAnsi="Arial" w:cs="Arial"/>
          <w:b/>
          <w:bCs/>
          <w:sz w:val="24"/>
          <w:szCs w:val="24"/>
        </w:rPr>
      </w:pPr>
    </w:p>
    <w:p>
      <w:pPr>
        <w:pBdr/>
        <w:pStyle w:val="Normal"/>
        <w:spacing w:line="278" w:lineRule="auto"/>
        <w:ind/>
        <w:rPr>
          <w:rFonts w:ascii="Arial" w:eastAsia="Arial" w:hAnsi="Arial" w:cs="Arial"/>
          <w:b/>
          <w:bCs/>
          <w:sz w:val="24"/>
          <w:szCs w:val="24"/>
        </w:rPr>
      </w:pPr>
      <w:r>
        <w:rPr>
          <w:rFonts w:ascii="Arial" w:eastAsia="Arial" w:hAnsi="Arial" w:cs="Arial"/>
          <w:b/>
          <w:bCs/>
          <w:sz w:val="24"/>
          <w:szCs w:val="24"/>
        </w:rPr>
        <w:t xml:space="preserve">Odjeljak 3. – Kritične razine za zaštitu vegetacije i prirodnih ekosustava</w:t>
      </w:r>
    </w:p>
    <w:tbl>
      <w:tblPr>
        <w:tblStyle w:val="Rešetka tablice2"/>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2683"/>
        <w:gridCol w:w="3358"/>
        <w:gridCol w:w="3021"/>
      </w:tblGrid>
      <w:tr>
        <w:tblPrEx>
          <w:tblBorders/>
        </w:tblPrEx>
        <w:trPr>
          <w:trHeight w:hRule="atLeast" w:val="454"/>
        </w:trPr>
        <w:tc>
          <w:tcPr>
            <w:tcW w:w="2683"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335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Razdoblje računanja prosjeka</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Kritična razina</w:t>
            </w:r>
          </w:p>
        </w:tc>
      </w:tr>
      <w:tr>
        <w:tblPrEx>
          <w:tblBorders/>
        </w:tblPrEx>
        <w:trPr>
          <w:trHeight w:hRule="atLeast" w:val="454"/>
        </w:trPr>
        <w:tc>
          <w:tcPr>
            <w:tcW w:w="2683"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Sumporov dioksid (SO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w:t>
            </w:r>
          </w:p>
        </w:tc>
        <w:tc>
          <w:tcPr>
            <w:tcW w:w="335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 i zima </w:t>
            </w:r>
            <w:r>
              <w:rPr>
                <w:rFonts w:ascii="Times New Roman" w:eastAsia="Aptos" w:hAnsi="Times New Roman" w:cs="Times New Roman"/>
              </w:rPr>
              <w:br/>
            </w:r>
            <w:r>
              <w:rPr>
                <w:rFonts w:ascii="Times New Roman" w:eastAsia="Aptos" w:hAnsi="Times New Roman" w:cs="Times New Roman"/>
                <w:sz w:val="24"/>
                <w:szCs w:val="24"/>
              </w:rPr>
              <w:t xml:space="preserve">(od 1. listopada do 31. ožujka)</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20 μg/m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2683"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Dušikovi oksidi (NO</w:t>
            </w:r>
            <w:r>
              <w:rPr>
                <w:rFonts w:ascii="Times New Roman" w:eastAsia="Aptos" w:hAnsi="Times New Roman" w:cs="Times New Roman"/>
                <w:sz w:val="24"/>
                <w:szCs w:val="24"/>
                <w:vertAlign w:val="subscript"/>
              </w:rPr>
              <w:t xml:space="preserve">X</w:t>
            </w:r>
            <w:r>
              <w:rPr>
                <w:rFonts w:ascii="Times New Roman" w:eastAsia="Aptos" w:hAnsi="Times New Roman" w:cs="Times New Roman"/>
                <w:sz w:val="24"/>
                <w:szCs w:val="24"/>
              </w:rPr>
              <w:t xml:space="preserve">)</w:t>
            </w:r>
          </w:p>
        </w:tc>
        <w:tc>
          <w:tcPr>
            <w:tcW w:w="3358"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Kalendarska godina</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30 μg/m</w:t>
            </w:r>
            <w:r>
              <w:rPr>
                <w:rFonts w:ascii="Times New Roman" w:eastAsia="Aptos" w:hAnsi="Times New Roman" w:cs="Times New Roman"/>
                <w:sz w:val="24"/>
                <w:szCs w:val="24"/>
                <w:vertAlign w:val="superscript"/>
              </w:rPr>
              <w:t xml:space="preserve">3</w:t>
            </w:r>
          </w:p>
        </w:tc>
      </w:tr>
    </w:tbl>
    <w:p>
      <w:pPr>
        <w:pBdr/>
        <w:pStyle w:val="Normal"/>
        <w:spacing w:line="278" w:lineRule="auto"/>
        <w:ind/>
        <w:rPr>
          <w:rFonts w:ascii="Arial" w:eastAsia="Arial" w:hAnsi="Arial" w:cs="Arial"/>
          <w:sz w:val="24"/>
          <w:szCs w:val="24"/>
        </w:rPr>
      </w:pPr>
    </w:p>
    <w:p>
      <w:pPr>
        <w:pBdr/>
        <w:pStyle w:val="Normal"/>
        <w:spacing w:line="278" w:lineRule="auto"/>
        <w:ind/>
        <w:rPr>
          <w:rFonts w:ascii="Arial" w:eastAsia="Arial" w:hAnsi="Arial" w:cs="Arial"/>
          <w:b/>
          <w:bCs/>
          <w:sz w:val="24"/>
          <w:szCs w:val="24"/>
        </w:rPr>
      </w:pPr>
      <w:r>
        <w:rPr>
          <w:rFonts w:ascii="Arial" w:eastAsia="Arial" w:hAnsi="Arial" w:cs="Arial"/>
          <w:b/>
          <w:bCs/>
          <w:sz w:val="24"/>
          <w:szCs w:val="24"/>
        </w:rPr>
        <w:t xml:space="preserve">Odjeljak 4. – Pragovi upozorenja i pragovi obavješćivanja</w:t>
      </w:r>
    </w:p>
    <w:p>
      <w:pPr>
        <w:pBdr/>
        <w:pStyle w:val="Normal"/>
        <w:spacing w:line="278" w:lineRule="auto"/>
        <w:ind/>
        <w:rPr>
          <w:rFonts w:ascii="Arial" w:eastAsia="Arial" w:hAnsi="Arial" w:cs="Arial"/>
          <w:sz w:val="24"/>
          <w:szCs w:val="24"/>
        </w:rPr>
      </w:pPr>
      <w:r>
        <w:rPr>
          <w:rFonts w:ascii="Arial" w:eastAsia="Arial" w:hAnsi="Arial" w:cs="Arial"/>
          <w:sz w:val="24"/>
          <w:szCs w:val="24"/>
        </w:rPr>
        <w:t xml:space="preserve">A. Pragovi upozorenja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Mjeri se satni prosjek tijekom tri uzastopna sata u slučaju sumporova dioksida i dušikova dioksida, a dnevni prosjek tijekom tri uzastopna dana ili manje za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na mjestima reprezentativnima za kvalitetu zraka za najmanje 100 km</w:t>
      </w:r>
      <w:r>
        <w:rPr>
          <w:rFonts w:ascii="Arial" w:eastAsia="Arial" w:hAnsi="Arial" w:cs="Arial"/>
          <w:sz w:val="24"/>
          <w:szCs w:val="24"/>
          <w:vertAlign w:val="superscript"/>
        </w:rPr>
        <w:t xml:space="preserve">2</w:t>
      </w:r>
      <w:r>
        <w:rPr>
          <w:rFonts w:ascii="Arial" w:eastAsia="Arial" w:hAnsi="Arial" w:cs="Arial"/>
          <w:sz w:val="24"/>
          <w:szCs w:val="24"/>
        </w:rPr>
        <w:t xml:space="preserve"> ili cijelu zonu, ovisno o tome što je manje.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Mjeri se tijekom jednog sata za prizemni ozon; za potrebe primjene članka 52 ovoga Zakona prekoračenje praga treba mjeriti ili predviđati tijekom tri uzastopna sata.</w:t>
      </w:r>
    </w:p>
    <w:tbl>
      <w:tblPr>
        <w:tblStyle w:val="Rešetka tablice2"/>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2689"/>
        <w:gridCol w:w="3352"/>
        <w:gridCol w:w="3021"/>
      </w:tblGrid>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3352"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Razdoblje računanja prosjeka</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Prag upozorenja</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Sumporov dioksid (SO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w:t>
            </w:r>
          </w:p>
        </w:tc>
        <w:tc>
          <w:tcPr>
            <w:tcW w:w="3352" w:type="dxa"/>
            <w:tcBorders/>
            <w:shd w:fill="auto" w:color="auto"/>
            <w:vAlign w:val="top"/>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sat</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350 µg/m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Dušikov dioksid (NO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w:t>
            </w:r>
          </w:p>
        </w:tc>
        <w:tc>
          <w:tcPr>
            <w:tcW w:w="3352" w:type="dxa"/>
            <w:tcBorders/>
            <w:shd w:fill="auto" w:color="auto"/>
            <w:vAlign w:val="top"/>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sat</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200 µg/m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2,5</w:t>
            </w:r>
          </w:p>
        </w:tc>
        <w:tc>
          <w:tcPr>
            <w:tcW w:w="3352" w:type="dxa"/>
            <w:tcBorders/>
            <w:shd w:fill="auto" w:color="auto"/>
            <w:vAlign w:val="top"/>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50 µg/m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10</w:t>
            </w:r>
          </w:p>
        </w:tc>
        <w:tc>
          <w:tcPr>
            <w:tcW w:w="3352" w:type="dxa"/>
            <w:tcBorders/>
            <w:shd w:fill="auto" w:color="auto"/>
            <w:vAlign w:val="top"/>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90 µg/m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Prizemni ozon</w:t>
            </w:r>
          </w:p>
        </w:tc>
        <w:tc>
          <w:tcPr>
            <w:tcW w:w="3352" w:type="dxa"/>
            <w:tcBorders/>
            <w:shd w:fill="auto" w:color="auto"/>
            <w:vAlign w:val="top"/>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sat</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240 µg/m</w:t>
            </w:r>
            <w:r>
              <w:rPr>
                <w:rFonts w:ascii="Times New Roman" w:eastAsia="Aptos" w:hAnsi="Times New Roman" w:cs="Times New Roman"/>
                <w:sz w:val="24"/>
                <w:szCs w:val="24"/>
                <w:vertAlign w:val="superscript"/>
              </w:rPr>
              <w:t xml:space="preserve">3</w:t>
            </w:r>
          </w:p>
        </w:tc>
      </w:tr>
    </w:tbl>
    <w:p>
      <w:pPr>
        <w:pBdr/>
        <w:pStyle w:val="Normal"/>
        <w:spacing w:line="278" w:lineRule="auto"/>
        <w:ind/>
        <w:rPr>
          <w:rFonts w:ascii="Arial" w:eastAsia="Arial" w:hAnsi="Arial" w:cs="Arial"/>
          <w:sz w:val="24"/>
          <w:szCs w:val="24"/>
        </w:rPr>
      </w:pP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Pragovi obavješćivanja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Mjeri se tijekom jednog sata u slučaju sumporova dioksida i dušikova dioksida, a tijekom jednog dana za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na mjestima reprezentativnima za kvalitetu zraka za najmanje 100 km</w:t>
      </w:r>
      <w:r>
        <w:rPr>
          <w:rFonts w:ascii="Arial" w:eastAsia="Arial" w:hAnsi="Arial" w:cs="Arial"/>
          <w:sz w:val="24"/>
          <w:szCs w:val="24"/>
          <w:vertAlign w:val="superscript"/>
        </w:rPr>
        <w:t xml:space="preserve">2</w:t>
      </w:r>
      <w:r>
        <w:rPr>
          <w:rFonts w:ascii="Arial" w:eastAsia="Arial" w:hAnsi="Arial" w:cs="Arial"/>
          <w:sz w:val="24"/>
          <w:szCs w:val="24"/>
        </w:rPr>
        <w:t xml:space="preserve"> ili cijelu zonu, ovisno o tome što je manje.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Mjeri se tijekom jednog sata za prizemni ozon.</w:t>
      </w:r>
    </w:p>
    <w:tbl>
      <w:tblPr>
        <w:tblStyle w:val="Rešetka tablice2"/>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2689"/>
        <w:gridCol w:w="3352"/>
        <w:gridCol w:w="3021"/>
      </w:tblGrid>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3352"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Razdoblje računanja prosjeka</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Prag obavješćivanja</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Sumporov dioksid (SO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w:t>
            </w:r>
          </w:p>
        </w:tc>
        <w:tc>
          <w:tcPr>
            <w:tcW w:w="3352" w:type="dxa"/>
            <w:tcBorders/>
            <w:shd w:fill="auto" w:color="auto"/>
            <w:vAlign w:val="top"/>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sat</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275 µg/m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Dušikov dioksid (NO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w:t>
            </w:r>
          </w:p>
        </w:tc>
        <w:tc>
          <w:tcPr>
            <w:tcW w:w="3352" w:type="dxa"/>
            <w:tcBorders/>
            <w:shd w:fill="auto" w:color="auto"/>
            <w:vAlign w:val="top"/>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sat</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150 µg/m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2,5</w:t>
            </w:r>
          </w:p>
        </w:tc>
        <w:tc>
          <w:tcPr>
            <w:tcW w:w="3352" w:type="dxa"/>
            <w:tcBorders/>
            <w:shd w:fill="auto" w:color="auto"/>
            <w:vAlign w:val="top"/>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50 µg/m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10</w:t>
            </w:r>
          </w:p>
        </w:tc>
        <w:tc>
          <w:tcPr>
            <w:tcW w:w="3352" w:type="dxa"/>
            <w:tcBorders/>
            <w:shd w:fill="auto" w:color="auto"/>
            <w:vAlign w:val="top"/>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dan</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90 µg/m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Prizemni ozon</w:t>
            </w:r>
          </w:p>
        </w:tc>
        <w:tc>
          <w:tcPr>
            <w:tcW w:w="3352" w:type="dxa"/>
            <w:tcBorders/>
            <w:shd w:fill="auto" w:color="auto"/>
            <w:vAlign w:val="top"/>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 sat</w:t>
            </w:r>
          </w:p>
        </w:tc>
        <w:tc>
          <w:tcPr>
            <w:tcW w:w="302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180 µg/m</w:t>
            </w:r>
            <w:r>
              <w:rPr>
                <w:rFonts w:ascii="Times New Roman" w:eastAsia="Aptos" w:hAnsi="Times New Roman" w:cs="Times New Roman"/>
                <w:sz w:val="24"/>
                <w:szCs w:val="24"/>
                <w:vertAlign w:val="superscript"/>
              </w:rPr>
              <w:t xml:space="preserve">3</w:t>
            </w:r>
          </w:p>
        </w:tc>
      </w:tr>
    </w:tbl>
    <w:p>
      <w:pPr>
        <w:pBdr/>
        <w:pStyle w:val="Normal"/>
        <w:spacing w:line="278" w:lineRule="auto"/>
        <w:ind/>
        <w:jc w:val="both"/>
        <w:rPr>
          <w:rFonts w:ascii="Arial" w:eastAsia="Arial" w:hAnsi="Arial" w:cs="Arial"/>
          <w:b/>
          <w:bCs/>
          <w:sz w:val="24"/>
          <w:szCs w:val="24"/>
        </w:rPr>
      </w:pPr>
    </w:p>
    <w:p>
      <w:pPr>
        <w:pBdr/>
        <w:pStyle w:val="Normal"/>
        <w:spacing w:line="278" w:lineRule="auto"/>
        <w:ind/>
        <w:jc w:val="both"/>
        <w:rPr>
          <w:rFonts w:ascii="Arial" w:eastAsia="Arial" w:hAnsi="Arial" w:cs="Arial"/>
          <w:b/>
          <w:bCs/>
          <w:sz w:val="24"/>
          <w:szCs w:val="24"/>
          <w:vertAlign w:val="subscript"/>
        </w:rPr>
      </w:pPr>
      <w:r>
        <w:rPr>
          <w:rFonts w:ascii="Arial" w:eastAsia="Arial" w:hAnsi="Arial" w:cs="Arial"/>
          <w:b/>
          <w:bCs/>
          <w:sz w:val="24"/>
          <w:szCs w:val="24"/>
        </w:rPr>
        <w:t xml:space="preserve">Odjeljak 5. – Obveza smanjenja prosječne izloženosti za PM</w:t>
      </w:r>
      <w:r>
        <w:rPr>
          <w:rFonts w:ascii="Arial" w:eastAsia="Arial" w:hAnsi="Arial" w:cs="Arial"/>
          <w:b/>
          <w:bCs/>
          <w:sz w:val="24"/>
          <w:szCs w:val="24"/>
          <w:vertAlign w:val="subscript"/>
        </w:rPr>
        <w:t xml:space="preserve">2,5</w:t>
      </w:r>
      <w:r>
        <w:rPr>
          <w:rFonts w:ascii="Arial" w:eastAsia="Arial" w:hAnsi="Arial" w:cs="Arial"/>
          <w:b/>
          <w:bCs/>
          <w:sz w:val="24"/>
          <w:szCs w:val="24"/>
        </w:rPr>
        <w:t xml:space="preserve"> i NO</w:t>
      </w:r>
      <w:r>
        <w:rPr>
          <w:rFonts w:ascii="Arial" w:eastAsia="Arial" w:hAnsi="Arial" w:cs="Arial"/>
          <w:b/>
          <w:bCs/>
          <w:sz w:val="24"/>
          <w:szCs w:val="24"/>
          <w:vertAlign w:val="subscript"/>
        </w:rPr>
        <w:t xml:space="preserve">2</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Pokazatelj prosječne izloženosti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Pokazatelj prosječne izloženosti izražen u μg/m</w:t>
      </w:r>
      <w:r>
        <w:rPr>
          <w:rFonts w:ascii="Arial" w:eastAsia="Arial" w:hAnsi="Arial" w:cs="Arial"/>
          <w:sz w:val="24"/>
          <w:szCs w:val="24"/>
          <w:vertAlign w:val="superscript"/>
        </w:rPr>
        <w:t xml:space="preserve">3</w:t>
      </w:r>
      <w:r>
        <w:rPr>
          <w:rFonts w:ascii="Arial" w:eastAsia="Arial" w:hAnsi="Arial" w:cs="Arial"/>
          <w:sz w:val="24"/>
          <w:szCs w:val="24"/>
        </w:rPr>
        <w:t xml:space="preserve"> (PPI) temelji se na mjerenjima na svim točkama uzorkovanja na gradskim pozadinskim lokacijama u prostornim jedinicama prosječne izloženosti na cijelom državnom području države članice. Procjenjuje se kao prosječna godišnja srednja vrijednost koncentracije u tri kalendarske godine na svim točkama uzorkovanja relevantne onečišćujuće tvari utvrđene u skladu s pravilnikom iz članka 23. ovoga Zakona u svakoj prostornoj jedinici prosječne izloženosti. PPI za određenu godinu srednja je koncentracija te iste godine i prethodne dvije godine.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Ako države članice utvrde prekoračenja koja se mogu pripisati prirodnim izvorima, onečišćenja iz prirodnih izvora odbijaju se prije izračuna PPI-</w:t>
      </w:r>
      <w:r>
        <w:rPr>
          <w:rFonts w:ascii="Arial" w:eastAsia="Arial" w:hAnsi="Arial" w:cs="Arial"/>
          <w:sz w:val="24"/>
          <w:szCs w:val="24"/>
        </w:rPr>
        <w:t xml:space="preserve">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PPI se koristi za ispitivanje je li ispunjena obveza smanjenja prosječne izloženosti.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Obveze smanjenja prosječne izloženosti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Od 2030. PPI ne smije prekoračiti razinu koja 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1. za PM</w:t>
      </w:r>
      <w:r>
        <w:rPr>
          <w:rFonts w:ascii="Arial" w:eastAsia="Arial" w:hAnsi="Arial" w:cs="Arial"/>
          <w:sz w:val="24"/>
          <w:szCs w:val="24"/>
          <w:vertAlign w:val="subscript"/>
        </w:rPr>
        <w:t xml:space="preserve">2,5</w:t>
      </w:r>
      <w:r>
        <w:rPr>
          <w:rFonts w:ascii="Arial" w:eastAsia="Arial" w:hAnsi="Arial" w:cs="Arial"/>
          <w:sz w:val="24"/>
          <w:szCs w:val="24"/>
        </w:rPr>
        <w:t xml:space="preserv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kada je 10 godina ranije PPI odgovarao &lt; 10,0 μg/m</w:t>
      </w:r>
      <w:r>
        <w:rPr>
          <w:rFonts w:ascii="Arial" w:eastAsia="Arial" w:hAnsi="Arial" w:cs="Arial"/>
          <w:sz w:val="24"/>
          <w:szCs w:val="24"/>
          <w:vertAlign w:val="superscript"/>
        </w:rPr>
        <w:t xml:space="preserve">3</w:t>
      </w:r>
      <w:r>
        <w:rPr>
          <w:rFonts w:ascii="Arial" w:eastAsia="Arial" w:hAnsi="Arial" w:cs="Arial"/>
          <w:sz w:val="24"/>
          <w:szCs w:val="24"/>
        </w:rPr>
        <w:t xml:space="preserve">: 10 % niža od PPI-</w:t>
      </w:r>
      <w:r>
        <w:rPr>
          <w:rFonts w:ascii="Arial" w:eastAsia="Arial" w:hAnsi="Arial" w:cs="Arial"/>
          <w:sz w:val="24"/>
          <w:szCs w:val="24"/>
        </w:rPr>
        <w:t xml:space="preserve">ja kakav je bio prije 10 godina ili 8,5 μg/m</w:t>
      </w:r>
      <w:r>
        <w:rPr>
          <w:rFonts w:ascii="Arial" w:eastAsia="Arial" w:hAnsi="Arial" w:cs="Arial"/>
          <w:sz w:val="24"/>
          <w:szCs w:val="24"/>
          <w:vertAlign w:val="superscript"/>
        </w:rPr>
        <w:t xml:space="preserve">3</w:t>
      </w:r>
      <w:r>
        <w:rPr>
          <w:rFonts w:ascii="Arial" w:eastAsia="Arial" w:hAnsi="Arial" w:cs="Arial"/>
          <w:sz w:val="24"/>
          <w:szCs w:val="24"/>
        </w:rPr>
        <w:t xml:space="preserve"> odnosno nižu od te dvije vrijednosti, osim ako PPI već nije viši od cilja prosječne koncentracije izloženosti za PM</w:t>
      </w:r>
      <w:r>
        <w:rPr>
          <w:rFonts w:ascii="Arial" w:eastAsia="Arial" w:hAnsi="Arial" w:cs="Arial"/>
          <w:sz w:val="24"/>
          <w:szCs w:val="24"/>
          <w:vertAlign w:val="subscript"/>
        </w:rPr>
        <w:t xml:space="preserve">2,5</w:t>
      </w:r>
      <w:r>
        <w:rPr>
          <w:rFonts w:ascii="Arial" w:eastAsia="Arial" w:hAnsi="Arial" w:cs="Arial"/>
          <w:sz w:val="24"/>
          <w:szCs w:val="24"/>
        </w:rPr>
        <w:t xml:space="preserve"> utvrđenog u točki C.</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kada je 10 godina ranije PPI odgovarao &lt; 12,0 μg/m</w:t>
      </w:r>
      <w:r>
        <w:rPr>
          <w:rFonts w:ascii="Arial" w:eastAsia="Arial" w:hAnsi="Arial" w:cs="Arial"/>
          <w:sz w:val="24"/>
          <w:szCs w:val="24"/>
          <w:vertAlign w:val="superscript"/>
        </w:rPr>
        <w:t xml:space="preserve">3</w:t>
      </w:r>
      <w:r>
        <w:rPr>
          <w:rFonts w:ascii="Arial" w:eastAsia="Arial" w:hAnsi="Arial" w:cs="Arial"/>
          <w:sz w:val="24"/>
          <w:szCs w:val="24"/>
        </w:rPr>
        <w:t xml:space="preserve"> i ≥ 10,0 μg/m</w:t>
      </w:r>
      <w:r>
        <w:rPr>
          <w:rFonts w:ascii="Arial" w:eastAsia="Arial" w:hAnsi="Arial" w:cs="Arial"/>
          <w:sz w:val="24"/>
          <w:szCs w:val="24"/>
          <w:vertAlign w:val="superscript"/>
        </w:rPr>
        <w:t xml:space="preserve">3</w:t>
      </w:r>
      <w:r>
        <w:rPr>
          <w:rFonts w:ascii="Arial" w:eastAsia="Arial" w:hAnsi="Arial" w:cs="Arial"/>
          <w:sz w:val="24"/>
          <w:szCs w:val="24"/>
        </w:rPr>
        <w:t xml:space="preserve">: 15 % niža od PPI-</w:t>
      </w:r>
      <w:r>
        <w:rPr>
          <w:rFonts w:ascii="Arial" w:eastAsia="Arial" w:hAnsi="Arial" w:cs="Arial"/>
          <w:sz w:val="24"/>
          <w:szCs w:val="24"/>
        </w:rPr>
        <w:t xml:space="preserve">ja kakav je bio prije 10 godina ili 9,0 μg/m</w:t>
      </w:r>
      <w:r>
        <w:rPr>
          <w:rFonts w:ascii="Arial" w:eastAsia="Arial" w:hAnsi="Arial" w:cs="Arial"/>
          <w:sz w:val="24"/>
          <w:szCs w:val="24"/>
          <w:vertAlign w:val="superscript"/>
        </w:rPr>
        <w:t xml:space="preserve">3</w:t>
      </w:r>
      <w:r>
        <w:rPr>
          <w:rFonts w:ascii="Arial" w:eastAsia="Arial" w:hAnsi="Arial" w:cs="Arial"/>
          <w:sz w:val="24"/>
          <w:szCs w:val="24"/>
        </w:rPr>
        <w:t xml:space="preserve"> odnosno nižu od te dvije vrijednosti;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 kada je 10 godina ranije PPI odgovarao ≥ 12,0 μg/m</w:t>
      </w:r>
      <w:r>
        <w:rPr>
          <w:rFonts w:ascii="Arial" w:eastAsia="Arial" w:hAnsi="Arial" w:cs="Arial"/>
          <w:sz w:val="24"/>
          <w:szCs w:val="24"/>
          <w:vertAlign w:val="superscript"/>
        </w:rPr>
        <w:t xml:space="preserve">3</w:t>
      </w:r>
      <w:r>
        <w:rPr>
          <w:rFonts w:ascii="Arial" w:eastAsia="Arial" w:hAnsi="Arial" w:cs="Arial"/>
          <w:sz w:val="24"/>
          <w:szCs w:val="24"/>
        </w:rPr>
        <w:t xml:space="preserve">: 25 % niža od PPI-</w:t>
      </w:r>
      <w:r>
        <w:rPr>
          <w:rFonts w:ascii="Arial" w:eastAsia="Arial" w:hAnsi="Arial" w:cs="Arial"/>
          <w:sz w:val="24"/>
          <w:szCs w:val="24"/>
        </w:rPr>
        <w:t xml:space="preserve">ja kakav je bio prije 10 godina;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2. za NO</w:t>
      </w:r>
      <w:r>
        <w:rPr>
          <w:rFonts w:ascii="Arial" w:eastAsia="Arial" w:hAnsi="Arial" w:cs="Arial"/>
          <w:sz w:val="24"/>
          <w:szCs w:val="24"/>
          <w:vertAlign w:val="subscript"/>
        </w:rPr>
        <w:t xml:space="preserve">2</w:t>
      </w:r>
      <w:r>
        <w:rPr>
          <w:rFonts w:ascii="Arial" w:eastAsia="Arial" w:hAnsi="Arial" w:cs="Arial"/>
          <w:sz w:val="24"/>
          <w:szCs w:val="24"/>
        </w:rPr>
        <w:t xml:space="preserv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kada je 10 godina ranije PPI odgovarao &lt; 20,0 μg/m</w:t>
      </w:r>
      <w:r>
        <w:rPr>
          <w:rFonts w:ascii="Arial" w:eastAsia="Arial" w:hAnsi="Arial" w:cs="Arial"/>
          <w:sz w:val="24"/>
          <w:szCs w:val="24"/>
          <w:vertAlign w:val="superscript"/>
        </w:rPr>
        <w:t xml:space="preserve">3</w:t>
      </w:r>
      <w:r>
        <w:rPr>
          <w:rFonts w:ascii="Arial" w:eastAsia="Arial" w:hAnsi="Arial" w:cs="Arial"/>
          <w:sz w:val="24"/>
          <w:szCs w:val="24"/>
        </w:rPr>
        <w:t xml:space="preserve">: 15 % niža od PPI-</w:t>
      </w:r>
      <w:r>
        <w:rPr>
          <w:rFonts w:ascii="Arial" w:eastAsia="Arial" w:hAnsi="Arial" w:cs="Arial"/>
          <w:sz w:val="24"/>
          <w:szCs w:val="24"/>
        </w:rPr>
        <w:t xml:space="preserve">ja kakav je bio prije 10 godina ili 15,0 μg/m</w:t>
      </w:r>
      <w:r>
        <w:rPr>
          <w:rFonts w:ascii="Arial" w:eastAsia="Arial" w:hAnsi="Arial" w:cs="Arial"/>
          <w:sz w:val="24"/>
          <w:szCs w:val="24"/>
          <w:vertAlign w:val="superscript"/>
        </w:rPr>
        <w:t xml:space="preserve">3</w:t>
      </w:r>
      <w:r>
        <w:rPr>
          <w:rFonts w:ascii="Arial" w:eastAsia="Arial" w:hAnsi="Arial" w:cs="Arial"/>
          <w:sz w:val="24"/>
          <w:szCs w:val="24"/>
        </w:rPr>
        <w:t xml:space="preserve">, odnosno nižu od te dvije vrijednosti, osim ako PPI već nije viši od cilja prosječne koncentracije izloženosti za NO</w:t>
      </w:r>
      <w:r>
        <w:rPr>
          <w:rFonts w:ascii="Arial" w:eastAsia="Arial" w:hAnsi="Arial" w:cs="Arial"/>
          <w:sz w:val="24"/>
          <w:szCs w:val="24"/>
          <w:vertAlign w:val="subscript"/>
        </w:rPr>
        <w:t xml:space="preserve">2</w:t>
      </w:r>
      <w:r>
        <w:rPr>
          <w:rFonts w:ascii="Arial" w:eastAsia="Arial" w:hAnsi="Arial" w:cs="Arial"/>
          <w:sz w:val="24"/>
          <w:szCs w:val="24"/>
        </w:rPr>
        <w:t xml:space="preserve"> utvrđenog u točki C;</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kada je 10 godina ranije PPI odgovarao ≥ 20,0 μg/m</w:t>
      </w:r>
      <w:r>
        <w:rPr>
          <w:rFonts w:ascii="Arial" w:eastAsia="Arial" w:hAnsi="Arial" w:cs="Arial"/>
          <w:sz w:val="24"/>
          <w:szCs w:val="24"/>
          <w:vertAlign w:val="superscript"/>
        </w:rPr>
        <w:t xml:space="preserve">3</w:t>
      </w:r>
      <w:r>
        <w:rPr>
          <w:rFonts w:ascii="Arial" w:eastAsia="Arial" w:hAnsi="Arial" w:cs="Arial"/>
          <w:sz w:val="24"/>
          <w:szCs w:val="24"/>
        </w:rPr>
        <w:t xml:space="preserve">: 25 % niža od PPI-</w:t>
      </w:r>
      <w:r>
        <w:rPr>
          <w:rFonts w:ascii="Arial" w:eastAsia="Arial" w:hAnsi="Arial" w:cs="Arial"/>
          <w:sz w:val="24"/>
          <w:szCs w:val="24"/>
        </w:rPr>
        <w:t xml:space="preserve">ja kakav je bio prije 10 godina.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Pri izračunu razina za 2030., 2031. i 2032. godinu mogu se isključiti 2020. iz izračuna PPI-ja za baznu godinu.</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 Ciljane prosječne razine izloženosti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Cilj prosječne koncentracije izloženosti sljedeća je razina PPI-</w:t>
      </w:r>
      <w:r>
        <w:rPr>
          <w:rFonts w:ascii="Arial" w:eastAsia="Arial" w:hAnsi="Arial" w:cs="Arial"/>
          <w:sz w:val="24"/>
          <w:szCs w:val="24"/>
        </w:rPr>
        <w:t xml:space="preserve">ja.</w:t>
      </w:r>
    </w:p>
    <w:tbl>
      <w:tblPr>
        <w:tblStyle w:val="Rešetka tablice2"/>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2972"/>
        <w:gridCol w:w="6090"/>
      </w:tblGrid>
      <w:tr>
        <w:tblPrEx>
          <w:tblBorders/>
        </w:tblPrEx>
        <w:trPr>
          <w:trHeight w:hRule="atLeast" w:val="454"/>
        </w:trPr>
        <w:tc>
          <w:tcPr>
            <w:tcW w:w="2972"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6090"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Cilj prosječne razine izloženosti</w:t>
            </w:r>
          </w:p>
        </w:tc>
      </w:tr>
      <w:tr>
        <w:tblPrEx>
          <w:tblBorders/>
        </w:tblPrEx>
        <w:trPr>
          <w:trHeight w:hRule="atLeast" w:val="454"/>
        </w:trPr>
        <w:tc>
          <w:tcPr>
            <w:tcW w:w="2972"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2,5</w:t>
            </w:r>
          </w:p>
        </w:tc>
        <w:tc>
          <w:tcPr>
            <w:tcW w:w="6090"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PPI = 5 μg/m</w:t>
            </w:r>
            <w:r>
              <w:rPr>
                <w:rFonts w:ascii="Times New Roman" w:eastAsia="Aptos" w:hAnsi="Times New Roman" w:cs="Times New Roman"/>
                <w:sz w:val="24"/>
                <w:szCs w:val="24"/>
                <w:vertAlign w:val="superscript"/>
              </w:rPr>
              <w:t xml:space="preserve">3</w:t>
            </w:r>
          </w:p>
        </w:tc>
      </w:tr>
      <w:tr>
        <w:tblPrEx>
          <w:tblBorders/>
        </w:tblPrEx>
        <w:trPr>
          <w:trHeight w:hRule="atLeast" w:val="454"/>
        </w:trPr>
        <w:tc>
          <w:tcPr>
            <w:tcW w:w="2972"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NO</w:t>
            </w:r>
            <w:r>
              <w:rPr>
                <w:rFonts w:ascii="Times New Roman" w:eastAsia="Aptos" w:hAnsi="Times New Roman" w:cs="Times New Roman"/>
                <w:sz w:val="24"/>
                <w:szCs w:val="24"/>
                <w:vertAlign w:val="subscript"/>
              </w:rPr>
              <w:t xml:space="preserve">2</w:t>
            </w:r>
          </w:p>
        </w:tc>
        <w:tc>
          <w:tcPr>
            <w:tcW w:w="6090"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PPI = 10 μg/m</w:t>
            </w:r>
            <w:r>
              <w:rPr>
                <w:rFonts w:ascii="Times New Roman" w:eastAsia="Aptos" w:hAnsi="Times New Roman" w:cs="Times New Roman"/>
                <w:sz w:val="24"/>
                <w:szCs w:val="24"/>
                <w:vertAlign w:val="superscript"/>
              </w:rPr>
              <w:t xml:space="preserve">3</w:t>
            </w:r>
          </w:p>
        </w:tc>
      </w:tr>
    </w:tbl>
    <w:p>
      <w:pPr>
        <w:pBdr/>
        <w:pStyle w:val="Normal"/>
        <w:spacing w:line="278" w:lineRule="auto"/>
        <w:ind/>
        <w:rPr>
          <w:rFonts w:ascii="Arial" w:eastAsia="Arial" w:hAnsi="Arial" w:cs="Arial"/>
          <w:sz w:val="24"/>
          <w:szCs w:val="24"/>
        </w:rPr>
      </w:pPr>
    </w:p>
    <w:p>
      <w:pPr>
        <w:pBdr/>
        <w:pStyle w:val="Normal"/>
        <w:spacing/>
        <w:ind/>
        <w:rPr>
          <w:rFonts w:ascii="Arial" w:eastAsia="Arial" w:hAnsi="Arial" w:cs="Arial"/>
          <w:sz w:val="24"/>
          <w:szCs w:val="24"/>
        </w:rPr>
      </w:pPr>
      <w:r>
        <w:rPr>
          <w:rFonts w:ascii="Arial" w:eastAsia="Arial" w:hAnsi="Arial" w:cs="Arial"/>
          <w:sz w:val="24"/>
          <w:szCs w:val="24"/>
        </w:rPr>
        <w:br w:type="page"/>
      </w:r>
    </w:p>
    <w:p>
      <w:pPr>
        <w:pBdr/>
        <w:pStyle w:val="Heading 2"/>
        <w:spacing/>
        <w:ind/>
        <w:rPr>
          <w:rFonts w:ascii="Arial" w:eastAsia="Arial" w:hAnsi="Arial" w:cs="Arial"/>
        </w:rPr>
      </w:pPr>
      <w:r>
        <w:rPr>
          <w:rFonts w:ascii="Arial" w:eastAsia="Arial" w:hAnsi="Arial" w:cs="Arial"/>
        </w:rPr>
        <w:t xml:space="preserve">DODATAK II. </w:t>
      </w:r>
    </w:p>
    <w:p>
      <w:pPr>
        <w:pBdr/>
        <w:pStyle w:val="Heading 2"/>
        <w:spacing/>
        <w:ind/>
        <w:rPr>
          <w:rFonts w:ascii="Arial" w:eastAsia="Arial" w:hAnsi="Arial" w:cs="Arial"/>
        </w:rPr>
      </w:pPr>
      <w:r>
        <w:rPr>
          <w:rFonts w:ascii="Arial" w:eastAsia="Arial" w:hAnsi="Arial" w:cs="Arial"/>
        </w:rPr>
        <w:t xml:space="preserve">PRAGOVI PROCJENE</w:t>
      </w:r>
    </w:p>
    <w:p>
      <w:pPr>
        <w:pBdr/>
        <w:pStyle w:val="Normal"/>
        <w:spacing w:line="278" w:lineRule="auto"/>
        <w:ind/>
        <w:jc w:val="center"/>
        <w:rPr>
          <w:rFonts w:ascii="Arial" w:eastAsia="Arial" w:hAnsi="Arial" w:cs="Arial"/>
          <w:b/>
          <w:bCs/>
          <w:sz w:val="24"/>
          <w:szCs w:val="24"/>
        </w:rPr>
      </w:pPr>
    </w:p>
    <w:p>
      <w:pPr>
        <w:pBdr/>
        <w:pStyle w:val="Normal"/>
        <w:spacing w:line="278" w:lineRule="auto"/>
        <w:ind/>
        <w:rPr>
          <w:rFonts w:ascii="Arial" w:eastAsia="Arial" w:hAnsi="Arial" w:cs="Arial"/>
          <w:b/>
          <w:bCs/>
          <w:sz w:val="24"/>
          <w:szCs w:val="24"/>
        </w:rPr>
      </w:pPr>
      <w:r>
        <w:rPr>
          <w:rFonts w:ascii="Arial" w:eastAsia="Arial" w:hAnsi="Arial" w:cs="Arial"/>
          <w:b/>
          <w:bCs/>
          <w:sz w:val="24"/>
          <w:szCs w:val="24"/>
        </w:rPr>
        <w:t xml:space="preserve">Odjeljak 1. – Pragovi procjene za zaštitu zdravlja</w:t>
      </w:r>
    </w:p>
    <w:tbl>
      <w:tblPr>
        <w:tblStyle w:val="Rešetka tablice3"/>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2689"/>
        <w:gridCol w:w="1842"/>
        <w:gridCol w:w="4531"/>
      </w:tblGrid>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6373" w:type="dxa"/>
            <w:tcBorders/>
            <w:shd w:fill="auto" w:color="auto"/>
            <w:vAlign w:val="center"/>
            <w:gridSpan w:val="2"/>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Prag procjene (godišnja srednja vrijednost, osim ako je utvrđen)</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2,5</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5 µg/m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10</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15 µg/m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Dušikov dioksid (NO</w:t>
            </w:r>
            <w:r>
              <w:rPr>
                <w:rFonts w:ascii="Times New Roman" w:eastAsia="Aptos" w:hAnsi="Times New Roman" w:cs="Times New Roman"/>
                <w:sz w:val="24"/>
                <w:szCs w:val="24"/>
                <w:vertAlign w:val="subscript"/>
              </w:rPr>
              <w:t xml:space="preserve">2)</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10 µg/m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Sumporov dioksid (SO</w:t>
            </w:r>
            <w:r>
              <w:rPr>
                <w:rFonts w:ascii="Times New Roman" w:eastAsia="Aptos" w:hAnsi="Times New Roman" w:cs="Times New Roman"/>
                <w:sz w:val="24"/>
                <w:szCs w:val="24"/>
                <w:vertAlign w:val="subscript"/>
              </w:rPr>
              <w:t xml:space="preserve">2)</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40 µg/m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(srednja vrijednost 24 sata) </w:t>
            </w:r>
            <w:r>
              <w:rPr>
                <w:rFonts w:ascii="Times New Roman" w:eastAsia="Aptos" w:hAnsi="Times New Roman" w:cs="Times New Roman"/>
                <w:sz w:val="24"/>
                <w:szCs w:val="24"/>
                <w:vertAlign w:val="superscript"/>
              </w:rPr>
              <w:t xml:space="preserve">(1)</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Benzen</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1,7 µg/m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Ugljikov monoksid (CO)</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4 mg/m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(srednja vrijednost 24 sata) </w:t>
            </w:r>
            <w:r>
              <w:rPr>
                <w:rFonts w:ascii="Times New Roman" w:eastAsia="Aptos" w:hAnsi="Times New Roman" w:cs="Times New Roman"/>
                <w:sz w:val="24"/>
                <w:szCs w:val="24"/>
                <w:vertAlign w:val="superscript"/>
              </w:rPr>
              <w:t xml:space="preserve">(1)</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Olovo (Pb)</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0,25 µg/m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Arsen (As)</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3,0 ng/m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Kadmij (Cd)</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2,5 ng/m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Nikal (Ni)</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10 ng/m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Benzo(a)piren</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0,30 ng/m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Prizemni ozon (O</w:t>
            </w:r>
            <w:r>
              <w:rPr>
                <w:rFonts w:ascii="Times New Roman" w:eastAsia="Aptos" w:hAnsi="Times New Roman" w:cs="Times New Roman"/>
                <w:sz w:val="24"/>
                <w:szCs w:val="24"/>
                <w:vertAlign w:val="subscript"/>
              </w:rPr>
              <w:t xml:space="preserve">3</w:t>
            </w:r>
            <w:r>
              <w:rPr>
                <w:rFonts w:ascii="Times New Roman" w:eastAsia="Aptos" w:hAnsi="Times New Roman" w:cs="Times New Roman"/>
                <w:sz w:val="24"/>
                <w:szCs w:val="24"/>
              </w:rPr>
              <w:t xml:space="preserve">)</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100 µg/m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(najviša osmosatna srednja vrijednost) </w:t>
            </w:r>
            <w:r>
              <w:rPr>
                <w:rFonts w:ascii="Times New Roman" w:eastAsia="Aptos" w:hAnsi="Times New Roman" w:cs="Times New Roman"/>
                <w:sz w:val="24"/>
                <w:szCs w:val="24"/>
                <w:vertAlign w:val="superscript"/>
              </w:rPr>
              <w:t xml:space="preserve">(1)</w:t>
            </w:r>
          </w:p>
        </w:tc>
      </w:tr>
    </w:tbl>
    <w:p>
      <w:pPr>
        <w:pBdr/>
        <w:pStyle w:val="Normal"/>
        <w:spacing w:line="278" w:lineRule="auto"/>
        <w:ind/>
        <w:rPr>
          <w:rFonts w:ascii="Arial" w:eastAsia="Arial" w:hAnsi="Arial" w:cs="Arial"/>
          <w:sz w:val="24"/>
          <w:szCs w:val="24"/>
        </w:rPr>
      </w:pPr>
      <w:r>
        <w:rPr>
          <w:rFonts w:ascii="Arial" w:eastAsia="Arial" w:hAnsi="Arial" w:cs="Arial"/>
          <w:sz w:val="24"/>
          <w:szCs w:val="24"/>
          <w:vertAlign w:val="superscript"/>
        </w:rPr>
        <w:t xml:space="preserve">(1)</w:t>
      </w:r>
      <w:r>
        <w:rPr>
          <w:rFonts w:ascii="Arial" w:eastAsia="Arial" w:hAnsi="Arial" w:cs="Arial"/>
          <w:sz w:val="24"/>
          <w:szCs w:val="24"/>
        </w:rPr>
        <w:t xml:space="preserve"> 99. percentil, tj. tri dana prekoračenja godišnje.</w:t>
      </w:r>
    </w:p>
    <w:p>
      <w:pPr>
        <w:pBdr/>
        <w:pStyle w:val="Normal"/>
        <w:spacing w:line="278" w:lineRule="auto"/>
        <w:ind/>
        <w:rPr>
          <w:rFonts w:ascii="Arial" w:eastAsia="Arial" w:hAnsi="Arial" w:cs="Arial"/>
          <w:sz w:val="24"/>
          <w:szCs w:val="24"/>
        </w:rPr>
      </w:pPr>
    </w:p>
    <w:p>
      <w:pPr>
        <w:pBdr/>
        <w:pStyle w:val="Normal"/>
        <w:spacing w:line="278" w:lineRule="auto"/>
        <w:ind/>
        <w:rPr>
          <w:rFonts w:ascii="Arial" w:eastAsia="Arial" w:hAnsi="Arial" w:cs="Arial"/>
          <w:b/>
          <w:bCs/>
          <w:sz w:val="24"/>
          <w:szCs w:val="24"/>
        </w:rPr>
      </w:pPr>
      <w:r>
        <w:rPr>
          <w:rFonts w:ascii="Arial" w:eastAsia="Arial" w:hAnsi="Arial" w:cs="Arial"/>
          <w:b/>
          <w:bCs/>
          <w:sz w:val="24"/>
          <w:szCs w:val="24"/>
        </w:rPr>
        <w:t xml:space="preserve">Odjeljak 2. – Pragovi procjene za zaštitu vegetacije i prirodnih ekosustava</w:t>
      </w:r>
    </w:p>
    <w:tbl>
      <w:tblPr>
        <w:tblStyle w:val="Rešetka tablice3"/>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2689"/>
        <w:gridCol w:w="1842"/>
        <w:gridCol w:w="4531"/>
      </w:tblGrid>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6373" w:type="dxa"/>
            <w:tcBorders/>
            <w:shd w:fill="auto" w:color="auto"/>
            <w:vAlign w:val="center"/>
            <w:gridSpan w:val="2"/>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Prag procjene (godišnja srednja vrijednost, osim ako je utvrđen)</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Sumporov dioksid (SO</w:t>
            </w:r>
            <w:r>
              <w:rPr>
                <w:rFonts w:ascii="Times New Roman" w:eastAsia="Aptos" w:hAnsi="Times New Roman" w:cs="Times New Roman"/>
                <w:sz w:val="24"/>
                <w:szCs w:val="24"/>
                <w:vertAlign w:val="subscript"/>
              </w:rPr>
              <w:t xml:space="preserve">2)</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8 µg/m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0" w:line="240"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(prosjek od 1. listopada do 31. ožujka)</w:t>
            </w:r>
          </w:p>
        </w:tc>
      </w:tr>
      <w:tr>
        <w:tblPrEx>
          <w:tblBorders/>
        </w:tblPrEx>
        <w:trPr>
          <w:trHeight w:hRule="atLeast" w:val="454"/>
        </w:trPr>
        <w:tc>
          <w:tcPr>
            <w:tcW w:w="26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Dušikovi oksidi (NO</w:t>
            </w:r>
            <w:r>
              <w:rPr>
                <w:rFonts w:ascii="Times New Roman" w:eastAsia="Aptos" w:hAnsi="Times New Roman" w:cs="Times New Roman"/>
                <w:sz w:val="24"/>
                <w:szCs w:val="24"/>
                <w:vertAlign w:val="subscript"/>
              </w:rPr>
              <w:t xml:space="preserve">X)</w:t>
            </w:r>
          </w:p>
        </w:tc>
        <w:tc>
          <w:tcPr>
            <w:tcW w:w="1842" w:type="dxa"/>
            <w:tcBorders>
              <w:right w:val="nil"/>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19,5 µg/m</w:t>
            </w:r>
            <w:r>
              <w:rPr>
                <w:rFonts w:ascii="Times New Roman" w:eastAsia="Aptos" w:hAnsi="Times New Roman" w:cs="Times New Roman"/>
                <w:sz w:val="24"/>
                <w:szCs w:val="24"/>
                <w:vertAlign w:val="superscript"/>
              </w:rPr>
              <w:t xml:space="preserve">3</w:t>
            </w:r>
          </w:p>
        </w:tc>
        <w:tc>
          <w:tcPr>
            <w:tcW w:w="4531" w:type="dxa"/>
            <w:tcBorders>
              <w:left w:val="nil"/>
            </w:tcBorders>
            <w:shd w:fill="auto" w:color="auto"/>
            <w:vAlign w:val="center"/>
          </w:tcPr>
          <w:p>
            <w:pPr>
              <w:pBdr/>
              <w:pStyle w:val="Normal"/>
              <w:spacing w:after="160" w:line="278" w:lineRule="auto"/>
              <w:ind/>
              <w:rPr>
                <w:rFonts w:ascii="Times New Roman" w:eastAsia="Aptos" w:hAnsi="Times New Roman" w:cs="Times New Roman"/>
                <w:sz w:val="24"/>
                <w:szCs w:val="24"/>
              </w:rPr>
            </w:pPr>
          </w:p>
        </w:tc>
      </w:tr>
    </w:tbl>
    <w:p>
      <w:pPr>
        <w:pBdr/>
        <w:pStyle w:val="Normal"/>
        <w:spacing w:line="278" w:lineRule="auto"/>
        <w:ind/>
        <w:rPr>
          <w:rFonts w:ascii="Arial" w:eastAsia="Arial" w:hAnsi="Arial" w:cs="Arial"/>
          <w:sz w:val="24"/>
          <w:szCs w:val="24"/>
        </w:rPr>
      </w:pPr>
    </w:p>
    <w:p>
      <w:pPr>
        <w:pBdr/>
        <w:pStyle w:val="Normal"/>
        <w:spacing/>
        <w:ind/>
        <w:rPr>
          <w:rFonts w:ascii="Arial" w:eastAsia="Arial" w:hAnsi="Arial" w:cs="Arial"/>
          <w:sz w:val="24"/>
          <w:szCs w:val="24"/>
        </w:rPr>
      </w:pPr>
      <w:r>
        <w:rPr>
          <w:rFonts w:ascii="Arial" w:eastAsia="Arial" w:hAnsi="Arial" w:cs="Arial"/>
          <w:sz w:val="24"/>
          <w:szCs w:val="24"/>
        </w:rPr>
        <w:br w:type="page"/>
      </w:r>
    </w:p>
    <w:p>
      <w:pPr>
        <w:pBdr/>
        <w:pStyle w:val="Heading 2"/>
        <w:spacing/>
        <w:ind/>
        <w:rPr>
          <w:rFonts w:ascii="Arial" w:eastAsia="Arial" w:hAnsi="Arial" w:cs="Arial"/>
        </w:rPr>
      </w:pPr>
      <w:r>
        <w:rPr>
          <w:rFonts w:ascii="Arial" w:eastAsia="Arial" w:hAnsi="Arial" w:cs="Arial"/>
        </w:rPr>
        <w:t xml:space="preserve">DODATAK III. </w:t>
      </w:r>
    </w:p>
    <w:p>
      <w:pPr>
        <w:pBdr/>
        <w:pStyle w:val="Heading 2"/>
        <w:spacing/>
        <w:ind/>
        <w:rPr>
          <w:rFonts w:ascii="Arial" w:eastAsia="Arial" w:hAnsi="Arial" w:cs="Arial"/>
        </w:rPr>
      </w:pPr>
      <w:r>
        <w:rPr>
          <w:rFonts w:ascii="Arial" w:eastAsia="Arial" w:hAnsi="Arial" w:cs="Arial"/>
        </w:rPr>
        <w:t xml:space="preserve">STANDARDI KVALITETE ŽIVLJENJA</w:t>
      </w:r>
    </w:p>
    <w:p>
      <w:pPr>
        <w:pBdr/>
        <w:pStyle w:val="Normal"/>
        <w:spacing w:line="278" w:lineRule="auto"/>
        <w:ind/>
        <w:rPr>
          <w:rFonts w:ascii="Arial" w:eastAsia="Arial" w:hAnsi="Arial" w:cs="Arial"/>
          <w:sz w:val="24"/>
          <w:szCs w:val="24"/>
        </w:rPr>
      </w:pPr>
    </w:p>
    <w:p>
      <w:pPr>
        <w:pBdr/>
        <w:pStyle w:val="Normal"/>
        <w:spacing w:line="278" w:lineRule="auto"/>
        <w:ind/>
        <w:rPr>
          <w:rFonts w:ascii="Arial" w:eastAsia="Arial" w:hAnsi="Arial" w:cs="Arial"/>
          <w:b/>
          <w:bCs/>
          <w:sz w:val="24"/>
          <w:szCs w:val="24"/>
        </w:rPr>
      </w:pPr>
      <w:r>
        <w:rPr>
          <w:rFonts w:ascii="Arial" w:eastAsia="Arial" w:hAnsi="Arial" w:cs="Arial"/>
          <w:b/>
          <w:bCs/>
          <w:sz w:val="24"/>
          <w:szCs w:val="24"/>
        </w:rPr>
        <w:t xml:space="preserve">Dodijavanje mirisima</w:t>
      </w:r>
    </w:p>
    <w:p>
      <w:pPr>
        <w:pBdr/>
        <w:pStyle w:val="Normal"/>
        <w:spacing w:after="120"/>
        <w:ind/>
        <w:jc w:val="both"/>
        <w:rPr>
          <w:rFonts w:ascii="Arial" w:eastAsia="Arial" w:hAnsi="Arial" w:cs="Arial"/>
          <w:b/>
          <w:bCs/>
          <w:sz w:val="24"/>
          <w:szCs w:val="24"/>
        </w:rPr>
      </w:pPr>
      <w:r>
        <w:rPr>
          <w:rFonts w:ascii="Arial" w:eastAsia="Arial" w:hAnsi="Arial" w:cs="Arial"/>
          <w:b/>
          <w:bCs/>
          <w:sz w:val="24"/>
          <w:szCs w:val="24"/>
        </w:rPr>
        <w:t xml:space="preserve">Tablica 1. Granične vrijednosti koncentracija onečišćujućih tvari u zraku s obzirom na kvalitetu življenja (dodijavanje mirisom)</w:t>
      </w:r>
    </w:p>
    <w:tbl>
      <w:tblPr>
        <w:tblStyle w:val="Rešetka tablice4"/>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1980"/>
        <w:gridCol w:w="1627"/>
        <w:gridCol w:w="1288"/>
        <w:gridCol w:w="4167"/>
      </w:tblGrid>
      <w:tr>
        <w:tblPrEx>
          <w:tblBorders/>
        </w:tblPrEx>
        <w:trPr>
          <w:trHeight w:hRule="atLeast" w:val="20"/>
        </w:trPr>
        <w:tc>
          <w:tcPr>
            <w:tcW w:w="1980"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Onečišćujuća tvar</w:t>
            </w:r>
          </w:p>
        </w:tc>
        <w:tc>
          <w:tcPr>
            <w:tcW w:w="1627"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Vrijeme usrednjavanja</w:t>
            </w:r>
          </w:p>
        </w:tc>
        <w:tc>
          <w:tcPr>
            <w:tcW w:w="1288"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Granična</w:t>
            </w:r>
            <w:r>
              <w:rPr>
                <w:rFonts w:ascii="Times New Roman" w:eastAsia="Calibri" w:hAnsi="Times New Roman" w:cs="Times New Roman"/>
              </w:rPr>
              <w:br/>
            </w:r>
            <w:r>
              <w:rPr>
                <w:rFonts w:ascii="Times New Roman" w:eastAsia="Calibri" w:hAnsi="Times New Roman" w:cs="Times New Roman"/>
                <w:sz w:val="24"/>
                <w:szCs w:val="24"/>
              </w:rPr>
              <w:t xml:space="preserve">vrijednost (GV)</w:t>
            </w:r>
          </w:p>
        </w:tc>
        <w:tc>
          <w:tcPr>
            <w:tcW w:w="4167"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Učestalost dozvoljenih prekoračenja</w:t>
            </w:r>
          </w:p>
        </w:tc>
      </w:tr>
      <w:tr>
        <w:tblPrEx>
          <w:tblBorders/>
        </w:tblPrEx>
        <w:trPr>
          <w:trHeight w:hRule="atLeast" w:val="20"/>
        </w:trPr>
        <w:tc>
          <w:tcPr>
            <w:tcW w:w="1980" w:type="dxa"/>
            <w:tcBorders/>
            <w:shd w:fill="auto" w:color="auto"/>
            <w:vAlign w:val="center"/>
            <w:vMerge w:val="restart"/>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Sumporovodik (H</w:t>
            </w:r>
            <w:r>
              <w:rPr>
                <w:rFonts w:ascii="Times New Roman" w:eastAsia="Calibri" w:hAnsi="Times New Roman" w:cs="Times New Roman"/>
                <w:sz w:val="24"/>
                <w:szCs w:val="24"/>
                <w:vertAlign w:val="subscript"/>
              </w:rPr>
              <w:t xml:space="preserve">2</w:t>
            </w:r>
            <w:r>
              <w:rPr>
                <w:rFonts w:ascii="Times New Roman" w:eastAsia="Calibri" w:hAnsi="Times New Roman" w:cs="Times New Roman"/>
                <w:sz w:val="24"/>
                <w:szCs w:val="24"/>
              </w:rPr>
              <w:t xml:space="preserve">S)</w:t>
            </w:r>
          </w:p>
        </w:tc>
        <w:tc>
          <w:tcPr>
            <w:tcW w:w="1627"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1 sat</w:t>
            </w:r>
          </w:p>
        </w:tc>
        <w:tc>
          <w:tcPr>
            <w:tcW w:w="1288"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7 µg/m</w:t>
            </w:r>
            <w:r>
              <w:rPr>
                <w:rFonts w:ascii="Times New Roman" w:eastAsia="Calibri" w:hAnsi="Times New Roman" w:cs="Times New Roman"/>
                <w:sz w:val="24"/>
                <w:szCs w:val="24"/>
                <w:vertAlign w:val="superscript"/>
              </w:rPr>
              <w:t xml:space="preserve">3</w:t>
            </w:r>
          </w:p>
        </w:tc>
        <w:tc>
          <w:tcPr>
            <w:tcW w:w="4167" w:type="dxa"/>
            <w:tcBorders/>
            <w:shd w:fill="auto" w:color="auto"/>
            <w:vAlign w:val="center"/>
          </w:tcPr>
          <w:p>
            <w:pPr>
              <w:pBdr/>
              <w:pStyle w:val="Normal"/>
              <w:spacing w:after="120" w:line="259" w:lineRule="auto"/>
              <w:ind/>
              <w:jc w:val="both"/>
              <w:rPr>
                <w:rFonts w:ascii="Times New Roman" w:eastAsia="Calibri" w:hAnsi="Times New Roman" w:cs="Times New Roman"/>
                <w:sz w:val="24"/>
                <w:szCs w:val="24"/>
              </w:rPr>
            </w:pPr>
            <w:r>
              <w:rPr>
                <w:rFonts w:ascii="Times New Roman" w:eastAsia="Calibri" w:hAnsi="Times New Roman" w:cs="Times New Roman"/>
                <w:iCs/>
                <w:sz w:val="24"/>
                <w:szCs w:val="24"/>
              </w:rPr>
              <w:t xml:space="preserve">GV ne smije biti prekoračena više od 24 puta tijekom kalendarske godine</w:t>
            </w:r>
          </w:p>
        </w:tc>
      </w:tr>
      <w:tr>
        <w:tblPrEx>
          <w:tblBorders/>
        </w:tblPrEx>
        <w:trPr>
          <w:trHeight w:hRule="atLeast" w:val="20"/>
        </w:trPr>
        <w:tc>
          <w:tcPr>
            <w:tcW w:w="1980" w:type="dxa"/>
            <w:tcBorders/>
            <w:shd w:fill="auto" w:color="auto"/>
            <w:vAlign w:val="center"/>
            <w:vMerge w:val="continue"/>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24 sata</w:t>
            </w:r>
          </w:p>
        </w:tc>
        <w:tc>
          <w:tcPr>
            <w:tcW w:w="1627"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24 sata</w:t>
            </w:r>
          </w:p>
        </w:tc>
        <w:tc>
          <w:tcPr>
            <w:tcW w:w="1288"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5 µg/m</w:t>
            </w:r>
            <w:r>
              <w:rPr>
                <w:rFonts w:ascii="Times New Roman" w:eastAsia="Calibri" w:hAnsi="Times New Roman" w:cs="Times New Roman"/>
                <w:sz w:val="24"/>
                <w:szCs w:val="24"/>
                <w:vertAlign w:val="superscript"/>
              </w:rPr>
              <w:t xml:space="preserve">3</w:t>
            </w:r>
          </w:p>
        </w:tc>
        <w:tc>
          <w:tcPr>
            <w:tcW w:w="4167" w:type="dxa"/>
            <w:tcBorders/>
            <w:shd w:fill="auto" w:color="auto"/>
            <w:vAlign w:val="center"/>
          </w:tcPr>
          <w:p>
            <w:pPr>
              <w:pBdr/>
              <w:pStyle w:val="Normal"/>
              <w:spacing w:after="120" w:line="259" w:lineRule="auto"/>
              <w:ind/>
              <w:jc w:val="both"/>
              <w:rPr>
                <w:rFonts w:ascii="Times New Roman" w:eastAsia="Calibri" w:hAnsi="Times New Roman" w:cs="Times New Roman"/>
                <w:sz w:val="24"/>
                <w:szCs w:val="24"/>
              </w:rPr>
            </w:pPr>
            <w:r>
              <w:rPr>
                <w:rFonts w:ascii="Times New Roman" w:eastAsia="Calibri" w:hAnsi="Times New Roman" w:cs="Times New Roman"/>
                <w:iCs/>
                <w:sz w:val="24"/>
                <w:szCs w:val="24"/>
              </w:rPr>
              <w:t xml:space="preserve">GV ne smije biti prekoračena više od 7 puta tijekom kalendarske godine</w:t>
            </w:r>
          </w:p>
        </w:tc>
      </w:tr>
      <w:tr>
        <w:tblPrEx>
          <w:tblBorders/>
        </w:tblPrEx>
        <w:trPr>
          <w:trHeight w:hRule="atLeast" w:val="20"/>
        </w:trPr>
        <w:tc>
          <w:tcPr>
            <w:tcW w:w="1980"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Merkaptani</w:t>
            </w:r>
          </w:p>
        </w:tc>
        <w:tc>
          <w:tcPr>
            <w:tcW w:w="1627"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24 sata</w:t>
            </w:r>
          </w:p>
        </w:tc>
        <w:tc>
          <w:tcPr>
            <w:tcW w:w="1288"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3 µg/m</w:t>
            </w:r>
            <w:r>
              <w:rPr>
                <w:rFonts w:ascii="Times New Roman" w:eastAsia="Calibri" w:hAnsi="Times New Roman" w:cs="Times New Roman"/>
                <w:sz w:val="24"/>
                <w:szCs w:val="24"/>
                <w:vertAlign w:val="superscript"/>
              </w:rPr>
              <w:t xml:space="preserve">3</w:t>
            </w:r>
          </w:p>
        </w:tc>
        <w:tc>
          <w:tcPr>
            <w:tcW w:w="4167" w:type="dxa"/>
            <w:tcBorders/>
            <w:shd w:fill="auto" w:color="auto"/>
            <w:vAlign w:val="center"/>
          </w:tcPr>
          <w:p>
            <w:pPr>
              <w:pBdr/>
              <w:pStyle w:val="Normal"/>
              <w:spacing w:after="120" w:line="259" w:lineRule="auto"/>
              <w:ind/>
              <w:jc w:val="both"/>
              <w:rPr>
                <w:rFonts w:ascii="Times New Roman" w:eastAsia="Calibri" w:hAnsi="Times New Roman" w:cs="Times New Roman"/>
                <w:sz w:val="24"/>
                <w:szCs w:val="24"/>
              </w:rPr>
            </w:pPr>
            <w:r>
              <w:rPr>
                <w:rFonts w:ascii="Times New Roman" w:eastAsia="Calibri" w:hAnsi="Times New Roman" w:cs="Times New Roman"/>
                <w:iCs/>
                <w:sz w:val="24"/>
                <w:szCs w:val="24"/>
              </w:rPr>
              <w:t xml:space="preserve">GV ne smije biti prekoračena više od 7 puta tijekom kalendarske godine</w:t>
            </w:r>
          </w:p>
        </w:tc>
      </w:tr>
      <w:tr>
        <w:tblPrEx>
          <w:tblBorders/>
        </w:tblPrEx>
        <w:trPr>
          <w:trHeight w:hRule="atLeast" w:val="20"/>
        </w:trPr>
        <w:tc>
          <w:tcPr>
            <w:tcW w:w="1980"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Amonijak (NH</w:t>
            </w:r>
            <w:r>
              <w:rPr>
                <w:rFonts w:ascii="Times New Roman" w:eastAsia="Calibri" w:hAnsi="Times New Roman" w:cs="Times New Roman"/>
                <w:sz w:val="24"/>
                <w:szCs w:val="24"/>
                <w:vertAlign w:val="subscript"/>
              </w:rPr>
              <w:t xml:space="preserve">3</w:t>
            </w:r>
            <w:r>
              <w:rPr>
                <w:rFonts w:ascii="Times New Roman" w:eastAsia="Calibri" w:hAnsi="Times New Roman" w:cs="Times New Roman"/>
                <w:sz w:val="24"/>
                <w:szCs w:val="24"/>
              </w:rPr>
              <w:t xml:space="preserve">)</w:t>
            </w:r>
          </w:p>
        </w:tc>
        <w:tc>
          <w:tcPr>
            <w:tcW w:w="1627"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24 sata</w:t>
            </w:r>
          </w:p>
        </w:tc>
        <w:tc>
          <w:tcPr>
            <w:tcW w:w="1288" w:type="dxa"/>
            <w:tcBorders/>
            <w:shd w:fill="auto" w:color="auto"/>
            <w:vAlign w:val="center"/>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100 µg/m</w:t>
            </w:r>
            <w:r>
              <w:rPr>
                <w:rFonts w:ascii="Times New Roman" w:eastAsia="Calibri" w:hAnsi="Times New Roman" w:cs="Times New Roman"/>
                <w:sz w:val="24"/>
                <w:szCs w:val="24"/>
                <w:vertAlign w:val="superscript"/>
              </w:rPr>
              <w:t xml:space="preserve">3</w:t>
            </w:r>
          </w:p>
        </w:tc>
        <w:tc>
          <w:tcPr>
            <w:tcW w:w="4167" w:type="dxa"/>
            <w:tcBorders/>
            <w:shd w:fill="auto" w:color="auto"/>
            <w:vAlign w:val="center"/>
          </w:tcPr>
          <w:p>
            <w:pPr>
              <w:pBdr/>
              <w:pStyle w:val="Normal"/>
              <w:spacing w:after="120" w:line="259" w:lineRule="auto"/>
              <w:ind/>
              <w:jc w:val="both"/>
              <w:rPr>
                <w:rFonts w:ascii="Times New Roman" w:eastAsia="Calibri" w:hAnsi="Times New Roman" w:cs="Times New Roman"/>
                <w:sz w:val="24"/>
                <w:szCs w:val="24"/>
              </w:rPr>
            </w:pPr>
            <w:r>
              <w:rPr>
                <w:rFonts w:ascii="Times New Roman" w:eastAsia="Calibri" w:hAnsi="Times New Roman" w:cs="Times New Roman"/>
                <w:iCs/>
                <w:sz w:val="24"/>
                <w:szCs w:val="24"/>
              </w:rPr>
              <w:t xml:space="preserve">GV ne smije biti prekoračena više od 7 puta tijekom kalendarske godine</w:t>
            </w:r>
          </w:p>
        </w:tc>
      </w:tr>
    </w:tbl>
    <w:p>
      <w:pPr>
        <w:pBdr/>
        <w:pStyle w:val="Normal"/>
        <w:spacing w:after="120"/>
        <w:ind/>
        <w:jc w:val="both"/>
        <w:rPr>
          <w:rFonts w:ascii="Arial" w:eastAsia="Arial" w:hAnsi="Arial" w:cs="Arial"/>
          <w:sz w:val="24"/>
          <w:szCs w:val="24"/>
        </w:rPr>
      </w:pPr>
    </w:p>
    <w:p>
      <w:pPr>
        <w:pBdr/>
        <w:pStyle w:val="Normal"/>
        <w:spacing w:after="120"/>
        <w:ind/>
        <w:jc w:val="both"/>
        <w:rPr>
          <w:rFonts w:ascii="Arial" w:eastAsia="Arial" w:hAnsi="Arial" w:cs="Arial"/>
          <w:sz w:val="24"/>
          <w:szCs w:val="24"/>
        </w:rPr>
      </w:pPr>
      <w:r>
        <w:rPr>
          <w:rFonts w:ascii="Arial" w:eastAsia="Arial" w:hAnsi="Arial" w:cs="Arial"/>
          <w:b/>
          <w:bCs/>
          <w:sz w:val="24"/>
          <w:szCs w:val="24"/>
        </w:rPr>
        <w:t xml:space="preserve">Tablica 2. Granične vrijednosti razina ukupnog taloženja i razina metala u ukupnom taloženju</w:t>
      </w:r>
      <w:r>
        <w:rPr>
          <w:rFonts w:ascii="Arial" w:eastAsia="Arial" w:hAnsi="Arial" w:cs="Arial"/>
          <w:sz w:val="24"/>
          <w:szCs w:val="24"/>
          <w:vertAlign w:val="superscript"/>
        </w:rPr>
        <w:t xml:space="preserve">(1)</w:t>
      </w:r>
    </w:p>
    <w:tbl>
      <w:tblPr>
        <w:tblStyle w:val="Rešetka tablice4"/>
        <w:tblW w:w="9305" w:type="dxa"/>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Layout w:type="fixed"/>
      </w:tblPr>
      <w:tblGrid>
        <w:gridCol w:w="3101"/>
        <w:gridCol w:w="3102"/>
        <w:gridCol w:w="3102"/>
      </w:tblGrid>
      <w:tr>
        <w:tblPrEx>
          <w:tblBorders/>
        </w:tblPrEx>
        <w:trPr>
          <w:trHeight w:hRule="atLeast" w:val="493"/>
        </w:trPr>
        <w:tc>
          <w:tcPr>
            <w:tcW w:w="3101"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Onečišćujuća tvar</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Vrijeme usrednjavanja</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Granična vrijednost (GV)</w:t>
            </w:r>
          </w:p>
        </w:tc>
      </w:tr>
      <w:tr>
        <w:tblPrEx>
          <w:tblBorders/>
        </w:tblPrEx>
        <w:trPr>
          <w:trHeight w:hRule="atLeast" w:val="509"/>
        </w:trPr>
        <w:tc>
          <w:tcPr>
            <w:tcW w:w="3101"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UTT</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kalendarska godina</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350 mg/m</w:t>
            </w:r>
            <w:r>
              <w:rPr>
                <w:rFonts w:ascii="Times New Roman" w:eastAsia="Calibri" w:hAnsi="Times New Roman" w:cs="Times New Roman"/>
                <w:sz w:val="24"/>
                <w:szCs w:val="24"/>
                <w:vertAlign w:val="superscript"/>
              </w:rPr>
              <w:t xml:space="preserve">2</w:t>
            </w:r>
            <w:r>
              <w:rPr>
                <w:rFonts w:ascii="Times New Roman" w:eastAsia="Calibri" w:hAnsi="Times New Roman" w:cs="Times New Roman"/>
                <w:sz w:val="24"/>
                <w:szCs w:val="24"/>
              </w:rPr>
              <w:t xml:space="preserve">d</w:t>
            </w:r>
          </w:p>
        </w:tc>
      </w:tr>
      <w:tr>
        <w:tblPrEx>
          <w:tblBorders/>
        </w:tblPrEx>
        <w:trPr>
          <w:trHeight w:hRule="atLeast" w:val="493"/>
        </w:trPr>
        <w:tc>
          <w:tcPr>
            <w:tcW w:w="3101"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Olovo (Pb)</w:t>
            </w:r>
            <w:r>
              <w:rPr>
                <w:rFonts w:ascii="Times New Roman" w:eastAsia="Calibri" w:hAnsi="Times New Roman" w:cs="Times New Roman"/>
                <w:sz w:val="24"/>
                <w:szCs w:val="24"/>
                <w:vertAlign w:val="superscript"/>
              </w:rPr>
              <w:t xml:space="preserve">(2)</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kalendarska godina</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100 µg/m</w:t>
            </w:r>
            <w:r>
              <w:rPr>
                <w:rFonts w:ascii="Times New Roman" w:eastAsia="Calibri" w:hAnsi="Times New Roman" w:cs="Times New Roman"/>
                <w:sz w:val="24"/>
                <w:szCs w:val="24"/>
                <w:vertAlign w:val="superscript"/>
              </w:rPr>
              <w:t xml:space="preserve">2</w:t>
            </w:r>
            <w:r>
              <w:rPr>
                <w:rFonts w:ascii="Times New Roman" w:eastAsia="Calibri" w:hAnsi="Times New Roman" w:cs="Times New Roman"/>
                <w:sz w:val="24"/>
                <w:szCs w:val="24"/>
              </w:rPr>
              <w:t xml:space="preserve">d</w:t>
            </w:r>
          </w:p>
        </w:tc>
      </w:tr>
      <w:tr>
        <w:tblPrEx>
          <w:tblBorders/>
        </w:tblPrEx>
        <w:trPr>
          <w:trHeight w:hRule="atLeast" w:val="509"/>
        </w:trPr>
        <w:tc>
          <w:tcPr>
            <w:tcW w:w="3101"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Kadmij (Cd)</w:t>
            </w:r>
            <w:r>
              <w:rPr>
                <w:rFonts w:ascii="Aptos" w:eastAsia="Aptos" w:hAnsi="Aptos" w:cs="Times New Roman"/>
                <w:sz w:val="24"/>
                <w:szCs w:val="24"/>
              </w:rPr>
              <w:t xml:space="preserve"> </w:t>
            </w:r>
            <w:r>
              <w:rPr>
                <w:rFonts w:ascii="Times New Roman" w:eastAsia="Calibri" w:hAnsi="Times New Roman" w:cs="Times New Roman"/>
                <w:sz w:val="24"/>
                <w:szCs w:val="24"/>
                <w:vertAlign w:val="superscript"/>
              </w:rPr>
              <w:t xml:space="preserve">(2)</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kalendarska godina</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2 µg/m</w:t>
            </w:r>
            <w:r>
              <w:rPr>
                <w:rFonts w:ascii="Times New Roman" w:eastAsia="Calibri" w:hAnsi="Times New Roman" w:cs="Times New Roman"/>
                <w:sz w:val="24"/>
                <w:szCs w:val="24"/>
                <w:vertAlign w:val="superscript"/>
              </w:rPr>
              <w:t xml:space="preserve">2</w:t>
            </w:r>
            <w:r>
              <w:rPr>
                <w:rFonts w:ascii="Times New Roman" w:eastAsia="Calibri" w:hAnsi="Times New Roman" w:cs="Times New Roman"/>
                <w:sz w:val="24"/>
                <w:szCs w:val="24"/>
              </w:rPr>
              <w:t xml:space="preserve">d</w:t>
            </w:r>
          </w:p>
        </w:tc>
      </w:tr>
      <w:tr>
        <w:tblPrEx>
          <w:tblBorders/>
        </w:tblPrEx>
        <w:trPr>
          <w:trHeight w:hRule="atLeast" w:val="493"/>
        </w:trPr>
        <w:tc>
          <w:tcPr>
            <w:tcW w:w="3101"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Arsen (As)</w:t>
            </w:r>
            <w:r>
              <w:rPr>
                <w:rFonts w:ascii="Aptos" w:eastAsia="Aptos" w:hAnsi="Aptos" w:cs="Times New Roman"/>
                <w:sz w:val="24"/>
                <w:szCs w:val="24"/>
              </w:rPr>
              <w:t xml:space="preserve"> </w:t>
            </w:r>
            <w:r>
              <w:rPr>
                <w:rFonts w:ascii="Times New Roman" w:eastAsia="Calibri" w:hAnsi="Times New Roman" w:cs="Times New Roman"/>
                <w:sz w:val="24"/>
                <w:szCs w:val="24"/>
                <w:vertAlign w:val="superscript"/>
              </w:rPr>
              <w:t xml:space="preserve">(2)</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kalendarska godina</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4 µg/m</w:t>
            </w:r>
            <w:r>
              <w:rPr>
                <w:rFonts w:ascii="Times New Roman" w:eastAsia="Calibri" w:hAnsi="Times New Roman" w:cs="Times New Roman"/>
                <w:sz w:val="24"/>
                <w:szCs w:val="24"/>
                <w:vertAlign w:val="superscript"/>
              </w:rPr>
              <w:t xml:space="preserve">2</w:t>
            </w:r>
            <w:r>
              <w:rPr>
                <w:rFonts w:ascii="Times New Roman" w:eastAsia="Calibri" w:hAnsi="Times New Roman" w:cs="Times New Roman"/>
                <w:sz w:val="24"/>
                <w:szCs w:val="24"/>
              </w:rPr>
              <w:t xml:space="preserve">d</w:t>
            </w:r>
          </w:p>
        </w:tc>
      </w:tr>
      <w:tr>
        <w:tblPrEx>
          <w:tblBorders/>
        </w:tblPrEx>
        <w:trPr>
          <w:trHeight w:hRule="atLeast" w:val="509"/>
        </w:trPr>
        <w:tc>
          <w:tcPr>
            <w:tcW w:w="3101"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Nikal (Ni)</w:t>
            </w:r>
            <w:r>
              <w:rPr>
                <w:rFonts w:ascii="Aptos" w:eastAsia="Aptos" w:hAnsi="Aptos" w:cs="Times New Roman"/>
                <w:sz w:val="24"/>
                <w:szCs w:val="24"/>
              </w:rPr>
              <w:t xml:space="preserve"> </w:t>
            </w:r>
            <w:r>
              <w:rPr>
                <w:rFonts w:ascii="Times New Roman" w:eastAsia="Calibri" w:hAnsi="Times New Roman" w:cs="Times New Roman"/>
                <w:sz w:val="24"/>
                <w:szCs w:val="24"/>
                <w:vertAlign w:val="superscript"/>
              </w:rPr>
              <w:t xml:space="preserve">(2)</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kalendarska godina</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15 µg/m</w:t>
            </w:r>
            <w:r>
              <w:rPr>
                <w:rFonts w:ascii="Times New Roman" w:eastAsia="Calibri" w:hAnsi="Times New Roman" w:cs="Times New Roman"/>
                <w:sz w:val="24"/>
                <w:szCs w:val="24"/>
                <w:vertAlign w:val="superscript"/>
              </w:rPr>
              <w:t xml:space="preserve">2</w:t>
            </w:r>
            <w:r>
              <w:rPr>
                <w:rFonts w:ascii="Times New Roman" w:eastAsia="Calibri" w:hAnsi="Times New Roman" w:cs="Times New Roman"/>
                <w:sz w:val="24"/>
                <w:szCs w:val="24"/>
              </w:rPr>
              <w:t xml:space="preserve">d</w:t>
            </w:r>
          </w:p>
        </w:tc>
      </w:tr>
      <w:tr>
        <w:tblPrEx>
          <w:tblBorders/>
        </w:tblPrEx>
        <w:trPr>
          <w:trHeight w:hRule="atLeast" w:val="493"/>
        </w:trPr>
        <w:tc>
          <w:tcPr>
            <w:tcW w:w="3101"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Živa (Hg)</w:t>
            </w:r>
            <w:r>
              <w:rPr>
                <w:rFonts w:ascii="Aptos" w:eastAsia="Aptos" w:hAnsi="Aptos" w:cs="Times New Roman"/>
                <w:sz w:val="24"/>
                <w:szCs w:val="24"/>
              </w:rPr>
              <w:t xml:space="preserve"> </w:t>
            </w:r>
            <w:r>
              <w:rPr>
                <w:rFonts w:ascii="Times New Roman" w:eastAsia="Calibri" w:hAnsi="Times New Roman" w:cs="Times New Roman"/>
                <w:sz w:val="24"/>
                <w:szCs w:val="24"/>
                <w:vertAlign w:val="superscript"/>
              </w:rPr>
              <w:t xml:space="preserve">(3)</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kalendarska godina</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1 µg/m</w:t>
            </w:r>
            <w:r>
              <w:rPr>
                <w:rFonts w:ascii="Times New Roman" w:eastAsia="Calibri" w:hAnsi="Times New Roman" w:cs="Times New Roman"/>
                <w:sz w:val="24"/>
                <w:szCs w:val="24"/>
                <w:vertAlign w:val="superscript"/>
              </w:rPr>
              <w:t xml:space="preserve">2</w:t>
            </w:r>
            <w:r>
              <w:rPr>
                <w:rFonts w:ascii="Times New Roman" w:eastAsia="Calibri" w:hAnsi="Times New Roman" w:cs="Times New Roman"/>
                <w:sz w:val="24"/>
                <w:szCs w:val="24"/>
              </w:rPr>
              <w:t xml:space="preserve">d</w:t>
            </w:r>
          </w:p>
        </w:tc>
      </w:tr>
      <w:tr>
        <w:tblPrEx>
          <w:tblBorders/>
        </w:tblPrEx>
        <w:trPr>
          <w:trHeight w:hRule="atLeast" w:val="509"/>
        </w:trPr>
        <w:tc>
          <w:tcPr>
            <w:tcW w:w="3101"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Talij (Tl)</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kalendarska godina</w:t>
            </w:r>
          </w:p>
        </w:tc>
        <w:tc>
          <w:tcPr>
            <w:tcW w:w="3102" w:type="dxa"/>
            <w:tcBorders/>
            <w:shd w:fill="auto" w:color="auto"/>
            <w:vAlign w:val="bottom"/>
          </w:tcPr>
          <w:p>
            <w:pPr>
              <w:pBdr/>
              <w:pStyle w:val="Normal"/>
              <w:spacing w:after="120" w:line="259" w:lineRule="auto"/>
              <w:ind/>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2 µg/m</w:t>
            </w:r>
            <w:r>
              <w:rPr>
                <w:rFonts w:ascii="Times New Roman" w:eastAsia="Calibri" w:hAnsi="Times New Roman" w:cs="Times New Roman"/>
                <w:sz w:val="24"/>
                <w:szCs w:val="24"/>
                <w:vertAlign w:val="superscript"/>
              </w:rPr>
              <w:t xml:space="preserve">2</w:t>
            </w:r>
            <w:r>
              <w:rPr>
                <w:rFonts w:ascii="Times New Roman" w:eastAsia="Calibri" w:hAnsi="Times New Roman" w:cs="Times New Roman"/>
                <w:sz w:val="24"/>
                <w:szCs w:val="24"/>
              </w:rPr>
              <w:t xml:space="preserve">d</w:t>
            </w:r>
          </w:p>
        </w:tc>
      </w:tr>
    </w:tbl>
    <w:p>
      <w:pPr>
        <w:pBdr/>
        <w:pStyle w:val="Normal"/>
        <w:spacing w:line="278" w:lineRule="auto"/>
        <w:ind/>
        <w:rPr>
          <w:rFonts w:ascii="Arial" w:eastAsia="Arial" w:hAnsi="Arial" w:cs="Arial"/>
          <w:sz w:val="24"/>
          <w:szCs w:val="24"/>
        </w:rPr>
      </w:pPr>
      <w:r>
        <w:rPr>
          <w:rFonts w:ascii="Arial" w:eastAsia="Arial" w:hAnsi="Arial" w:cs="Arial"/>
          <w:bCs/>
          <w:sz w:val="24"/>
          <w:szCs w:val="24"/>
          <w:vertAlign w:val="superscript"/>
        </w:rPr>
        <w:t xml:space="preserve">(1) </w:t>
      </w:r>
      <w:r>
        <w:rPr>
          <w:rFonts w:ascii="Arial" w:eastAsia="Arial" w:hAnsi="Arial" w:cs="Arial"/>
          <w:bCs/>
          <w:sz w:val="24"/>
          <w:szCs w:val="24"/>
        </w:rPr>
        <w:t xml:space="preserve">Pod pojmom razina ukupnog taloženja podrazumijeva se razina ukupne taložne tvari (UTT), odnosno ukupna masa onečišćujućih tvari koja se prenosi iz zraka na površine (tlo, vegetacija, voda, građevine i drugo) po površini kroz određeno razdoblje.</w:t>
      </w:r>
    </w:p>
    <w:p>
      <w:pPr>
        <w:pBdr/>
        <w:pStyle w:val="Normal"/>
        <w:spacing w:line="278" w:lineRule="auto"/>
        <w:ind/>
        <w:rPr>
          <w:rFonts w:ascii="Arial" w:eastAsia="Arial" w:hAnsi="Arial" w:cs="Arial"/>
          <w:sz w:val="24"/>
          <w:szCs w:val="24"/>
        </w:rPr>
      </w:pPr>
      <w:r>
        <w:rPr>
          <w:rFonts w:ascii="Arial" w:eastAsia="Arial" w:hAnsi="Arial" w:cs="Arial"/>
          <w:sz w:val="24"/>
          <w:szCs w:val="24"/>
          <w:vertAlign w:val="superscript"/>
        </w:rPr>
        <w:t xml:space="preserve">(2)</w:t>
      </w:r>
      <w:r>
        <w:rPr>
          <w:rFonts w:ascii="Arial" w:eastAsia="Arial" w:hAnsi="Arial" w:cs="Arial"/>
          <w:sz w:val="24"/>
          <w:szCs w:val="24"/>
        </w:rPr>
        <w:t xml:space="preserve"> Određeno referentnom metodom HRN EN 15841 „Kvaliteta vanjskog zraka – Standardna metoda za određivanje arsena, kadmija, olova i nikla u taložnoj tvari”.</w:t>
      </w:r>
    </w:p>
    <w:p>
      <w:pPr>
        <w:pBdr/>
        <w:pStyle w:val="Normal"/>
        <w:spacing w:line="278" w:lineRule="auto"/>
        <w:ind/>
        <w:rPr>
          <w:rFonts w:ascii="Arial" w:eastAsia="Arial" w:hAnsi="Arial" w:cs="Arial"/>
          <w:sz w:val="24"/>
          <w:szCs w:val="24"/>
        </w:rPr>
      </w:pPr>
      <w:r>
        <w:rPr>
          <w:rFonts w:ascii="Arial" w:eastAsia="Arial" w:hAnsi="Arial" w:cs="Arial"/>
          <w:sz w:val="24"/>
          <w:szCs w:val="24"/>
          <w:vertAlign w:val="superscript"/>
        </w:rPr>
        <w:t xml:space="preserve">(3)</w:t>
      </w:r>
      <w:r>
        <w:rPr>
          <w:rFonts w:ascii="Arial" w:eastAsia="Arial" w:hAnsi="Arial" w:cs="Arial"/>
          <w:sz w:val="24"/>
          <w:szCs w:val="24"/>
        </w:rPr>
        <w:t xml:space="preserve"> Određeno referentnom metodom HRN EN 15853 „Kvaliteta vanjskog zraka – Standardna metoda za određivanje taloženja žive”.</w:t>
      </w:r>
    </w:p>
    <w:p>
      <w:pPr>
        <w:pBdr/>
        <w:pStyle w:val="Normal"/>
        <w:spacing/>
        <w:ind/>
        <w:rPr>
          <w:rFonts w:ascii="Arial" w:eastAsia="Arial" w:hAnsi="Arial" w:cs="Arial"/>
          <w:sz w:val="24"/>
          <w:szCs w:val="24"/>
        </w:rPr>
      </w:pPr>
      <w:r>
        <w:rPr>
          <w:rFonts w:ascii="Arial" w:eastAsia="Arial" w:hAnsi="Arial" w:cs="Arial"/>
          <w:sz w:val="24"/>
          <w:szCs w:val="24"/>
        </w:rPr>
        <w:br w:type="page"/>
      </w:r>
    </w:p>
    <w:p>
      <w:pPr>
        <w:pBdr/>
        <w:pStyle w:val="Heading 2"/>
        <w:spacing/>
        <w:ind/>
        <w:rPr>
          <w:rFonts w:ascii="Arial" w:eastAsia="Arial" w:hAnsi="Arial" w:cs="Arial"/>
        </w:rPr>
      </w:pPr>
      <w:r>
        <w:rPr>
          <w:rFonts w:ascii="Arial" w:eastAsia="Arial" w:hAnsi="Arial" w:cs="Arial"/>
        </w:rPr>
        <w:t xml:space="preserve">DODATAK IV. </w:t>
      </w:r>
    </w:p>
    <w:p>
      <w:pPr>
        <w:pBdr/>
        <w:pStyle w:val="Heading 2"/>
        <w:spacing/>
        <w:ind/>
        <w:rPr>
          <w:rFonts w:ascii="Arial" w:eastAsia="Arial" w:hAnsi="Arial" w:cs="Arial"/>
        </w:rPr>
      </w:pPr>
      <w:r>
        <w:rPr>
          <w:rFonts w:ascii="Arial" w:eastAsia="Arial" w:hAnsi="Arial" w:cs="Arial"/>
        </w:rPr>
        <w:t xml:space="preserve">MJERENJA NA SUPERLOKACIJAMA ZA PRAĆENJE</w:t>
      </w:r>
    </w:p>
    <w:p>
      <w:pPr>
        <w:pBdr/>
        <w:pStyle w:val="Normal"/>
        <w:spacing w:line="278" w:lineRule="auto"/>
        <w:ind/>
        <w:jc w:val="center"/>
        <w:rPr>
          <w:rFonts w:ascii="Arial" w:eastAsia="Arial" w:hAnsi="Arial" w:cs="Arial"/>
          <w:b/>
          <w:bCs/>
          <w:sz w:val="24"/>
          <w:szCs w:val="24"/>
        </w:rPr>
      </w:pPr>
    </w:p>
    <w:p>
      <w:pPr>
        <w:pBdr/>
        <w:pStyle w:val="Normal"/>
        <w:spacing w:line="278" w:lineRule="auto"/>
        <w:ind/>
        <w:jc w:val="both"/>
        <w:rPr>
          <w:rFonts w:ascii="Arial" w:eastAsia="Arial" w:hAnsi="Arial" w:cs="Arial"/>
          <w:b/>
          <w:bCs/>
          <w:sz w:val="24"/>
          <w:szCs w:val="24"/>
        </w:rPr>
      </w:pPr>
      <w:r>
        <w:rPr>
          <w:rFonts w:ascii="Arial" w:eastAsia="Arial" w:hAnsi="Arial" w:cs="Arial"/>
          <w:b/>
          <w:bCs/>
          <w:sz w:val="24"/>
          <w:szCs w:val="24"/>
        </w:rPr>
        <w:t xml:space="preserve">Odjeljak 1. – Mjerenja onečišćujućih tvari na superlokacijama za praćenje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Mjerenja na svim superlokacijama za praćenje na gradskim pozadinskim lokacijama i na ruralnim pozadinskim lokacijama uključuju onečišćujuće tvari navedene u tablicama 1. i 2.</w:t>
      </w:r>
    </w:p>
    <w:p>
      <w:pPr>
        <w:pBdr/>
        <w:pStyle w:val="Normal"/>
        <w:spacing w:line="278" w:lineRule="auto"/>
        <w:ind/>
        <w:jc w:val="both"/>
        <w:rPr>
          <w:rFonts w:ascii="Arial" w:eastAsia="Arial" w:hAnsi="Arial" w:cs="Arial"/>
          <w:b/>
          <w:bCs/>
          <w:sz w:val="24"/>
          <w:szCs w:val="24"/>
        </w:rPr>
      </w:pPr>
      <w:r>
        <w:rPr>
          <w:rFonts w:ascii="Arial" w:eastAsia="Arial" w:hAnsi="Arial" w:cs="Arial"/>
          <w:b/>
          <w:bCs/>
          <w:sz w:val="24"/>
          <w:szCs w:val="24"/>
        </w:rPr>
        <w:t xml:space="preserve">Tablica 1. – Onečišćujuće tvari koje se mjere na superlokacijama za praćenje na gradskim pozadinskim lokacijama</w:t>
      </w:r>
    </w:p>
    <w:tbl>
      <w:tblPr>
        <w:tblStyle w:val="Rešetka tablice5"/>
        <w:tblW w:w="0" w:type="auto"/>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Pr>
      <w:tblGrid>
        <w:gridCol w:w="3681"/>
        <w:gridCol w:w="5381"/>
      </w:tblGrid>
      <w:tr>
        <w:tblPrEx>
          <w:tblBorders/>
        </w:tblPrEx>
        <w:trPr>
          <w:trHeight w:hRule="atLeast" w:val="510"/>
        </w:trPr>
        <w:tc>
          <w:tcPr>
            <w:tcW w:w="368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538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Vrsta mjerenja</w:t>
            </w:r>
          </w:p>
        </w:tc>
      </w:tr>
      <w:tr>
        <w:tblPrEx>
          <w:tblBorders/>
        </w:tblPrEx>
        <w:trPr>
          <w:trHeight w:hRule="atLeast" w:val="510"/>
        </w:trPr>
        <w:tc>
          <w:tcPr>
            <w:tcW w:w="36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10</w:t>
            </w:r>
            <w:r>
              <w:rPr>
                <w:rFonts w:ascii="Times New Roman" w:eastAsia="Aptos" w:hAnsi="Times New Roman" w:cs="Times New Roman"/>
                <w:sz w:val="24"/>
                <w:szCs w:val="24"/>
              </w:rPr>
              <w:t xml:space="preserve">, PM</w:t>
            </w:r>
            <w:r>
              <w:rPr>
                <w:rFonts w:ascii="Times New Roman" w:eastAsia="Aptos" w:hAnsi="Times New Roman" w:cs="Times New Roman"/>
                <w:sz w:val="24"/>
                <w:szCs w:val="24"/>
                <w:vertAlign w:val="subscript"/>
              </w:rPr>
              <w:t xml:space="preserve">2,5</w:t>
            </w:r>
            <w:r>
              <w:rPr>
                <w:rFonts w:ascii="Times New Roman" w:eastAsia="Aptos" w:hAnsi="Times New Roman" w:cs="Times New Roman"/>
                <w:sz w:val="24"/>
                <w:szCs w:val="24"/>
              </w:rPr>
              <w:t xml:space="preserve">, UFP, BC</w:t>
            </w:r>
          </w:p>
        </w:tc>
        <w:tc>
          <w:tcPr>
            <w:tcW w:w="53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w:t>
            </w:r>
          </w:p>
        </w:tc>
      </w:tr>
      <w:tr>
        <w:tblPrEx>
          <w:tblBorders/>
        </w:tblPrEx>
        <w:trPr>
          <w:trHeight w:hRule="atLeast" w:val="510"/>
        </w:trPr>
        <w:tc>
          <w:tcPr>
            <w:tcW w:w="36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NO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 O</w:t>
            </w:r>
            <w:r>
              <w:rPr>
                <w:rFonts w:ascii="Times New Roman" w:eastAsia="Aptos" w:hAnsi="Times New Roman" w:cs="Times New Roman"/>
                <w:sz w:val="24"/>
                <w:szCs w:val="24"/>
                <w:vertAlign w:val="subscript"/>
              </w:rPr>
              <w:t xml:space="preserve">3</w:t>
            </w:r>
          </w:p>
        </w:tc>
        <w:tc>
          <w:tcPr>
            <w:tcW w:w="53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w:t>
            </w:r>
          </w:p>
        </w:tc>
      </w:tr>
      <w:tr>
        <w:tblPrEx>
          <w:tblBorders/>
        </w:tblPrEx>
        <w:trPr>
          <w:trHeight w:hRule="atLeast" w:val="631"/>
        </w:trPr>
        <w:tc>
          <w:tcPr>
            <w:tcW w:w="36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SO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 CO</w:t>
            </w:r>
          </w:p>
        </w:tc>
        <w:tc>
          <w:tcPr>
            <w:tcW w:w="53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510"/>
        </w:trPr>
        <w:tc>
          <w:tcPr>
            <w:tcW w:w="36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Raspodjele veličine UFP-a</w:t>
            </w:r>
          </w:p>
        </w:tc>
        <w:tc>
          <w:tcPr>
            <w:tcW w:w="53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1044"/>
        </w:trPr>
        <w:tc>
          <w:tcPr>
            <w:tcW w:w="36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Benzo(a)piren, prema potrebi drugi policiklički aromatski ugljikovodici (PAU) </w:t>
            </w:r>
            <w:r>
              <w:rPr>
                <w:rFonts w:ascii="Times New Roman" w:eastAsia="Aptos" w:hAnsi="Times New Roman" w:cs="Times New Roman"/>
                <w:sz w:val="24"/>
                <w:szCs w:val="24"/>
                <w:vertAlign w:val="superscript"/>
              </w:rPr>
              <w:t xml:space="preserve">(1)</w:t>
            </w:r>
          </w:p>
        </w:tc>
        <w:tc>
          <w:tcPr>
            <w:tcW w:w="53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1326"/>
        </w:trPr>
        <w:tc>
          <w:tcPr>
            <w:tcW w:w="36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Ukupno taloženje </w:t>
            </w:r>
            <w:r>
              <w:rPr>
                <w:rFonts w:ascii="Times New Roman" w:eastAsia="Aptos" w:hAnsi="Times New Roman" w:cs="Times New Roman"/>
                <w:sz w:val="24"/>
                <w:szCs w:val="24"/>
                <w:vertAlign w:val="superscript"/>
              </w:rPr>
              <w:t xml:space="preserve">(2)</w:t>
            </w:r>
            <w:r>
              <w:rPr>
                <w:rFonts w:ascii="Times New Roman" w:eastAsia="Aptos" w:hAnsi="Times New Roman" w:cs="Times New Roman"/>
                <w:sz w:val="24"/>
                <w:szCs w:val="24"/>
              </w:rPr>
              <w:t xml:space="preserve"> benzo(a)pirena, i prema potrebi drugih policikličkih aromatskih ugljikovodika (PAU)</w:t>
            </w:r>
          </w:p>
        </w:tc>
        <w:tc>
          <w:tcPr>
            <w:tcW w:w="53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510"/>
        </w:trPr>
        <w:tc>
          <w:tcPr>
            <w:tcW w:w="36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Arsen, kadmij, olovo i nikal</w:t>
            </w:r>
          </w:p>
        </w:tc>
        <w:tc>
          <w:tcPr>
            <w:tcW w:w="53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664"/>
        </w:trPr>
        <w:tc>
          <w:tcPr>
            <w:tcW w:w="36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Ukupno taloženje </w:t>
            </w:r>
            <w:r>
              <w:rPr>
                <w:rFonts w:ascii="Times New Roman" w:eastAsia="Aptos" w:hAnsi="Times New Roman" w:cs="Times New Roman"/>
                <w:sz w:val="24"/>
                <w:szCs w:val="24"/>
                <w:vertAlign w:val="superscript"/>
              </w:rPr>
              <w:t xml:space="preserve">(2)</w:t>
            </w:r>
            <w:r>
              <w:rPr>
                <w:rFonts w:ascii="Times New Roman" w:eastAsia="Aptos" w:hAnsi="Times New Roman" w:cs="Times New Roman"/>
                <w:sz w:val="24"/>
                <w:szCs w:val="24"/>
              </w:rPr>
              <w:t xml:space="preserve"> arsena, kadmija, olova, nikla i žive</w:t>
            </w:r>
          </w:p>
        </w:tc>
        <w:tc>
          <w:tcPr>
            <w:tcW w:w="53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510"/>
        </w:trPr>
        <w:tc>
          <w:tcPr>
            <w:tcW w:w="36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Benzen</w:t>
            </w:r>
          </w:p>
        </w:tc>
        <w:tc>
          <w:tcPr>
            <w:tcW w:w="53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771"/>
        </w:trPr>
        <w:tc>
          <w:tcPr>
            <w:tcW w:w="36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Kemijski sastav PM</w:t>
            </w:r>
            <w:r>
              <w:rPr>
                <w:rFonts w:ascii="Times New Roman" w:eastAsia="Aptos" w:hAnsi="Times New Roman" w:cs="Times New Roman"/>
                <w:sz w:val="24"/>
                <w:szCs w:val="24"/>
                <w:vertAlign w:val="subscript"/>
              </w:rPr>
              <w:t xml:space="preserve">2,5</w:t>
            </w:r>
            <w:r>
              <w:rPr>
                <w:rFonts w:ascii="Times New Roman" w:eastAsia="Aptos" w:hAnsi="Times New Roman" w:cs="Times New Roman"/>
                <w:sz w:val="24"/>
                <w:szCs w:val="24"/>
              </w:rPr>
              <w:t xml:space="preserve"> u skladu s pravilnikom iz članka 23. ovoga Zakona</w:t>
            </w:r>
          </w:p>
        </w:tc>
        <w:tc>
          <w:tcPr>
            <w:tcW w:w="538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bl>
    <w:p>
      <w:pPr>
        <w:pBdr/>
        <w:pStyle w:val="Normal"/>
        <w:spacing w:line="278" w:lineRule="auto"/>
        <w:ind/>
        <w:jc w:val="both"/>
        <w:rPr>
          <w:rFonts w:ascii="Arial" w:eastAsia="Arial" w:hAnsi="Arial" w:cs="Arial"/>
          <w:sz w:val="24"/>
          <w:szCs w:val="24"/>
        </w:rPr>
      </w:pPr>
      <w:r>
        <w:rPr>
          <w:rFonts w:ascii="Arial" w:eastAsia="Arial" w:hAnsi="Arial" w:cs="Arial"/>
          <w:sz w:val="24"/>
          <w:szCs w:val="24"/>
          <w:vertAlign w:val="superscript"/>
        </w:rPr>
        <w:t xml:space="preserve">(1)</w:t>
      </w:r>
      <w:r>
        <w:rPr>
          <w:rFonts w:ascii="Arial" w:eastAsia="Arial" w:hAnsi="Arial" w:cs="Arial"/>
          <w:sz w:val="24"/>
          <w:szCs w:val="24"/>
        </w:rPr>
        <w:t xml:space="preserve"> Benzo(a)piren i drugi policiklički aromatski ugljikovodici iz članka 24. stavka 8. ovoga Zakona.</w:t>
      </w:r>
    </w:p>
    <w:p>
      <w:pPr>
        <w:pBdr/>
        <w:pStyle w:val="Normal"/>
        <w:spacing w:line="278" w:lineRule="auto"/>
        <w:ind/>
        <w:jc w:val="both"/>
        <w:rPr>
          <w:rFonts w:ascii="Arial" w:eastAsia="Arial" w:hAnsi="Arial" w:cs="Arial"/>
          <w:sz w:val="24"/>
          <w:szCs w:val="24"/>
        </w:rPr>
      </w:pPr>
      <w:r>
        <w:rPr>
          <w:rFonts w:ascii="Arial" w:eastAsia="Arial" w:hAnsi="Arial" w:cs="Arial"/>
          <w:sz w:val="24"/>
          <w:szCs w:val="24"/>
          <w:vertAlign w:val="superscript"/>
        </w:rPr>
        <w:t xml:space="preserve">(2)</w:t>
      </w:r>
      <w:r>
        <w:rPr>
          <w:rFonts w:ascii="Arial" w:eastAsia="Arial" w:hAnsi="Arial" w:cs="Arial"/>
          <w:sz w:val="24"/>
          <w:szCs w:val="24"/>
        </w:rPr>
        <w:t xml:space="preserve"> Ako razmještaj superlokacije za praćenje na gradskoj pozadinskoj lokaciji onemogućuje primjenu smjernica i kriterija EMEP-</w:t>
      </w:r>
      <w:r>
        <w:rPr>
          <w:rFonts w:ascii="Arial" w:eastAsia="Arial" w:hAnsi="Arial" w:cs="Arial"/>
          <w:sz w:val="24"/>
          <w:szCs w:val="24"/>
        </w:rPr>
        <w:t xml:space="preserve">a u skladu s pravilnikom iz članka 23. ovoga Zakona, odgovarajuće mjerenje taloženja može se provesti na posebnoj gradskoj pozadinskoj lokaciji unutar područja reprezentativnosti.</w:t>
      </w:r>
    </w:p>
    <w:p>
      <w:pPr>
        <w:pBdr/>
        <w:pStyle w:val="Normal"/>
        <w:spacing w:line="278" w:lineRule="auto"/>
        <w:ind/>
        <w:rPr>
          <w:rFonts w:ascii="Arial" w:eastAsia="Arial" w:hAnsi="Arial" w:cs="Arial"/>
          <w:sz w:val="24"/>
          <w:szCs w:val="24"/>
        </w:rPr>
      </w:pPr>
    </w:p>
    <w:p>
      <w:pPr>
        <w:pBdr/>
        <w:pStyle w:val="Normal"/>
        <w:spacing w:line="278" w:lineRule="auto"/>
        <w:ind/>
        <w:jc w:val="both"/>
        <w:rPr>
          <w:rFonts w:ascii="Arial" w:eastAsia="Arial" w:hAnsi="Arial" w:cs="Arial"/>
          <w:b/>
          <w:bCs/>
          <w:sz w:val="24"/>
          <w:szCs w:val="24"/>
        </w:rPr>
      </w:pPr>
      <w:r>
        <w:rPr>
          <w:rFonts w:ascii="Arial" w:eastAsia="Arial" w:hAnsi="Arial" w:cs="Arial"/>
          <w:b/>
          <w:bCs/>
          <w:sz w:val="24"/>
          <w:szCs w:val="24"/>
        </w:rPr>
        <w:t xml:space="preserve">Tablica 2. – Onečišćujuće tvari koje se mjere na superlokacijama za praćenje na ruralnim pozadinskim lokacijama</w:t>
      </w:r>
    </w:p>
    <w:tbl>
      <w:tblPr>
        <w:tblStyle w:val="Rešetka tablice5"/>
        <w:tblW w:w="9212" w:type="dxa"/>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Layout w:type="fixed"/>
      </w:tblPr>
      <w:tblGrid>
        <w:gridCol w:w="3823"/>
        <w:gridCol w:w="5389"/>
      </w:tblGrid>
      <w:tr>
        <w:tblPrEx>
          <w:tblBorders/>
        </w:tblPrEx>
        <w:trPr>
          <w:trHeight w:hRule="atLeast" w:val="543"/>
        </w:trPr>
        <w:tc>
          <w:tcPr>
            <w:tcW w:w="3823"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53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Vrsta mjerenja</w:t>
            </w:r>
          </w:p>
        </w:tc>
      </w:tr>
      <w:tr>
        <w:tblPrEx>
          <w:tblBorders/>
        </w:tblPrEx>
        <w:trPr>
          <w:trHeight w:hRule="atLeast" w:val="543"/>
        </w:trPr>
        <w:tc>
          <w:tcPr>
            <w:tcW w:w="3823"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PM</w:t>
            </w:r>
            <w:r>
              <w:rPr>
                <w:rFonts w:ascii="Times New Roman" w:eastAsia="Aptos" w:hAnsi="Times New Roman" w:cs="Times New Roman"/>
                <w:sz w:val="24"/>
                <w:szCs w:val="24"/>
                <w:vertAlign w:val="subscript"/>
              </w:rPr>
              <w:t xml:space="preserve">10</w:t>
            </w:r>
            <w:r>
              <w:rPr>
                <w:rFonts w:ascii="Times New Roman" w:eastAsia="Aptos" w:hAnsi="Times New Roman" w:cs="Times New Roman"/>
                <w:sz w:val="24"/>
                <w:szCs w:val="24"/>
              </w:rPr>
              <w:t xml:space="preserve">, PM</w:t>
            </w:r>
            <w:r>
              <w:rPr>
                <w:rFonts w:ascii="Times New Roman" w:eastAsia="Aptos" w:hAnsi="Times New Roman" w:cs="Times New Roman"/>
                <w:sz w:val="24"/>
                <w:szCs w:val="24"/>
                <w:vertAlign w:val="subscript"/>
              </w:rPr>
              <w:t xml:space="preserve">2,5</w:t>
            </w:r>
            <w:r>
              <w:rPr>
                <w:rFonts w:ascii="Times New Roman" w:eastAsia="Aptos" w:hAnsi="Times New Roman" w:cs="Times New Roman"/>
                <w:sz w:val="24"/>
                <w:szCs w:val="24"/>
              </w:rPr>
              <w:t xml:space="preserve">, UFP, BC</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w:t>
            </w:r>
          </w:p>
        </w:tc>
      </w:tr>
      <w:tr>
        <w:tblPrEx>
          <w:tblBorders/>
        </w:tblPrEx>
        <w:trPr>
          <w:trHeight w:hRule="atLeast" w:val="543"/>
        </w:trPr>
        <w:tc>
          <w:tcPr>
            <w:tcW w:w="3823"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NO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 O</w:t>
            </w:r>
            <w:r>
              <w:rPr>
                <w:rFonts w:ascii="Times New Roman" w:eastAsia="Aptos" w:hAnsi="Times New Roman" w:cs="Times New Roman"/>
                <w:sz w:val="24"/>
                <w:szCs w:val="24"/>
                <w:vertAlign w:val="subscript"/>
              </w:rPr>
              <w:t xml:space="preserve">3</w:t>
            </w:r>
            <w:r>
              <w:rPr>
                <w:rFonts w:ascii="Times New Roman" w:eastAsia="Aptos" w:hAnsi="Times New Roman" w:cs="Times New Roman"/>
                <w:sz w:val="24"/>
                <w:szCs w:val="24"/>
              </w:rPr>
              <w:t xml:space="preserve"> i amonijak</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w:t>
            </w:r>
          </w:p>
        </w:tc>
      </w:tr>
      <w:tr>
        <w:tblPrEx>
          <w:tblBorders/>
        </w:tblPrEx>
        <w:trPr>
          <w:trHeight w:hRule="atLeast" w:val="543"/>
        </w:trPr>
        <w:tc>
          <w:tcPr>
            <w:tcW w:w="3823"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SO</w:t>
            </w:r>
            <w:r>
              <w:rPr>
                <w:rFonts w:ascii="Times New Roman" w:eastAsia="Aptos" w:hAnsi="Times New Roman" w:cs="Times New Roman"/>
                <w:sz w:val="24"/>
                <w:szCs w:val="24"/>
                <w:vertAlign w:val="subscript"/>
              </w:rPr>
              <w:t xml:space="preserve">2</w:t>
            </w:r>
            <w:r>
              <w:rPr>
                <w:rFonts w:ascii="Times New Roman" w:eastAsia="Aptos" w:hAnsi="Times New Roman" w:cs="Times New Roman"/>
                <w:sz w:val="24"/>
                <w:szCs w:val="24"/>
              </w:rPr>
              <w:t xml:space="preserve">, CO</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948"/>
        </w:trPr>
        <w:tc>
          <w:tcPr>
            <w:tcW w:w="3823"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Ukupno taloženje benzo(a)pirena i prema potrebi drugih policikličkih aromatskih ugljikovodika (PAU)</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 </w:t>
            </w:r>
          </w:p>
        </w:tc>
      </w:tr>
      <w:tr>
        <w:tblPrEx>
          <w:tblBorders/>
        </w:tblPrEx>
        <w:trPr>
          <w:trHeight w:hRule="atLeast" w:val="707"/>
        </w:trPr>
        <w:tc>
          <w:tcPr>
            <w:tcW w:w="3823"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Ukupno taloženje arsena, kadmija, olova, nikla i žive</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972"/>
        </w:trPr>
        <w:tc>
          <w:tcPr>
            <w:tcW w:w="3823"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Benzo(a)piren, prema potrebi drugi policiklički aromatski ugljikovodici (PAU) </w:t>
            </w:r>
            <w:r>
              <w:rPr>
                <w:rFonts w:ascii="Times New Roman" w:eastAsia="Aptos" w:hAnsi="Times New Roman" w:cs="Times New Roman"/>
                <w:sz w:val="24"/>
                <w:szCs w:val="24"/>
                <w:vertAlign w:val="superscript"/>
              </w:rPr>
              <w:t xml:space="preserve">(1)</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543"/>
        </w:trPr>
        <w:tc>
          <w:tcPr>
            <w:tcW w:w="3823"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Arsen, kadmij, olovo i nikal</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853"/>
        </w:trPr>
        <w:tc>
          <w:tcPr>
            <w:tcW w:w="3823"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Kemijski sastav PM</w:t>
            </w:r>
            <w:r>
              <w:rPr>
                <w:rFonts w:ascii="Times New Roman" w:eastAsia="Aptos" w:hAnsi="Times New Roman" w:cs="Times New Roman"/>
                <w:sz w:val="24"/>
                <w:szCs w:val="24"/>
                <w:vertAlign w:val="subscript"/>
              </w:rPr>
              <w:t xml:space="preserve">2,5</w:t>
            </w:r>
            <w:r>
              <w:rPr>
                <w:rFonts w:ascii="Times New Roman" w:eastAsia="Aptos" w:hAnsi="Times New Roman" w:cs="Times New Roman"/>
                <w:sz w:val="24"/>
                <w:szCs w:val="24"/>
              </w:rPr>
              <w:t xml:space="preserve"> u skladu s pravilnikom iz članka 23. ovoga Zakona</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543"/>
        </w:trPr>
        <w:tc>
          <w:tcPr>
            <w:tcW w:w="3823"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Ukupna plinovita živa</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bl>
    <w:p>
      <w:pPr>
        <w:pBdr/>
        <w:pStyle w:val="Normal"/>
        <w:spacing w:line="278" w:lineRule="auto"/>
        <w:ind/>
        <w:jc w:val="both"/>
        <w:rPr>
          <w:rFonts w:ascii="Arial" w:eastAsia="Arial" w:hAnsi="Arial" w:cs="Arial"/>
          <w:sz w:val="24"/>
          <w:szCs w:val="24"/>
        </w:rPr>
      </w:pPr>
      <w:r>
        <w:rPr>
          <w:rFonts w:ascii="Arial" w:eastAsia="Arial" w:hAnsi="Arial" w:cs="Arial"/>
          <w:sz w:val="24"/>
          <w:szCs w:val="24"/>
          <w:vertAlign w:val="superscript"/>
        </w:rPr>
        <w:t xml:space="preserve">(1)</w:t>
      </w:r>
      <w:r>
        <w:rPr>
          <w:rFonts w:ascii="Arial" w:eastAsia="Arial" w:hAnsi="Arial" w:cs="Arial"/>
          <w:sz w:val="24"/>
          <w:szCs w:val="24"/>
        </w:rPr>
        <w:t xml:space="preserve"> Benzo(a)piren i drugi policiklički aromatski ugljikovodici iz članka 24. stavka 8. ovoga Zakona.</w:t>
      </w:r>
    </w:p>
    <w:p>
      <w:pPr>
        <w:pBdr/>
        <w:pStyle w:val="Normal"/>
        <w:spacing w:line="278" w:lineRule="auto"/>
        <w:ind/>
        <w:jc w:val="both"/>
        <w:rPr>
          <w:rFonts w:ascii="Arial" w:eastAsia="Arial" w:hAnsi="Arial" w:cs="Arial"/>
          <w:sz w:val="24"/>
          <w:szCs w:val="24"/>
        </w:rPr>
      </w:pPr>
    </w:p>
    <w:p>
      <w:pPr>
        <w:pBdr/>
        <w:pStyle w:val="Normal"/>
        <w:spacing w:line="278" w:lineRule="auto"/>
        <w:ind/>
        <w:jc w:val="both"/>
        <w:rPr>
          <w:rFonts w:ascii="Arial" w:eastAsia="Arial" w:hAnsi="Arial" w:cs="Arial"/>
          <w:b/>
          <w:bCs/>
          <w:sz w:val="24"/>
          <w:szCs w:val="24"/>
        </w:rPr>
      </w:pPr>
      <w:r>
        <w:rPr>
          <w:rFonts w:ascii="Arial" w:eastAsia="Arial" w:hAnsi="Arial" w:cs="Arial"/>
          <w:b/>
          <w:bCs/>
          <w:sz w:val="24"/>
          <w:szCs w:val="24"/>
        </w:rPr>
        <w:t xml:space="preserve">Tablica 3. – Onečišćujuće tvari čije se mjerenje preporučuje na superlokacijama za praćenje na gradskim pozadinskim lokacijama i ruralnim pozadinskim lokacijama ako nisu obuhvaćene zahtjevima iz tablica 1. i 2.</w:t>
      </w:r>
    </w:p>
    <w:tbl>
      <w:tblPr>
        <w:tblStyle w:val="Rešetka tablice5"/>
        <w:tblW w:w="9220" w:type="dxa"/>
        <w:jc w:val="left"/>
        <w:tblInd w:w="0" w:type="dxa"/>
        <w:tblCellMar>
          <w:top w:w="0" w:type="dxa"/>
          <w:left w:w="108" w:type="dxa"/>
          <w:bottom w:w="0" w:type="dxa"/>
          <w:right w:w="108"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fill="auto" w:color="auto"/>
        <w:tblLayout w:type="fixed"/>
      </w:tblPr>
      <w:tblGrid>
        <w:gridCol w:w="3831"/>
        <w:gridCol w:w="5389"/>
      </w:tblGrid>
      <w:tr>
        <w:tblPrEx>
          <w:tblBorders/>
        </w:tblPrEx>
        <w:trPr>
          <w:trHeight w:hRule="atLeast" w:val="510"/>
        </w:trPr>
        <w:tc>
          <w:tcPr>
            <w:tcW w:w="3831"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c>
          <w:tcPr>
            <w:tcW w:w="5389" w:type="dxa"/>
            <w:tcBorders/>
            <w:shd w:fill="auto" w:color="auto"/>
            <w:vAlign w:val="center"/>
          </w:tcPr>
          <w:p>
            <w:pPr>
              <w:pBdr/>
              <w:pStyle w:val="Normal"/>
              <w:spacing w:after="160" w:line="278" w:lineRule="auto"/>
              <w:ind/>
              <w:jc w:val="center"/>
              <w:rPr>
                <w:rFonts w:ascii="Times New Roman" w:eastAsia="Aptos" w:hAnsi="Times New Roman" w:cs="Times New Roman"/>
                <w:sz w:val="24"/>
                <w:szCs w:val="24"/>
              </w:rPr>
            </w:pPr>
            <w:r>
              <w:rPr>
                <w:rFonts w:ascii="Times New Roman" w:eastAsia="Aptos" w:hAnsi="Times New Roman" w:cs="Times New Roman"/>
                <w:sz w:val="24"/>
                <w:szCs w:val="24"/>
              </w:rPr>
              <w:t xml:space="preserve">Onečišćujuća tvar</w:t>
            </w:r>
          </w:p>
        </w:tc>
      </w:tr>
      <w:tr>
        <w:tblPrEx>
          <w:tblBorders/>
        </w:tblPrEx>
        <w:trPr>
          <w:trHeight w:hRule="atLeast" w:val="510"/>
        </w:trPr>
        <w:tc>
          <w:tcPr>
            <w:tcW w:w="383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Raspodjele veličine UFP-a</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759"/>
        </w:trPr>
        <w:tc>
          <w:tcPr>
            <w:tcW w:w="383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Oksidativni potencijal lebdećih čestica</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510"/>
        </w:trPr>
        <w:tc>
          <w:tcPr>
            <w:tcW w:w="383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Amonijak</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750"/>
        </w:trPr>
        <w:tc>
          <w:tcPr>
            <w:tcW w:w="383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Levoglukozan se mjeri kao dio kemijskog sastava PM</w:t>
            </w:r>
            <w:r>
              <w:rPr>
                <w:rFonts w:ascii="Times New Roman" w:eastAsia="Aptos" w:hAnsi="Times New Roman" w:cs="Times New Roman"/>
                <w:sz w:val="24"/>
                <w:szCs w:val="24"/>
                <w:vertAlign w:val="subscript"/>
              </w:rPr>
              <w:t xml:space="preserve">2,5</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510"/>
        </w:trPr>
        <w:tc>
          <w:tcPr>
            <w:tcW w:w="383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Ukupna plinovita živa</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510"/>
        </w:trPr>
        <w:tc>
          <w:tcPr>
            <w:tcW w:w="383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Kruta i plinovita dvovalentna živa</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r>
        <w:tblPrEx>
          <w:tblBorders/>
        </w:tblPrEx>
        <w:trPr>
          <w:trHeight w:hRule="atLeast" w:val="510"/>
        </w:trPr>
        <w:tc>
          <w:tcPr>
            <w:tcW w:w="3831"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Dušična kiselina</w:t>
            </w:r>
          </w:p>
        </w:tc>
        <w:tc>
          <w:tcPr>
            <w:tcW w:w="5389" w:type="dxa"/>
            <w:tcBorders/>
            <w:shd w:fill="auto" w:color="auto"/>
            <w:vAlign w:val="center"/>
          </w:tcPr>
          <w:p>
            <w:pPr>
              <w:pBdr/>
              <w:pStyle w:val="Normal"/>
              <w:spacing w:after="160" w:line="278" w:lineRule="auto"/>
              <w:ind/>
              <w:rPr>
                <w:rFonts w:ascii="Times New Roman" w:eastAsia="Aptos" w:hAnsi="Times New Roman" w:cs="Times New Roman"/>
                <w:sz w:val="24"/>
                <w:szCs w:val="24"/>
              </w:rPr>
            </w:pPr>
            <w:r>
              <w:rPr>
                <w:rFonts w:ascii="Times New Roman" w:eastAsia="Aptos" w:hAnsi="Times New Roman" w:cs="Times New Roman"/>
                <w:sz w:val="24"/>
                <w:szCs w:val="24"/>
              </w:rPr>
              <w:t xml:space="preserve">Mjerenja na stalnim mjestima ili indikativna mjerenja</w:t>
            </w:r>
          </w:p>
        </w:tc>
      </w:tr>
    </w:tbl>
    <w:p>
      <w:pPr>
        <w:pBdr/>
        <w:pStyle w:val="Normal"/>
        <w:spacing w:line="278" w:lineRule="auto"/>
        <w:ind/>
        <w:rPr>
          <w:rFonts w:ascii="Arial" w:eastAsia="Arial" w:hAnsi="Arial" w:cs="Arial"/>
          <w:sz w:val="24"/>
          <w:szCs w:val="24"/>
        </w:rPr>
      </w:pPr>
    </w:p>
    <w:p>
      <w:pPr>
        <w:pBdr/>
        <w:pStyle w:val="Normal"/>
        <w:spacing/>
        <w:ind/>
        <w:rPr>
          <w:rFonts w:ascii="Arial" w:eastAsia="Arial" w:hAnsi="Arial" w:cs="Arial"/>
          <w:sz w:val="24"/>
          <w:szCs w:val="24"/>
        </w:rPr>
      </w:pPr>
      <w:r>
        <w:rPr>
          <w:rFonts w:ascii="Arial" w:eastAsia="Arial" w:hAnsi="Arial" w:cs="Arial"/>
          <w:sz w:val="24"/>
          <w:szCs w:val="24"/>
        </w:rPr>
        <w:br w:type="page"/>
      </w:r>
    </w:p>
    <w:p>
      <w:pPr>
        <w:pBdr/>
        <w:pStyle w:val="Heading 2"/>
        <w:spacing/>
        <w:ind/>
        <w:rPr>
          <w:rFonts w:ascii="Arial" w:eastAsia="Arial" w:hAnsi="Arial" w:cs="Arial"/>
        </w:rPr>
      </w:pPr>
      <w:r>
        <w:rPr>
          <w:rFonts w:ascii="Arial" w:eastAsia="Arial" w:hAnsi="Arial" w:cs="Arial"/>
        </w:rPr>
        <w:t xml:space="preserve">DODATAK V.</w:t>
      </w:r>
    </w:p>
    <w:p>
      <w:pPr>
        <w:pBdr/>
        <w:pStyle w:val="Heading 2"/>
        <w:spacing/>
        <w:ind/>
        <w:rPr>
          <w:rFonts w:ascii="Arial" w:eastAsia="Arial" w:hAnsi="Arial" w:cs="Arial"/>
        </w:rPr>
      </w:pPr>
      <w:r>
        <w:rPr>
          <w:rFonts w:ascii="Arial" w:eastAsia="Arial" w:hAnsi="Arial" w:cs="Arial"/>
        </w:rPr>
        <w:t xml:space="preserve">INFORMACIJE KOJE TREBA UKLJUČITI U PLANOVE ZA KVALITETU ZRAKA I PLANOVE DJELOVANJA ZA KVALITETU ZRAKA ZA POBOLJŠANJE KVALITETE ZRAKA</w:t>
      </w:r>
    </w:p>
    <w:p>
      <w:pPr>
        <w:pBdr/>
        <w:pStyle w:val="Normal"/>
        <w:spacing w:line="278" w:lineRule="auto"/>
        <w:ind/>
        <w:jc w:val="both"/>
        <w:rPr>
          <w:rFonts w:ascii="Arial" w:eastAsia="Arial" w:hAnsi="Arial" w:cs="Arial"/>
          <w:b/>
          <w:bCs/>
          <w:sz w:val="24"/>
          <w:szCs w:val="24"/>
        </w:rPr>
      </w:pP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Informacije koje treba pružati na temelju članka 49. ovog Zakona </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1. Lokaliziranje prekomjernog onečišćenja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regija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grad/gradovi (karte)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 točke uzorkovanja (karta, geografske koordinate).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2. Opće informacije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vrsta zone (gradsko, industrijsko ili ruralno područje) ili značajke prostorne jedinice prosječne izloženosti ili prostorne jedinice iz članka 45. stavaka 5. do 14. ovoga Zakona (uključujući gradska, industrijska ili ruralna područja)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procjena veličine onečišćenog područja (km</w:t>
      </w:r>
      <w:r>
        <w:rPr>
          <w:rFonts w:ascii="Arial" w:eastAsia="Arial" w:hAnsi="Arial" w:cs="Arial"/>
          <w:sz w:val="24"/>
          <w:szCs w:val="24"/>
          <w:vertAlign w:val="superscript"/>
        </w:rPr>
        <w:t xml:space="preserve">2</w:t>
      </w:r>
      <w:r>
        <w:rPr>
          <w:rFonts w:ascii="Arial" w:eastAsia="Arial" w:hAnsi="Arial" w:cs="Arial"/>
          <w:sz w:val="24"/>
          <w:szCs w:val="24"/>
        </w:rPr>
        <w:t xml:space="preserve">) i broja stanovnika izloženih onečišćenju</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 koncentracije relevantne onečišćujuće tvari ili pokazatelj prosječne izloženosti toj tvari opažen najmanje pet godina prije prekoračenja u usporedbi s najnovijim podatcima, uključujući i njihovu usporedbu s graničnim vrijednostima ili obvezom smanjenja prosječne izloženosti te ciljanom prosječnom koncentracijom izloženosti.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3. Odgovorna tijela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Imena i adrese nadležnih tijela koja su odgovorna za izradu i provedbu planova ili planova djelovanja za kvalitetu zraka.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4. Podrijetlo onečišćenja uzimajući u obzir izvješćivanje na temelju nacionalnog propisa o smanjenju nacionalnih emisija određenih onečišćujućih tvari u zraku i informacije dostavljene u nacionalnom programu kontrole onečišćenja zraka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popis glavnih izvora emisija koje su odgovorne za onečišćenje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ukupna količina emisija iz tih izvora (u tonama/godišnje)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 procjena razine emisija (npr. razina grada, regionalna razina, nacionalna razina i prekogranični prijenosi)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(d) raspodjela izvora prema relevantnim sektorima koji doprinose prekoračenju kako je definirano u nacionalnom programu kontrole onečišćenja zraka.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5. Opis osnovnog scenarija na kojem se temelji plan za kvalitetu zraka ili plan djelovanja za kvalitetu zraka za dokazivanje posljedica nedjelovanja, uključujući predviđeni razvoj emisija i koncentracija.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6. Utvrđivanje mjera za smanjenje onečišćenja zraka koje se mogu uzeti u obzir pri odabiru i detaljni podatci o tim mjerama: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popis i opis svih mjera razmatranih u planu za kvalitetu zraka ili u planu djelovanja za kvalitetu zraka, uključujući utvrđivanje nadležnog tijela zaduženog za njihovu provedbu</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kvantifikacija ili procjena smanjenja emisija (u tonama/godišnje) i ako su dostupna smanjenja koncentracije za svaku mjeru iz točke (a).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7. Odabrane mjere i njihov očekivani učinak za postizanje usklađenosti u rokovima utvrđenima u članku 45., 46., 48. i 51. ovoga Zakona: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popis odabranih mjera, uključujući popis informacija (kao što su rezultati modeliranja i procjene mjera) za postizanje predmetnog standarda kvalitete zraka u skladu s Dodatkom I. ovoga Zakona; prema potrebi, ako popis mjera u skladu s točkom 6. podtočkom (a) ove točke uključuje mjere s mogućim visokim potencijalom za poboljšanje kvalitete zraka, ali nisu odabrane za donošenje, objašnjenje razloga zbog kojih mjere nisu odabrane za donošenje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raspored provedbe svake mjere i odgovorni subjekti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 kvantifikacija smanjenja emisija (u tonama/godišnje), kombinacije mjera iz točke (a) ove točke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(d) očekivano kvantificirano smanjenje koncentracije (u μg/m</w:t>
      </w:r>
      <w:r>
        <w:rPr>
          <w:rFonts w:ascii="Arial" w:eastAsia="Arial" w:hAnsi="Arial" w:cs="Arial"/>
          <w:sz w:val="24"/>
          <w:szCs w:val="24"/>
          <w:vertAlign w:val="superscript"/>
        </w:rPr>
        <w:t xml:space="preserve">3</w:t>
      </w:r>
      <w:r>
        <w:rPr>
          <w:rFonts w:ascii="Arial" w:eastAsia="Arial" w:hAnsi="Arial" w:cs="Arial"/>
          <w:sz w:val="24"/>
          <w:szCs w:val="24"/>
        </w:rPr>
        <w:t xml:space="preserve">) na svakoj točki uzorkovanja pri prekoračenju graničnih vrijednosti, ciljnih vrijednosti ili pokazatelja prosječne izloženosti u slučaju prekoračenja obveze smanjenja prosječne izloženosti, zahvaljujući skupu mjera iz točke (a) ove točke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(e) okvirni plan napretka prema usklađenosti i procijenjena godina usklađenosti po onečišćujućoj tvari u zraku obuhvaćenoj planom ili planom djelovanja za kvalitetu zraka, uzimajući u obzir skup mjera iz točke (a) ove točke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(f) za planove djelovanja i planove za kvalitetu zraka razlozi kojima se objašnjavaju načini na koji se takvim planovima ili planovima djelovanja utvrđuju mjere kako bi se osiguralo da razdoblje prekoračenja bude što je moguće kraće, uključujući raspored provedbe.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8. Prilog 1. planovima za kvalitetu zraka ili planovima djelovanja za kvalitetu zraka: Dodatne popratne informacije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klimatski podatci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topografski podatci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 informacije o vrsti ciljeva u zoni koje je potrebno zaštititi, ako je primjenjivo</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(d) popis i opis svih dodatnih mjera čiji se pun učinak na koncentracije onečišćujućih tvari u zraku očekuje za tri godine ili više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(e) socioekonomske informacije o povezanom području radi promicanja pitanja ekološke jednakosti i zaštite osjetljivog stanovništva i ranjivih skupina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(f) opis primijenjene metode i postavljenih pretpostavki ili podataka upotrijebljenih za projekcije razvoja kvalitete zraka, uključujući, ako je to moguće, marginu nesigurnosti </w:t>
      </w:r>
      <w:r>
        <w:rPr>
          <w:rFonts w:ascii="Arial" w:eastAsia="Arial" w:hAnsi="Arial" w:cs="Arial"/>
          <w:sz w:val="24"/>
          <w:szCs w:val="24"/>
        </w:rPr>
        <w:t xml:space="preserve">projekcija i scenarije osjetljivosti kako bi se u obzir uzeli najbolji, najvjerojatniji i najgori scenariji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(g) popratne dokumente i informacije upotrijebljene za procjenu.</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9. Prilog 2. planovima za kvalitetu zraka ili planovima djelovanja za kvalitetu zraka: Sažetak mjera za obavješćivanje javnosti i savjetovanja s javnosti poduzetih u skladu s člankom 50. ovoga Zakona, njihovi rezultati i objašnjenje o tome kako su ti rezultati uzeti u obzir u konačnom planu ili planu djelovanja za kvalitetu zraka.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10. Prilog 3. planovima za kvalitetu zraka ili planovima djelovanja za kvalitetu zraka: Evaluacija mjera (u slučaju ažuriranja plana za kvalitetu zraka)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procjena rokova za mjere iz prethodnog plana za kvalitetu zraka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procjena učinka mjera iz prethodnog plana za kvalitetu zraka na smanjenje emisija i koncentracije onečišćujućih tvari.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Indikativni popis mjera za smanjenje onečišćenja zraka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1. Informacije o statusu provedbe direktiva iz članka 14. stavka 3. točke (b) Direktive (EU) 2016/2284.</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2. Informacije o svim mjerama za smanjenje onečišćenja zraka čija je provedba razmatrana na lokalnoj, regionalnoj ili nacionalnoj razini u vezi s postizanjem ciljeva kvalitete zraka, kao što su:</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smanjenje emisija iz nepokretnih izvora time da se osigura da su mali i srednji nepokretni izvori izgaranja koji onečišćuju (uključujući biomasu) opremljeni opremom za kontrolu emisija ili zamijenjeni te da se poboljša energetska učinkovitost zgrada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smanjenje emisija iz vozila naknadnom ugradnjom pogonskih sklopova bez emisija i opreme za kontrolu emisija; potrebno je razmotriti uvođenje ekonomskih poticaja za ubrzavanje prilagođavanja vozila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 javna nabava, u skladu s priručnikom o zelenoj javnoj nabavi, goriva, opreme za izgaranje za smanjenje emisija te vozila s nultim emisijama kako su definirana u članku 3. stavku 1. točki (m) Uredbe (EU) 2019/631 Europskog parlamenta i Vijeća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(d) smanjenje emisija zbog uvođenja vozila s nultim i niskim emisijama u zajedničkom i javnom prijevozu ili vozila opremljenih modernim digitalnim rješenjima koja utječu na smanjenje emisija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(e) mjere za bolju kvalitetu, učinkovitost, cjenovnu pristupačnost i povezanost zajedničkog i javnog prijevoza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(f) mjere za prihvaćanje i primjenu infrastrukture za alternativna goriva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(g) mjere za ograničavanje emisija iz prometa, konkretno urbanističkim planiranjem i upravljanjem prometom, uključujući: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 cijene za zakrčenost prometa, kao što su cijene cestarina i korisničke pristojbe na temelju kilometraže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 izbor cestovnih materijala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iii. pristojbe za parkiranje na javnim površinama ili druge ekonomske poticaje te različite pristojbe za vozila koja onečišćuju i vozila s nultim emisijama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iv. uspostavu sustava ograničenja pristupa vozilima u gradovima, uključujući zone s niskim emisijama i zone s nultom stopom emisija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v. uspostavu četvrti s niskim prometom, superblokova i četvrti bez automobila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vi. uvođenje ulica bez automobila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vii. mehanizme za ostvarivanje nultih (ispušnih) emisija tijekom „posljednjeg kilometra”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viii. promicanje zajedničkog korištenja automobila i zajedničke vožnje automobilom</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ix. uvođenje inteligentnih prometnih sustava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x. stvaranje multimodalnih čvorišta koja povezuju različita održiva prijevozna rješenja i objekte za parkiranje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xi. poticanje vožnje biciklom i pješačenja, na primjer širenjem prostora za bicikliste i pješake, davanjem prednosti vožnji biciklom i pješačenju u planiranju infrastrukture, širenjem mreže biciklističkih ruta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xii. planiranje za kompaktne gradove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(h) mjere za poticanje prelaska na aktivnu mobilnost i vrste prijevoza koji manje onečišćuju (npr. pješačenje, vožnja biciklom, javni prijevoz ili željeznica), uključujući: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 elektrifikaciju javnog prijevoza, jačanje mreže javnog prijevoza i pojednostavnjenje pristupa javnom prijevozu i korištenja njime, na primjer s pomoću digitalnih i međusobno povezanih rezervacija i informacija o tranzitu u stvarnom vremenu</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 osiguravanje neometane intermodalnosti za putovanja na posao između ruralnih i urbanih područja, na primjer između željeznice i vožnje biciklom, te između automobila i javnog prijevoza (kao što su programi „parkiraj i vozi se”)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iii. preusmjeravanje fiskalnih i gospodarskih poticaja u aktivnu i zajedničku mobilnost, uključujući poticaje za vožnju biciklom i pješačenje do posla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iv. programe za odlaganje vozila koja najviše onečišćuju</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 mjere za poticanje prelaska na vozila i necestovne strojeve s nultim emisijama za privatne i komercijalne namjene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(j) mjere kojima se osigurava davanje prednosti gorivima s niskim emisijama u malim, srednjim i velikim stacionarnim izvorima i mobilnim izvorima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(k) mjere za smanjenje onečišćenja zraka iz industrijskih izvora u skladu s Direktivom 2010/75/EU i primjenom gospodarskih instrumenata kao što su porezi, naknade ili trgovanje emisijama, uzimajući pritom u obzir posebnosti MSP-</w:t>
      </w:r>
      <w:r>
        <w:rPr>
          <w:rFonts w:ascii="Arial" w:eastAsia="Arial" w:hAnsi="Arial" w:cs="Arial"/>
          <w:sz w:val="24"/>
          <w:szCs w:val="24"/>
        </w:rPr>
        <w:t xml:space="preserve">ova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(l) smanjenje emisija iz pomorskog i zračnog prometa zahvaljujući upotrebi alternativnih goriva i uvođenju infrastrukture za alternativna goriva te upotrebi gospodarskih poticaja kako bi se ubrzalo njihovo prihvaćanje, kao i utvrđivanje posebnih zahtjeva za čamce i brodove na vezu te lučki promet, uz istodobno </w:t>
      </w:r>
      <w:r>
        <w:rPr>
          <w:rFonts w:ascii="Arial" w:eastAsia="Arial" w:hAnsi="Arial" w:cs="Arial"/>
          <w:sz w:val="24"/>
          <w:szCs w:val="24"/>
        </w:rPr>
        <w:t xml:space="preserve">ubrzavanje opskrbe električnom energijom s kopna i elektrifikacije brodova i lučkih radnih strojeva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(m) mjere za smanjenje emisija iz poljoprivrede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(n) mjere za zaštitu zdravlja djece ili ostalog osjetljivog stanovništva i ranjivih skupina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(o) mjere za poticanje promjena u ponašanju.</w:t>
      </w:r>
    </w:p>
    <w:p>
      <w:pPr>
        <w:pBdr/>
        <w:pStyle w:val="Normal"/>
        <w:spacing/>
        <w:ind/>
        <w:rPr>
          <w:rFonts w:ascii="Arial" w:eastAsia="Arial" w:hAnsi="Arial" w:cs="Arial"/>
          <w:sz w:val="24"/>
          <w:szCs w:val="24"/>
        </w:rPr>
      </w:pPr>
      <w:r>
        <w:rPr>
          <w:rFonts w:ascii="Arial" w:eastAsia="Arial" w:hAnsi="Arial" w:cs="Arial"/>
          <w:sz w:val="24"/>
          <w:szCs w:val="24"/>
        </w:rPr>
        <w:br w:type="page"/>
      </w:r>
    </w:p>
    <w:p>
      <w:pPr>
        <w:pBdr/>
        <w:pStyle w:val="Heading 2"/>
        <w:spacing/>
        <w:ind/>
        <w:rPr>
          <w:rFonts w:ascii="Arial" w:eastAsia="Arial" w:hAnsi="Arial" w:cs="Arial"/>
        </w:rPr>
      </w:pPr>
      <w:r>
        <w:rPr>
          <w:rFonts w:ascii="Arial" w:eastAsia="Arial" w:hAnsi="Arial" w:cs="Arial"/>
        </w:rPr>
        <w:t xml:space="preserve">DODATAK VI. </w:t>
      </w:r>
    </w:p>
    <w:p>
      <w:pPr>
        <w:pBdr/>
        <w:pStyle w:val="Heading 2"/>
        <w:spacing/>
        <w:ind/>
        <w:rPr>
          <w:rFonts w:ascii="Arial" w:eastAsia="Arial" w:hAnsi="Arial" w:cs="Arial"/>
        </w:rPr>
      </w:pPr>
      <w:r>
        <w:rPr>
          <w:rFonts w:ascii="Arial" w:eastAsia="Arial" w:hAnsi="Arial" w:cs="Arial"/>
        </w:rPr>
        <w:t xml:space="preserve">OBAVJEŠĆIVANJE JAVNOSTI</w:t>
      </w:r>
    </w:p>
    <w:p>
      <w:pPr>
        <w:pBdr/>
        <w:pStyle w:val="Normal"/>
        <w:spacing w:line="278" w:lineRule="auto"/>
        <w:ind/>
        <w:jc w:val="both"/>
        <w:rPr>
          <w:rFonts w:ascii="Arial" w:eastAsia="Arial" w:hAnsi="Arial" w:cs="Arial"/>
          <w:b/>
          <w:bCs/>
          <w:sz w:val="24"/>
          <w:szCs w:val="24"/>
        </w:rPr>
      </w:pP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1. Nadležna tijela pružaju barem sljedeće informacije javnosti: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jednosatne ažurirane podatke (UTD) po točki uzorkovanja za sumporov dioksid, dušikov dioksid, lebdeće čestice PM</w:t>
      </w:r>
      <w:r>
        <w:rPr>
          <w:rFonts w:ascii="Arial" w:eastAsia="Arial" w:hAnsi="Arial" w:cs="Arial"/>
          <w:sz w:val="24"/>
          <w:szCs w:val="24"/>
          <w:vertAlign w:val="subscript"/>
        </w:rPr>
        <w:t xml:space="preserve">10</w:t>
      </w:r>
      <w:r>
        <w:rPr>
          <w:rFonts w:ascii="Arial" w:eastAsia="Arial" w:hAnsi="Arial" w:cs="Arial"/>
          <w:sz w:val="24"/>
          <w:szCs w:val="24"/>
        </w:rPr>
        <w:t xml:space="preserve"> i PM</w:t>
      </w:r>
      <w:r>
        <w:rPr>
          <w:rFonts w:ascii="Arial" w:eastAsia="Arial" w:hAnsi="Arial" w:cs="Arial"/>
          <w:sz w:val="24"/>
          <w:szCs w:val="24"/>
          <w:vertAlign w:val="subscript"/>
        </w:rPr>
        <w:t xml:space="preserve">2,5</w:t>
      </w:r>
      <w:r>
        <w:rPr>
          <w:rFonts w:ascii="Arial" w:eastAsia="Arial" w:hAnsi="Arial" w:cs="Arial"/>
          <w:sz w:val="24"/>
          <w:szCs w:val="24"/>
        </w:rPr>
        <w:t xml:space="preserve">, ugljikov monoksid i prizemni ozon; to se primjenjuje na informacije iz svih točaka uzorkovanja na kojima su dostupni ažurirani podatci, i barem na informacije iz minimalnog broja točaka uzorkovanja koji se zahtijeva na temelju pravilnika iz članka 23. ovoga Zakona ako je metoda mjerenja primjerena za ažurirane podatke (UTD), bez obzira na to što nadležna tijela javnosti pružaju što više informacija o ažuriranim podatcima (UTD) i u tu svrhu postupno prilagođavaju svoje metode mjerenja; ako su dostupne, treba pružati i ažurne informacije dobivene iz primjena modeliranja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izmjerene koncentracije svih onečišćujućih tvari i ako je moguće njihovu usporedbu s najnovijim vrijednostima koje je u smjernicama preporučila Svjetska zdravstvena organizacija, predstavljene u odgovarajućim razdobljima kako je utvrđeno u Dodatku I ovoga Zakona.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 informacije o uočenim prekoračenjima bilo koje granične vrijednosti, ciljne vrijednosti i obveze smanjenja prosječne izloženosti, uključujući barem:</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 mjesto ili područje prekoračenja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 vrijeme početka i trajanje prekoračenja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iii. izmjerenu koncentraciju u usporedbi s primjenjivim standardima kvalitete zraka ili pokazateljem prosječne izloženosti u slučaju prekoračenja obveze smanjenja prosječne izloženosti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(d) informacije o posljedicama na zdravlje, uključujući barem:</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 utjecaj onečišćenja zraka na zdravlje opće populacije i, u mjeri u kojoj je to moguće, svake onečišćujuće tvari obuhvaćene ovim Zakonom</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 utjecaj onečišćenja zraka na zdravlje osjetljivog stanovništva i ranjivih skupina te, u mjeri u kojoj je to moguće, svake onečišćujuće tvari obuhvaćene ovim Zakonom</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iii. opis mogućih simptoma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iv. preporučene mjere opreza koje treba poduzeti, raščlanjene na mjere opreza koje trebaju poduzeti opća populacija te osjetljivo stanovništvo i ranjive skupine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v. gdje pronaći dodatne informacije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(e) informacije o posljedicama na vegetaciju</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(f) informacije o preventivnim mjerama za smanjenje onečišćenja i izloženosti njemu: navođenje sektora koji su glavni izvori onečišćenja; preporuke za mjere za smanjenje emisija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(g) informacije o kampanjama mjerenja ili sličnim aktivnostima i njihovim rezultatima ako su provedene.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2. Nadležna tijela osiguravaju da javnost dobije pravovremene informacije o svim trenutačnim ili predviđenim prekoračenjima pragova upozorenja i pragova obavješćivanja; dostavljene pojedinosti obuhvaćaju barem sljedeće informacije: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(a) informacije o zabilježenom prekoračenju/prekoračenjima: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 mjesto ili područje prekoračenja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 vrsta praga koji je prekoračen (prag upozorenja ili prag obavješćivanja)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iii. vrijeme početka i trajanje prekoračenja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iv. najviša jednosatna koncentracija i, za prizemni ozon, najviša osmosatna srednja vrijednost koncentracije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(b) prognozu za sljedeće poslijepodne/dan (dane):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 geografsko područje na kojem se očekuje prekoračenje praga upozorenja ili praga obavješćivanja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 očekivane promjene u onečišćenju (tj. poboljšanje, stabilizacija ili pogoršanje), zajedno s razlozima za takve promjene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(c) informacije o predmetnom stanovništvu, mogućim učincima na zdravlje i preporučenom ponašanju:</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 informacije o skupinama stanovništva koje su ugrožene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 opis mogućih simptoma</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iii. preporučene mjere predostrožnosti koje predmetno stanovništvo treba poduzeti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iv. gdje pronaći dodatne informacije</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(d) informacije o kratkoročnim akcijskim planovima i preventivnim mjerama za smanjenje onečišćenja i izloženosti njemu: navođenje sektora koji su glavni izvori onečišćenja; preporuke za mjere za smanjenje emisija iz antropogenih izvora </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(e) preporuke za mjere za smanjenje izloženosti</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(f) u slučaju predviđenih prekoračenja, nadležna tijela poduzimaju korake kako bi osigurale da se takve pojedinosti dostave u što većem opsegu.</w:t>
      </w:r>
    </w:p>
    <w:p>
      <w:pPr>
        <w:pBdr/>
        <w:pStyle w:val="Normal"/>
        <w:spacing w:line="278" w:lineRule="auto"/>
        <w:ind/>
        <w:jc w:val="both"/>
        <w:rPr>
          <w:rFonts w:ascii="Arial" w:eastAsia="Arial" w:hAnsi="Arial" w:cs="Arial"/>
          <w:sz w:val="24"/>
          <w:szCs w:val="24"/>
        </w:rPr>
      </w:pPr>
      <w:r>
        <w:rPr>
          <w:rFonts w:ascii="Arial" w:eastAsia="Arial" w:hAnsi="Arial" w:cs="Arial"/>
          <w:sz w:val="24"/>
          <w:szCs w:val="24"/>
        </w:rPr>
        <w:t xml:space="preserve">3. Ako dođe do prekoračenja ili ako postoji rizik od prekoračenja bilo koje granične vrijednosti, ciljne vrijednosti, obveze smanjenja prosječne izloženosti, pragova upozorenja ili pragova obavješćivanja, nadležna tijela osiguravaju da se informacije iz ovoga Dodatka dodatno promiču u javnosti.</w:t>
      </w:r>
    </w:p>
    <w:p>
      <w:pPr>
        <w:pBdr/>
        <w:pStyle w:val="Normal"/>
        <w:spacing/>
        <w:ind/>
        <w:rPr>
          <w:rFonts w:ascii="Arial" w:eastAsia="Arial" w:hAnsi="Arial" w:cs="Arial"/>
          <w:sz w:val="24"/>
          <w:szCs w:val="24"/>
        </w:rPr>
      </w:pPr>
      <w:r>
        <w:rPr>
          <w:rFonts w:ascii="Arial" w:eastAsia="Arial" w:hAnsi="Arial" w:cs="Arial"/>
          <w:sz w:val="24"/>
          <w:szCs w:val="24"/>
        </w:rPr>
        <w:br w:type="page"/>
      </w:r>
    </w:p>
    <w:p>
      <w:pPr>
        <w:pBdr/>
        <w:pStyle w:val="Heading 2"/>
        <w:spacing/>
        <w:ind/>
        <w:rPr>
          <w:rFonts w:ascii="Arial" w:eastAsia="Arial" w:hAnsi="Arial" w:cs="Arial"/>
        </w:rPr>
      </w:pPr>
      <w:r>
        <w:rPr>
          <w:rFonts w:ascii="Arial" w:eastAsia="Arial" w:hAnsi="Arial" w:cs="Arial"/>
        </w:rPr>
        <w:t xml:space="preserve">O B R A Z L O Ž E NJ E  Č L A N A K A</w:t>
      </w:r>
    </w:p>
    <w:p>
      <w:pPr>
        <w:pBdr/>
        <w:pStyle w:val="Normal"/>
        <w:spacing w:after="120" w:line="240" w:lineRule="auto"/>
        <w:ind/>
        <w:rPr>
          <w:rFonts w:ascii="Arial" w:eastAsia="Arial" w:hAnsi="Arial" w:cs="Arial"/>
          <w:b/>
          <w:bCs/>
          <w:sz w:val="24"/>
          <w:szCs w:val="24"/>
        </w:rPr>
      </w:pPr>
    </w:p>
    <w:p>
      <w:pPr>
        <w:pBdr/>
        <w:pStyle w:val="Heading 2"/>
        <w:spacing/>
        <w:ind/>
        <w:rPr>
          <w:rFonts w:ascii="Arial" w:eastAsia="Arial" w:hAnsi="Arial" w:cs="Arial"/>
        </w:rPr>
      </w:pPr>
      <w:r>
        <w:rPr>
          <w:rFonts w:ascii="Arial" w:eastAsia="Arial" w:hAnsi="Arial" w:cs="Arial"/>
        </w:rPr>
        <w:t xml:space="preserve">DIO PRVI</w:t>
      </w:r>
    </w:p>
    <w:p>
      <w:pPr>
        <w:pBdr/>
        <w:pStyle w:val="Heading 2"/>
        <w:spacing/>
        <w:ind/>
        <w:rPr>
          <w:rFonts w:ascii="Arial" w:eastAsia="Arial" w:hAnsi="Arial" w:cs="Arial"/>
        </w:rPr>
      </w:pPr>
      <w:r>
        <w:rPr>
          <w:rFonts w:ascii="Arial" w:eastAsia="Arial" w:hAnsi="Arial" w:cs="Arial"/>
        </w:rPr>
        <w:t xml:space="preserve">OPĆE ODREDBE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1.</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predmet i područje uređenja ovoga Zakona, njegov cilj u području zaštite i poboljšanja kvalitete zrak za postizanje cilja nulte stope onečišćenja kako bi se kvaliteta zraka u Republici Hrvatskoj, a posljedično i Europskoj uniji, postupno poboljšavala do razina koje se više ne smatraju štetnima za zdravlje ljudi, prirodne ekosustave i bioraznolikost, kako su definirane prema najboljim dostupnim i najnovijim znanstvenim dokazima, doprinoseći time postizanju cilja netoksičnog okoliša najkasnije do 2050. godine. Ovim člankom propisuju se i sastavni dijelovi Zakona.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2.</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akti Europske unije s kojima je ovaj Zakon usklađen te akti Europske unije čija se provedba osigurava ovim Zakonom.</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3.</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utvrđuju se temeljna načela primjene ovoga Zakona te njegov odnos prema drugim propisima kojima se uređuje zaštita okoliša i druga područja koja mogu utjecati na kvalitetu zraka. Također se uređuje primjena posebnih propisa na zaštitu zraka od onečišćivanja uzrokovanih radioaktivnim tvarima, tehnološkim nesrećama, elementarnim nepogodama i onečišćenjem s pomorskih objekata.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4.</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94 pojma koji se koriste u ovome Zakonu radi osiguravanja jedinstvene primjene i tumačenja njegovih odredbi. Također se uređuje primjena pojedinih pojmova preuzetih iz akata Europske unije, propisuje primjena važećih izdanja normi i metoda mjerenja.</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5.</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definira se rodna neutralnost izraza koji se koriste u ovome Zakonu.</w:t>
      </w:r>
    </w:p>
    <w:p>
      <w:pPr>
        <w:pBdr/>
        <w:pStyle w:val="Normal"/>
        <w:spacing w:after="120" w:line="240" w:lineRule="auto"/>
        <w:ind/>
        <w:jc w:val="both"/>
        <w:rPr>
          <w:rFonts w:ascii="Arial" w:eastAsia="Arial" w:hAnsi="Arial" w:cs="Arial"/>
          <w:sz w:val="24"/>
          <w:szCs w:val="24"/>
        </w:rPr>
      </w:pPr>
    </w:p>
    <w:p>
      <w:pPr>
        <w:pBdr/>
        <w:pStyle w:val="Heading 2"/>
        <w:spacing/>
        <w:ind/>
        <w:rPr>
          <w:rFonts w:ascii="Arial" w:eastAsia="Arial" w:hAnsi="Arial" w:cs="Arial"/>
        </w:rPr>
      </w:pPr>
      <w:r>
        <w:rPr>
          <w:rFonts w:ascii="Arial" w:eastAsia="Arial" w:hAnsi="Arial" w:cs="Arial"/>
        </w:rPr>
        <w:t xml:space="preserve">DIO DRUGI</w:t>
      </w:r>
    </w:p>
    <w:p>
      <w:pPr>
        <w:pBdr/>
        <w:pStyle w:val="Heading 2"/>
        <w:spacing/>
        <w:ind/>
        <w:rPr>
          <w:rFonts w:ascii="Arial" w:eastAsia="Arial" w:hAnsi="Arial" w:cs="Arial"/>
        </w:rPr>
      </w:pPr>
      <w:r>
        <w:rPr>
          <w:rFonts w:ascii="Arial" w:eastAsia="Arial" w:hAnsi="Arial" w:cs="Arial"/>
        </w:rPr>
        <w:t xml:space="preserve">MATERIJALNE I POSTUPOVNE ODREDBE</w:t>
      </w:r>
    </w:p>
    <w:p>
      <w:pPr>
        <w:pBdr/>
        <w:pStyle w:val="Heading 2"/>
        <w:spacing/>
        <w:ind/>
        <w:rPr>
          <w:rFonts w:ascii="Arial" w:eastAsia="Arial" w:hAnsi="Arial" w:cs="Arial"/>
        </w:rPr>
      </w:pPr>
      <w:r>
        <w:rPr>
          <w:rFonts w:ascii="Arial" w:eastAsia="Arial" w:hAnsi="Arial" w:cs="Arial"/>
        </w:rPr>
        <w:t xml:space="preserve">GLAVA I.</w:t>
      </w:r>
    </w:p>
    <w:p>
      <w:pPr>
        <w:pBdr/>
        <w:pStyle w:val="Heading 2"/>
        <w:spacing/>
        <w:ind/>
        <w:rPr>
          <w:rFonts w:ascii="Arial" w:eastAsia="Arial" w:hAnsi="Arial" w:cs="Arial"/>
        </w:rPr>
      </w:pPr>
      <w:r>
        <w:rPr>
          <w:rFonts w:ascii="Arial" w:eastAsia="Arial" w:hAnsi="Arial" w:cs="Arial"/>
        </w:rPr>
        <w:t xml:space="preserve">ZAJEDNIČKE ODREDBE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6.</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da mjere koje se poduzimaju radi zaštite i poboljšanja kvalitete zraka ne smiju ugroziti druge sastavnice okoliša, kvalitetu življenja sadašnjih i budućih naraštaja niti biti u suprotnosti s propisima kojima se uređuje zaštita na radu i zaštita zdravlja ljudi.</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7.</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ciljevi određivanja mjera zaštite i poboljšanja kvalitete zraka, koji obuhvaćaju sprječavanje i smanjivanje štetnih učinaka onečišćenja zraka na zdravlje ljudi i okoliš, očuvanje i poboljšanje kvalitete zraka, poticanje primjene učinkovitijih tehnologija i obnovljivih izvora energije, uspostavu i unapređivanje sustava </w:t>
      </w:r>
      <w:r>
        <w:rPr>
          <w:rFonts w:ascii="Arial" w:eastAsia="Arial" w:hAnsi="Arial" w:cs="Arial"/>
          <w:sz w:val="24"/>
          <w:szCs w:val="24"/>
        </w:rPr>
        <w:t xml:space="preserve">upravljanja kvalitetom zraka, osiguravanje procjenjivanja kvalitete zraka i dostupnosti informacija javnosti te ispunjavanje međunarodnih obveza Republike Hrvatske u području zaštite zraka.</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8.</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određuje se tijelo državne uprave nadležno za provedbu akata Europske unije iz članka 2. ovoga Zakona, osim ako je pojedinim odredbama ovoga Zakona drukčije propisano.</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9.</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uređuju se nadležnosti tijela državne uprave, jedinica lokalne i područne (regionalne) samouprave te drugih nadležnih pravnih osoba u provedbi ovoga Zakona. Propisuju se poslovi pojedinih tijela u području procjenjivanja, praćenja i modeliranja kvalitete zraka, upravljanja kvalitetom zraka, izrade i provedbe planova za kvalitetu zraka i planova djelovanja za kvalitetu zraka, vođenja informacijskog sustava zaštite zraka, praćenja emisija i kvalitete proizvoda, izrade inventara emisija, međunarodne suradnje, osiguravanja kvalitete mjerenja te drugih stručnih i administrativnih poslova radi učinkovitog funkcioniranja sustava zaštite i poboljšanja kvalitete zraka.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10.</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područja primjene modeliranja radi osiguravanja promicanja točnosti modeliranja kvalitete zraka. Područja primjene su procjenjivanje kvalitete zraka, određivanje prostorne reprezentativnosti mjernih mjesta, izrada projekcija kvalitete zraka koji su sastavni dio planova djelovanja za kvalitetu zraka, izvješćivanje o kvaliteti zraka i stručne analize za izradu planova za kvalitetu zraka. </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11.</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određuju se Nacionalni referentni laboratoriji te se propisuju njihovi poslovi, način njihova obavljanja, mogućnost provođenja ispitivanja sposobnosti ispitnih laboratorija, financiranje njihova sudjelovanja u međunarodnim programima i suradnji s institucijama Europske unije, obveza dostave godišnjeg programa rada Ministarstvu te osnivanje i rad Povjerenstva za praćenje rada Nacionalnih referentnih laboratorija.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12.</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izvori onečišćivanja zraka, obveze onečišćivača u pogledu sprječavanja i smanjivanja emisija te vođenja propisanih evidencija i registara izvora onečišćivanja zraka.</w:t>
      </w:r>
    </w:p>
    <w:p>
      <w:pPr>
        <w:pBdr/>
        <w:pStyle w:val="Normal"/>
        <w:spacing w:after="120" w:line="240" w:lineRule="auto"/>
        <w:ind/>
        <w:jc w:val="both"/>
        <w:rPr>
          <w:rFonts w:ascii="Arial" w:eastAsia="Arial" w:hAnsi="Arial" w:cs="Arial"/>
          <w:sz w:val="24"/>
          <w:szCs w:val="24"/>
        </w:rPr>
      </w:pPr>
    </w:p>
    <w:p>
      <w:pPr>
        <w:pBdr/>
        <w:pStyle w:val="Heading 2"/>
        <w:spacing/>
        <w:ind/>
        <w:rPr>
          <w:rFonts w:ascii="Arial" w:eastAsia="Arial" w:hAnsi="Arial" w:cs="Arial"/>
        </w:rPr>
      </w:pPr>
      <w:r>
        <w:rPr>
          <w:rFonts w:ascii="Arial" w:eastAsia="Arial" w:hAnsi="Arial" w:cs="Arial"/>
        </w:rPr>
        <w:t xml:space="preserve">GLAVA II.</w:t>
      </w:r>
    </w:p>
    <w:p>
      <w:pPr>
        <w:pBdr/>
        <w:pStyle w:val="Heading 2"/>
        <w:spacing/>
        <w:ind/>
        <w:rPr>
          <w:rFonts w:ascii="Arial" w:eastAsia="Arial" w:hAnsi="Arial" w:cs="Arial"/>
        </w:rPr>
      </w:pPr>
      <w:r>
        <w:rPr>
          <w:rFonts w:ascii="Arial" w:eastAsia="Arial" w:hAnsi="Arial" w:cs="Arial"/>
        </w:rPr>
        <w:t xml:space="preserve">AKTI STRATEŠKOG PLANIRANJA</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13.</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donošenje Plana zaštite zraka, njegov sadržaj, svrha i način objave.</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14.</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izrada Izvješća o stanju kvalitete zraka za područje Republike Hrvatske, razdoblje na koje se izvješće odnosi, njegov sadržaj, nadležno tijelo za njegovu izradu i podnošenje te način njegove objave.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15.</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obveza donošenja Programa zaštite zraka na razini jedinica područne (regionalne) samouprave, Grada Zagreba i velikoga grada, propisuje njegov sadržaj te način njegove objave.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16.</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obveza izrade izvješća o provedbi Programa zaštite zraka za razdoblje od četiri godine, njegov sadržaj, način usvajanja i njegovu objavu.</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17.</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izrada, donošenje, sadržaj, provedba i periodično ažuriranje Programa kontrole onečišćenja zraka radi ispunjavanja nacionalnih obveza smanjenja emisija onečišćujućih tvari. Također se propisuju nadležnosti Ministarstva i Vlade Republike Hrvatske, provedba savjetovanja s javnošću i, prema potrebi, prekograničnih savjetovanja te obveze objave Programa i izvješćivanja Europske komisije.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18.</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obveza provedbe savjetovanja s javnošću i nadležnim tijelima tijekom izrade Plana zaštite zraka, Programa zaštite zraka i Programa kontrole onečišćenja zraka te njihovih značajnih izmjena i dopuna, u skladu s propisima kojima se uređuje sudjelovanje javnosti u pitanjima zaštite okoliša i pravo na pristup informacijama.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19.</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mogućnost donošenja nacionalnih planova, programa i izvješća radi ispunjavanja obveza Republike Hrvatske preuzetih međunarodnim ugovorima i sporazumima iz područja zaštite zraka te se uređuje nadležnost za njihovu izradu i donošenje.</w:t>
      </w:r>
    </w:p>
    <w:p>
      <w:pPr>
        <w:pBdr/>
        <w:pStyle w:val="Normal"/>
        <w:spacing w:after="120" w:line="240" w:lineRule="auto"/>
        <w:ind/>
        <w:jc w:val="both"/>
        <w:rPr>
          <w:rFonts w:ascii="Arial" w:eastAsia="Arial" w:hAnsi="Arial" w:cs="Arial"/>
          <w:sz w:val="24"/>
          <w:szCs w:val="24"/>
        </w:rPr>
      </w:pPr>
    </w:p>
    <w:p>
      <w:pPr>
        <w:pBdr/>
        <w:pStyle w:val="Heading 2"/>
        <w:spacing/>
        <w:ind/>
        <w:rPr/>
      </w:pPr>
      <w:r>
        <w:rPr/>
        <w:t xml:space="preserve">GLAVA III.</w:t>
      </w:r>
    </w:p>
    <w:p>
      <w:pPr>
        <w:pBdr/>
        <w:pStyle w:val="Heading 2"/>
        <w:spacing/>
        <w:ind/>
        <w:rPr/>
      </w:pPr>
      <w:r>
        <w:rPr/>
        <w:t xml:space="preserve">PRAĆENJE, PROCJENA KVALITETE ZRAKA I STOPA TALOŽENJA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20.</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uspostavljanje zona i prostornih jedinica prosječne izloženosti za procjenu i upravljanje kvalitetom zraka u Republici Hrvatskoj, postupak izrade, donošenja i objave petogodišnje Ocjene kvalitete zraka od strane Državnoga hidrometeorološkog zavoda i ministra, razvrstavanje zona uredbom Vlade te rokovi i uvjeti za izmjenu klasifikacije.</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21.</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uređuje se način primjene pragova procjene za pojedine onečišćujuće tvari, preispitivanje klasifikacije zona te način utvrđivanja prekoračenja pragova procjene na temelju rezultata mjerenja, mjernih kampanja, podataka o emisijama i primjene modeliranja.</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22.</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propisuju se kriteriji za procjenjivanje kvalitete zraka u zonama, način primjene mjerenja, modeliranja, indikativnih mjerenja i objektivnih procjena te uvjeti za određivanje dodatnih mjerenja radi pouzdane procjene kvalitete zraka.</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23.</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ovlašćuje se ministar za donošenje pravilnika kojim se uređuje način praćenja kvalitete zraka, pravila procjenjivanja kvalitete zraka, referentne metode </w:t>
      </w:r>
      <w:r>
        <w:rPr>
          <w:rFonts w:ascii="Arial" w:eastAsia="Arial" w:hAnsi="Arial" w:cs="Arial"/>
          <w:sz w:val="24"/>
          <w:szCs w:val="24"/>
        </w:rPr>
        <w:t xml:space="preserve">mjerenja, način osiguravanja kvalitete podataka te druga stručna i tehnička pitanja praćenja kvalitete zraka.</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24.</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uređuju se kriteriji za određivanje lokacija i broja točaka uzorkovanja za praćenje kvalitete zraka, uvjeti za njihovo smanjenje ili premještanje te praćenje pojedinih onečišćujućih tvari i pokazatelja kvalitete zraka.</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25.</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uređuje se uspostava superlokacija za praćenje kvalitete zraka na gradskim i ruralnim pozadinskim lokacijama, sadržaj mjerenja koja se na njima provode te njihovo usklađivanje s međunarodnim programima praćenja.</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26.</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određuju se točke uzorkovanja na kojima se provodi praćenje kvalitete zraka u Republici Hrvatskoj.</w:t>
      </w:r>
    </w:p>
    <w:p>
      <w:pPr>
        <w:pBdr/>
        <w:pStyle w:val="Normal"/>
        <w:spacing w:after="120" w:line="240" w:lineRule="auto"/>
        <w:ind/>
        <w:rPr>
          <w:rFonts w:ascii="Arial" w:eastAsia="Arial" w:hAnsi="Arial" w:cs="Arial"/>
          <w:b/>
          <w:bCs/>
          <w:sz w:val="24"/>
          <w:szCs w:val="24"/>
        </w:rPr>
      </w:pPr>
      <w:r>
        <w:rPr>
          <w:rFonts w:ascii="Arial" w:eastAsia="Arial" w:hAnsi="Arial" w:cs="Arial"/>
          <w:b/>
          <w:bCs/>
          <w:sz w:val="24"/>
          <w:szCs w:val="24"/>
        </w:rPr>
        <w:t xml:space="preserve">Uz članak 27.</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uređuje se uspostava državne mreže za praćenje kvalitete zraka, njezino financiranje te određuju tijela nadležna za provedbu praćenja kvalitete zraka u državnoj mreži.</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28.</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uređuje se sastav državne mreže za praćenje kvalitete zraka, određivanje popisa i lokacija točaka uzorkovanja te utvrđivanje točaka koje se koriste za razmjenu podataka i izvješćivanje prema tijelima Europske unije.</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29.</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uređuje se donošenje Programa praćenja razine onečišćenosti zraka u državnoj mreži te njegov sadržaj.</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30.</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uređuju se poslovi upravljanja državnom mrežom za praćenje kvalitete zraka, obveze nadležnih tijela u provedbi programa praćenja, dostavi podataka i izvješća, osiguravanju kontinuiteta rada državne mreže te provedbi upravnog nadzora nad njezinim radom.</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31.</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uspostava i rad mjernih postaja za praćenje kvalitete zraka koje uspostavljaju jedinice područne (regionalne) samouprave, Grad Zagreb i jedinice lokalne samouprave te se propisuju njihove obveze u provedbi mjerenja, dostavi podataka, izvješćivanju i uključivanju podataka u Informacijski sustav zaštite zraka.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32.</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obveze onečišćivača u pogledu praćenja kvalitete zraka kada je ono određeno rješenjem o prihvatljivosti zahvata za okoliš ili okolišnom dozvolom, kao i obveze dostave podataka nadležnim tijelima te njihova uključivanja u Informacijski sustav zaštite zraka.</w:t>
      </w:r>
    </w:p>
    <w:p>
      <w:pPr>
        <w:pBdr/>
        <w:pStyle w:val="Normal"/>
        <w:spacing w:after="120" w:line="240" w:lineRule="auto"/>
        <w:ind/>
        <w:rPr>
          <w:rFonts w:ascii="Arial" w:eastAsia="Arial" w:hAnsi="Arial" w:cs="Arial"/>
          <w:b/>
          <w:bCs/>
          <w:sz w:val="24"/>
          <w:szCs w:val="24"/>
        </w:rPr>
      </w:pPr>
      <w:r>
        <w:rPr>
          <w:rFonts w:ascii="Arial" w:eastAsia="Arial" w:hAnsi="Arial" w:cs="Arial"/>
          <w:b/>
          <w:bCs/>
          <w:sz w:val="24"/>
          <w:szCs w:val="24"/>
        </w:rPr>
        <w:t xml:space="preserve">Uz članak 33.</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uređuje se javna objava podataka praćenja kvalitete zraka, njihova dostupnost javnosti te njihovo korištenje za potrebe Godišnjeg izvješća o praćenju kvalitete zraka i Informacijskog sustava zaštite zraka.</w:t>
      </w:r>
    </w:p>
    <w:p>
      <w:pPr>
        <w:pBdr/>
        <w:pStyle w:val="Normal"/>
        <w:spacing w:after="120" w:line="240" w:lineRule="auto"/>
        <w:ind/>
        <w:rPr>
          <w:rFonts w:ascii="Arial" w:eastAsia="Arial" w:hAnsi="Arial" w:cs="Arial"/>
          <w:b/>
          <w:bCs/>
          <w:sz w:val="24"/>
          <w:szCs w:val="24"/>
        </w:rPr>
      </w:pPr>
      <w:r>
        <w:rPr>
          <w:rFonts w:ascii="Arial" w:eastAsia="Arial" w:hAnsi="Arial" w:cs="Arial"/>
          <w:b/>
          <w:bCs/>
          <w:sz w:val="24"/>
          <w:szCs w:val="24"/>
        </w:rPr>
        <w:t xml:space="preserve">Uz članak 34.</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uređuju se uvjeti i postupak provedbe mjerenja posebne namjene odnosno procjene razine onečišćenosti zraka na zahtjev inspektora zaštite okoliša ili na temelju prijave građana, način donošenja odluke o njihovoj provedbi, provedba mjerenja te način podmirenja troškova.</w:t>
      </w:r>
    </w:p>
    <w:p>
      <w:pPr>
        <w:pBdr/>
        <w:pStyle w:val="Normal"/>
        <w:spacing w:after="120" w:line="240" w:lineRule="auto"/>
        <w:ind/>
        <w:rPr>
          <w:rFonts w:ascii="Arial" w:eastAsia="Arial" w:hAnsi="Arial" w:cs="Arial"/>
          <w:b/>
          <w:bCs/>
          <w:sz w:val="24"/>
          <w:szCs w:val="24"/>
        </w:rPr>
      </w:pPr>
      <w:r>
        <w:rPr>
          <w:rFonts w:ascii="Arial" w:eastAsia="Arial" w:hAnsi="Arial" w:cs="Arial"/>
          <w:b/>
          <w:bCs/>
          <w:sz w:val="24"/>
          <w:szCs w:val="24"/>
        </w:rPr>
        <w:t xml:space="preserve">Uz članak 35.</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uređuje se postupanje u slučaju izvanrednih događaja i velikih nesreća koje narušavaju kvalitetu zraka i zdravlje ljudi, uključujući provedbu mjerenja kvalitete zraka, obveze nadležnih tijela u informiranju javnosti, financiranje mjerenja te obveze onečišćivača za provedbu i financiranje mjera smanjivanja onečišćenja zraka.</w:t>
      </w:r>
    </w:p>
    <w:p>
      <w:pPr>
        <w:pBdr/>
        <w:pStyle w:val="Normal"/>
        <w:spacing w:after="120" w:line="240" w:lineRule="auto"/>
        <w:ind/>
        <w:jc w:val="both"/>
        <w:rPr>
          <w:rFonts w:ascii="Arial" w:eastAsia="Arial" w:hAnsi="Arial" w:cs="Arial"/>
          <w:b/>
          <w:bCs/>
          <w:sz w:val="24"/>
          <w:szCs w:val="24"/>
        </w:rPr>
      </w:pPr>
    </w:p>
    <w:p>
      <w:pPr>
        <w:pBdr/>
        <w:pStyle w:val="Heading 2"/>
        <w:spacing/>
        <w:ind/>
        <w:rPr/>
      </w:pPr>
      <w:r>
        <w:rPr/>
        <w:t xml:space="preserve">GLAVA IV.</w:t>
      </w:r>
    </w:p>
    <w:p>
      <w:pPr>
        <w:pBdr/>
        <w:pStyle w:val="Heading 2"/>
        <w:spacing/>
        <w:ind/>
        <w:rPr/>
      </w:pPr>
      <w:r>
        <w:rPr/>
        <w:t xml:space="preserve">UPRAVLJANJE KVALITETOM ZRAKA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36.</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zahtjevi za održavanje razina onečišćujućih tvari ispod graničnih i ciljnih vrijednosti te ciljanih prosječnih razina izloženosti, kao i nastojanje postizanja dugoročnih ciljeva za prizemni ozon i cilja nulte stope onečišćenja.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37.</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granične vrijednosti, ciljne vrijednosti i obveze smanjenja prosječne izloženosti onečišćujućim tvarima, način procjenjivanja njihove usklađenosti te mogućnost odgode rokova za postizanje graničnih vrijednosti u propisanim slučajevima.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38.</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obveza osiguravanja usklađenosti razina sumporovog dioksida i dušičnih oksida s kritičnim razinama za zaštitu vegetacije i prirodnih ekosustava.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39.</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kategorije kvalitete zraka, kriteriji za njihovo utvrđivanje te način i razdoblje njihova određivanja.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40.</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pragovi upozorenja i pragovi obavješćivanja za pojedine onečišćujuće tvari te obveza provedbe hitnih mjera i pravodobnog obavješćivanja javnosti u slučaju njihova prekoračenja ili očekivanog prekoračenja.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41.</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postupanje u slučajevima kada se prekoračenja graničnih vrijednosti ili obveza smanjenja prosječne izloženosti mogu pripisati prirodnim izvorima te obveza prikupljanja i dostavljanja podataka Europskoj komisiji.</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42.</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postupanje u slučajevima kada se prekoračenja graničnih vrijednosti za lebdeće čestice PM₁₀ mogu pripisati zimskom posipavanju cesta pijeskom ili solju, način prikupljanja i dostavljanja podataka te obveza donošenja plana za kvalitetu zraka u propisanim slučajevima.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43.</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uvjeti, postupak i rokovi za odgodu postizanja usklađenosti s graničnim vrijednostima za pojedine onečišćujuće tvari, obveze u vezi s planovima za kvalitetu zraka i izvješćivanjem te postupanje Republike Hrvatske prema Europskoj komisiji.</w:t>
      </w:r>
    </w:p>
    <w:p>
      <w:pPr>
        <w:pBdr/>
        <w:pStyle w:val="Normal"/>
        <w:spacing w:after="120" w:line="240" w:lineRule="auto"/>
        <w:ind/>
        <w:jc w:val="both"/>
        <w:rPr>
          <w:rFonts w:ascii="Arial" w:eastAsia="Arial" w:hAnsi="Arial" w:cs="Arial"/>
          <w:sz w:val="24"/>
          <w:szCs w:val="24"/>
        </w:rPr>
      </w:pPr>
    </w:p>
    <w:p>
      <w:pPr>
        <w:pBdr/>
        <w:pStyle w:val="Heading 2"/>
        <w:spacing/>
        <w:ind/>
        <w:rPr/>
      </w:pPr>
      <w:r>
        <w:rPr/>
        <w:t xml:space="preserve">GLAVA V.</w:t>
      </w:r>
    </w:p>
    <w:p>
      <w:pPr>
        <w:pBdr/>
        <w:pStyle w:val="Heading 2"/>
        <w:spacing/>
        <w:ind/>
        <w:rPr/>
      </w:pPr>
      <w:r>
        <w:rPr/>
        <w:t xml:space="preserve">PLANOVI</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44.</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vrste planskih dokumenata za upravljanje kvalitetom zraka u skladu s definiranim nadležnostima.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45.</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uređuju se uvjeti za donošenje planova za kvalitetu zraka u slučaju prekoračenja propisanih standarda kvalitete zraka.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46.</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uvjeti za donošenje planova djelovanja za kvalitetu zraka radi postizanja graničnih i ciljnih vrijednosti kvalitete zraka, slučajevi u kojima se planovi iznimno ne donose, sadržaj odluke o tome te obveze informiranja javnosti i Europske komisije.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47.</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uređuju se nadležnosti za osiguravanje izrade i donošenje planova za kvalitetu zraka i planova djelovanja za kvalitetu zraka, mogućnost povjeravanja stručnih poslova njihove izrade, suradnja jedinica lokalne samouprave u izradi zajedničkih planova te mogućnost propisivanja strožih graničnih vrijednosti emisija radi postizanja poboljšanja kvalitete zraka.</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48.</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praćenje provedbe planova za kvalitetu zraka i planova djelovanja za kvalitetu zraka, izrada i sadržaj izvješća o provedbi mjera, obveze nositelja mjera u izvješćivanju, dostava izvješća Ministarstvu te uvjeti i rokovi za pokretanje i donošenje izmjena i dopuna planova.</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49.</w:t>
      </w:r>
    </w:p>
    <w:p>
      <w:pPr>
        <w:pBdr/>
        <w:pStyle w:val="Normal"/>
        <w:spacing w:after="120" w:line="240" w:lineRule="auto"/>
        <w:ind/>
        <w:jc w:val="both"/>
        <w:rPr>
          <w:rFonts w:ascii="Arial" w:eastAsia="Arial" w:hAnsi="Arial" w:cs="Arial"/>
          <w:b/>
          <w:bCs/>
          <w:sz w:val="24"/>
          <w:szCs w:val="24"/>
        </w:rPr>
      </w:pPr>
      <w:r>
        <w:rPr>
          <w:rFonts w:ascii="Arial" w:eastAsia="Arial" w:hAnsi="Arial" w:cs="Arial"/>
          <w:sz w:val="24"/>
          <w:szCs w:val="24"/>
        </w:rPr>
        <w:t xml:space="preserve">Ovim člankom propisuje se sadržaj planova za kvalitetu zraka i planova djelovanja za kvalitetu zraka, njihovo usklađivanje s propisanim zahtjevima, uključivanje odgovarajućih mjera za smanjenje onečišćenja zraka i zaštitu osjetljivog stanovništva, provedba modeliranja za procjenu rizika od prekoračenja pragova upozorenja te mogućnost donošenja integriranih planova i njihovo usklađivanje s drugim planovima i propisima koji utječu na kvalitetu zraka.</w:t>
      </w:r>
    </w:p>
    <w:p>
      <w:pPr>
        <w:pBdr/>
        <w:pStyle w:val="Normal"/>
        <w:spacing w:after="120" w:line="240" w:lineRule="auto"/>
        <w:ind/>
        <w:rPr>
          <w:rFonts w:ascii="Arial" w:eastAsia="Arial" w:hAnsi="Arial" w:cs="Arial"/>
          <w:b/>
          <w:bCs/>
          <w:sz w:val="24"/>
          <w:szCs w:val="24"/>
        </w:rPr>
      </w:pPr>
      <w:r>
        <w:rPr>
          <w:rFonts w:ascii="Arial" w:eastAsia="Arial" w:hAnsi="Arial" w:cs="Arial"/>
          <w:b/>
          <w:bCs/>
          <w:sz w:val="24"/>
          <w:szCs w:val="24"/>
        </w:rPr>
        <w:t xml:space="preserve">Uz članak 50.</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sudjelovanje javnosti i nadležnih tijela u postupku izrade planova za kvalitetu zraka i planova djelovanja za kvalitetu zraka, način provedbe savjetovanja te poticanje aktivnog sudjelovanja zainteresirane javnosti i drugih dionika u pripremi, provedbi i ažuriranju tih planova.</w:t>
      </w:r>
    </w:p>
    <w:p>
      <w:pPr>
        <w:pBdr/>
        <w:pStyle w:val="Normal"/>
        <w:spacing w:after="120" w:line="240" w:lineRule="auto"/>
        <w:ind/>
        <w:jc w:val="both"/>
        <w:rPr>
          <w:rFonts w:ascii="Arial" w:eastAsia="Arial" w:hAnsi="Arial" w:cs="Arial"/>
          <w:b/>
          <w:bCs/>
          <w:sz w:val="24"/>
          <w:szCs w:val="24"/>
        </w:rPr>
      </w:pPr>
      <w:r>
        <w:rPr>
          <w:rFonts w:ascii="Arial" w:eastAsia="Arial" w:hAnsi="Arial" w:cs="Arial"/>
          <w:b/>
          <w:sz w:val="24"/>
          <w:szCs w:val="24"/>
        </w:rPr>
        <w:t xml:space="preserve">Uz članak 51.</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postupak donošenja planova za kvalitetu zraka i planova djelovanja za kvalitetu zraka, uključujući dostavu nacrta na mišljenje Ministarstvu, </w:t>
      </w:r>
      <w:r>
        <w:rPr>
          <w:rFonts w:ascii="Arial" w:eastAsia="Arial" w:hAnsi="Arial" w:cs="Arial"/>
          <w:sz w:val="24"/>
          <w:szCs w:val="24"/>
        </w:rPr>
        <w:t xml:space="preserve">pribavljanje mišljenja nadležnih tijela, rokove za donošenje i dostavu planova te obveze provedbe i financiranja mjera utvrđenih tim planovima.</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52.</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izrada, donošenje i provedba kratkoročnih akcijskih planova u slučaju rizika od prekoračenja pragova upozorenja za onečišćujuće tvari u zraku, njihov sadržaj, postupak savjetovanja s javnošću i nadležnim tijelima, dostava planova Ministarstvu i Europskoj komisiji te obveze provedbe i financiranja mjera utvrđenih tim planovima.</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53.</w:t>
      </w:r>
    </w:p>
    <w:p>
      <w:pPr>
        <w:pBdr/>
        <w:pStyle w:val="Normal"/>
        <w:spacing w:after="120" w:line="240" w:lineRule="auto"/>
        <w:ind/>
        <w:jc w:val="both"/>
        <w:rPr>
          <w:rFonts w:ascii="Arial" w:eastAsia="Arial" w:hAnsi="Arial" w:cs="Arial"/>
          <w:b/>
          <w:sz w:val="24"/>
          <w:szCs w:val="24"/>
        </w:rPr>
      </w:pPr>
      <w:r>
        <w:rPr>
          <w:rFonts w:ascii="Arial" w:eastAsia="Arial" w:hAnsi="Arial" w:cs="Arial"/>
          <w:sz w:val="24"/>
          <w:szCs w:val="24"/>
        </w:rPr>
        <w:t xml:space="preserve">Ovim člankom propisuju se žurne mjere koje se, ovisno o lokalnim okolnostima i vrsti onečišćujuće tvari, razmatraju za uključivanje u kratkoročne akcijske planove radi smanjenja rizika od prekoračenja praga upozorenja.</w:t>
      </w:r>
    </w:p>
    <w:p>
      <w:pPr>
        <w:pBdr/>
        <w:pStyle w:val="Normal"/>
        <w:spacing w:after="120" w:line="240" w:lineRule="auto"/>
        <w:ind/>
        <w:jc w:val="both"/>
        <w:rPr>
          <w:rFonts w:ascii="Arial" w:eastAsia="Arial" w:hAnsi="Arial" w:cs="Arial"/>
          <w:b/>
          <w:bCs/>
          <w:sz w:val="24"/>
          <w:szCs w:val="24"/>
        </w:rPr>
      </w:pPr>
      <w:r>
        <w:rPr>
          <w:rFonts w:ascii="Arial" w:eastAsia="Arial" w:hAnsi="Arial" w:cs="Arial"/>
          <w:b/>
          <w:sz w:val="24"/>
          <w:szCs w:val="24"/>
        </w:rPr>
        <w:t xml:space="preserve">Uz članak 54. </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postupanje u slučaju prekograničnog onečišćenja zraka kada prekogranični prijenos onečišćujućih tvari značajno doprinosi prekoračenju propisanim standardima kvalitete zraka u Republici Hrvatskoj.</w:t>
      </w:r>
    </w:p>
    <w:p>
      <w:pPr>
        <w:pBdr/>
        <w:pStyle w:val="Normal"/>
        <w:spacing w:after="120" w:line="240" w:lineRule="auto"/>
        <w:ind/>
        <w:jc w:val="both"/>
        <w:rPr>
          <w:rFonts w:ascii="Arial" w:eastAsia="Arial" w:hAnsi="Arial" w:cs="Arial"/>
          <w:sz w:val="24"/>
          <w:szCs w:val="24"/>
        </w:rPr>
      </w:pPr>
    </w:p>
    <w:p>
      <w:pPr>
        <w:pBdr/>
        <w:pStyle w:val="Heading 2"/>
        <w:spacing/>
        <w:ind/>
        <w:rPr>
          <w:rFonts w:ascii="Arial" w:eastAsia="Arial" w:hAnsi="Arial" w:cs="Arial"/>
        </w:rPr>
      </w:pPr>
      <w:r>
        <w:rPr>
          <w:rFonts w:ascii="Arial" w:eastAsia="Arial" w:hAnsi="Arial" w:cs="Arial"/>
        </w:rPr>
        <w:t xml:space="preserve">GLAVA VI.</w:t>
      </w:r>
    </w:p>
    <w:p>
      <w:pPr>
        <w:pBdr/>
        <w:pStyle w:val="Heading 2"/>
        <w:spacing/>
        <w:ind/>
        <w:rPr>
          <w:rFonts w:ascii="Arial" w:eastAsia="Arial" w:hAnsi="Arial" w:cs="Arial"/>
        </w:rPr>
      </w:pPr>
      <w:r>
        <w:rPr>
          <w:rFonts w:ascii="Arial" w:eastAsia="Arial" w:hAnsi="Arial" w:cs="Arial"/>
        </w:rPr>
        <w:t xml:space="preserve">OBAVJEŠĆIVANJE I IZVJEŠĆIVANJE O KVALITETI ZRAKA I EMISIJAMA ONEČIŠĆUJUĆIH TVARI U ZRAK</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55.</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Informacijski sustav zaštite zraka, njegovo mjesto u informacijskom sustavu zaštite okoliša, nadležnost za njegovo vođenje, sadržaj sustava, obveze dostave i razmjene podataka te povezivanje s drugim informacijskim sustavima radi osiguravanja podataka važnih za upravljanje kvalitetom zraka</w:t>
      </w:r>
    </w:p>
    <w:p>
      <w:pPr>
        <w:pBdr/>
        <w:pStyle w:val="Normal"/>
        <w:spacing w:after="120" w:line="240" w:lineRule="auto"/>
        <w:ind/>
        <w:jc w:val="both"/>
        <w:rPr>
          <w:rFonts w:ascii="Arial" w:eastAsia="Arial" w:hAnsi="Arial" w:cs="Arial"/>
          <w:sz w:val="24"/>
          <w:szCs w:val="24"/>
        </w:rPr>
      </w:pPr>
      <w:r>
        <w:rPr>
          <w:rFonts w:ascii="Arial" w:eastAsia="Arial" w:hAnsi="Arial" w:cs="Arial"/>
          <w:b/>
          <w:sz w:val="24"/>
          <w:szCs w:val="24"/>
        </w:rPr>
        <w:t xml:space="preserve">Uz članak 56.</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obavješćivanje javnosti o kvaliteti zraka. Propisuje se obveza Zavoda da putem Informacijskog sustava zaštite zraka osigura redovito i pravodobno objavljivanje podataka o kvaliteti zraka, uključujući indeks kvalitete zraka, kao i obveza objave informacija o utjecaju onečišćenja zraka na zdravlje ljudi, uz osiguravanje njihove dostupnosti javnosti na lako razumljiv način.</w:t>
      </w:r>
    </w:p>
    <w:p>
      <w:pPr>
        <w:pBdr/>
        <w:pStyle w:val="Normal"/>
        <w:spacing w:after="120" w:line="240" w:lineRule="auto"/>
        <w:ind/>
        <w:jc w:val="both"/>
        <w:rPr>
          <w:rFonts w:ascii="Arial" w:eastAsia="Arial" w:hAnsi="Arial" w:cs="Arial"/>
          <w:sz w:val="24"/>
          <w:szCs w:val="24"/>
        </w:rPr>
      </w:pPr>
      <w:r>
        <w:rPr>
          <w:rFonts w:ascii="Arial" w:eastAsia="Arial" w:hAnsi="Arial" w:cs="Arial"/>
          <w:b/>
          <w:sz w:val="24"/>
          <w:szCs w:val="24"/>
        </w:rPr>
        <w:t xml:space="preserve">Uz članak 57.</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obveza izvješćivanja o kvaliteti zraka te način i rokovi dostave izvješća i podataka nadležnim tijelima Europske unije u skladu s pravnom stečevinom Europske unije.</w:t>
      </w:r>
    </w:p>
    <w:p>
      <w:pPr>
        <w:pBdr/>
        <w:pStyle w:val="Normal"/>
        <w:spacing w:after="120" w:line="240" w:lineRule="auto"/>
        <w:ind/>
        <w:jc w:val="both"/>
        <w:rPr>
          <w:rFonts w:ascii="Arial" w:eastAsia="Arial" w:hAnsi="Arial" w:cs="Arial"/>
          <w:b/>
          <w:sz w:val="24"/>
          <w:szCs w:val="24"/>
        </w:rPr>
      </w:pPr>
      <w:r>
        <w:rPr>
          <w:rFonts w:ascii="Arial" w:eastAsia="Arial" w:hAnsi="Arial" w:cs="Arial"/>
          <w:b/>
          <w:sz w:val="24"/>
          <w:szCs w:val="24"/>
        </w:rPr>
        <w:t xml:space="preserve">Uz članak 58.</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međunarodna razmjena podataka o emisijama. Propisuje se obveza Zavoda da razmjenjuje podatke o emisijama s međunarodnim organizacijama, organizacijama drugih država i nadležnim tijelima Europske unije te dostavlja izvješća i podatke o emisijama onečišćujućih tvari u zrak iz nepokretnih izvora i kvaliteti proizvoda u skladu s pravnom stečevinom Europske unije.</w:t>
      </w:r>
    </w:p>
    <w:p>
      <w:pPr>
        <w:pBdr/>
        <w:pStyle w:val="Normal"/>
        <w:spacing w:after="120" w:line="240" w:lineRule="auto"/>
        <w:ind/>
        <w:jc w:val="both"/>
        <w:rPr>
          <w:rFonts w:ascii="Arial" w:eastAsia="Arial" w:hAnsi="Arial" w:cs="Arial"/>
          <w:sz w:val="24"/>
          <w:szCs w:val="24"/>
        </w:rPr>
      </w:pPr>
      <w:r>
        <w:rPr>
          <w:rFonts w:ascii="Arial" w:eastAsia="Arial" w:hAnsi="Arial" w:cs="Arial"/>
          <w:b/>
          <w:sz w:val="24"/>
          <w:szCs w:val="24"/>
        </w:rPr>
        <w:t xml:space="preserve">Uz članak 59.</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izrada Godišnjeg izvješća o praćenju kvalitete zraka na teritoriju Republike Hrvatske, rok za njegovu izradu te način izrade i njegov sadržaj.</w:t>
      </w:r>
    </w:p>
    <w:p>
      <w:pPr>
        <w:pBdr/>
        <w:pStyle w:val="Normal"/>
        <w:spacing w:after="120" w:line="240" w:lineRule="auto"/>
        <w:ind/>
        <w:jc w:val="both"/>
        <w:rPr>
          <w:rFonts w:ascii="Arial" w:eastAsia="Arial" w:hAnsi="Arial" w:cs="Arial"/>
          <w:sz w:val="24"/>
          <w:szCs w:val="24"/>
        </w:rPr>
      </w:pPr>
    </w:p>
    <w:p>
      <w:pPr>
        <w:pBdr/>
        <w:pStyle w:val="Heading 2"/>
        <w:spacing/>
        <w:ind/>
        <w:rPr>
          <w:rFonts w:ascii="Arial" w:eastAsia="Arial" w:hAnsi="Arial" w:cs="Arial"/>
        </w:rPr>
      </w:pPr>
      <w:r>
        <w:rPr>
          <w:rFonts w:ascii="Arial" w:eastAsia="Arial" w:hAnsi="Arial" w:cs="Arial"/>
        </w:rPr>
        <w:t xml:space="preserve">GLAVA VII.</w:t>
      </w:r>
    </w:p>
    <w:p>
      <w:pPr>
        <w:pBdr/>
        <w:pStyle w:val="Heading 2"/>
        <w:spacing/>
        <w:ind/>
        <w:rPr>
          <w:rFonts w:ascii="Arial" w:eastAsia="Arial" w:hAnsi="Arial" w:cs="Arial"/>
        </w:rPr>
      </w:pPr>
      <w:r>
        <w:rPr>
          <w:rFonts w:ascii="Arial" w:eastAsia="Arial" w:hAnsi="Arial" w:cs="Arial"/>
        </w:rPr>
        <w:t xml:space="preserve">MJERE ZA SPRJEČAVANJE I SMANJIVANJE ONEČIŠĆENJA ZRAKA</w:t>
      </w:r>
    </w:p>
    <w:p>
      <w:pPr>
        <w:pBdr/>
        <w:pStyle w:val="Normal"/>
        <w:spacing w:after="120" w:line="240" w:lineRule="auto"/>
        <w:ind/>
        <w:jc w:val="both"/>
        <w:rPr>
          <w:rFonts w:ascii="Arial" w:eastAsia="Arial" w:hAnsi="Arial" w:cs="Arial"/>
          <w:sz w:val="24"/>
          <w:szCs w:val="24"/>
        </w:rPr>
      </w:pPr>
      <w:r>
        <w:rPr>
          <w:rFonts w:ascii="Arial" w:eastAsia="Arial" w:hAnsi="Arial" w:cs="Arial"/>
          <w:b/>
          <w:sz w:val="24"/>
          <w:szCs w:val="24"/>
        </w:rPr>
        <w:t xml:space="preserve">Uz članke 60. - 61.</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člancima utvrđuju se temeljna načela za osiguravanje djelotvorne zaštite i poboljšanja kvalitete zraka i drugih dijelova okoliša ugroženih onečišćenjem zraka, kroz primjenu načela održivog razvoja, cjelovitog pristupa te najboljih raspoloživih tehnika, tehničkih rješenja i mjera. Propisuju se osnovni načini sprječavanja i smanjivanja onečišćivanja zraka kroz planske, regulatorne, tehničke i preventivne mjere te provedbu mjera zaštite zraka utvrđenih ovim Zakonom i posebnim propisima.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62.</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uređuju se nacionalne obveze smanjenja emisija određenih onečišćujućih tvari u zraku, ovlašćuje se Vlada Republike Hrvatske za donošenje uredbe kojom se uređuju način provedbe tih obveza i druga pitanja potrebna za njihovu provedbu te se propisuje način osiguravanja podataka potrebnih za izračun emisija i izradu inventara emisija.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63.</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praćenje negativnih učinaka onečišćenja zraka na ekosustave, uspostava mreže lokacija za praćenje, donošenje programa praćenja, način osiguravanja i dostave podataka te izvješćivanje nadležnih tijela Europske unije.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64.</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određuju se tijela i institucije nadležni za osiguravanje podataka i provedbu praćenja negativnih učinaka onečišćenja zraka na ekosustave te se utvrđuje njihova nadležnost u provedbi pojedinih aktivnosti praćenja.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65.</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obveze onečišćivača koji su vlasnici i/ili korisnici izvora onečišćivanja zraka u pogledu praćenja emisija, vođenja propisanih evidencija, dostave podataka te prijavljivanja promjena na nepokretnim izvorima onečišćivanja.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66.</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uređuju se uvjeti za planiranje i realizaciju novih zahvata u prostoru te rekonstrukciju postojećih izvora onečišćivanja zraka s obzirom na kategoriju kvalitete zraka, radi očuvanja odnosno poboljšanja kvalitete zraka.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67.</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način propisivanja graničnih vrijednosti emisija onečišćujućih tvari u zrak iz nepokretnih izvora, praćenje i vrednovanje emisija, vođenje propisanih registara, izvješćivanje te dostava podataka nadležnim tijelima, kao i mogućnost određivanja prijelaznih odstupanja za postojeće izvore.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68.</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određivanje i primjena tehničkih standarda zaštite zraka za proizvode, postrojenja, pogone, uređaje, opremu i proizvodne postupke koji mogu utjecati na kvalitetu zraka te se propisuje ovlast Vlade Republike Hrvatske za donošenje uredbe kojom se uređuju njihovi sadržaj i način primjene.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69.</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praćenje i vođenje evidencije emisija onečišćujućih tvari iz pokretnih izvora, vođenje registra, dostava izvješća, način obavješćivanja javnosti te dostava podataka nadležnim tijelima Europske unije.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70.</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ovlast Vlade Republike Hrvatske za uređivanje graničnih vrijednosti sastavnica i drugih značajki kvalitete proizvoda, načina utvrđivanja i praćenja njihove kvalitete, dokazivanja sukladnosti, označivanja proizvoda te izvješćivanja i dostave podataka nadležnim tijelima.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71.</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obveze osoba koje upravljaju pomorskim objektima u vezi s dokumentacijom o brodskim gorivima i metodama smanjenja emisija te omogućavanjem provedbe inspekcijskog nadzora i primjenom propisanih metoda smanjenja emisija.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72.</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praćenje kvalitete goriva koja se stavljaju na tržište Republike Hrvatske, donošenje Programa praćenja kvalitete goriva te način njegova donošenja i objave.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73.</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način utvrđivanja kvalitete goriva, uvjeti koje moraju ispunjavati laboratoriji i inspekcijska tijela koja sudjeluju u uzorkovanju, laboratorijskoj analizi i ocjenjivanju sukladnosti te objava podataka o akreditiranim pravnim osobama.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74.</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uređuju se uvjeti i postupak izdavanja suglasnosti za kupnju i korištenje ograničenih količina proizvoda koji odstupaju od propisanih graničnih vrijednosti hlapivih organskih spojeva za potrebe održavanja i obnove zaštićenih kulturnih dobara te se propisuje sadržaj zahtjeva, način odlučivanja i vođenje evidencije o izdanim suglasnostima.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75.</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donošenje pravilnika kojim se propisuju način praćenja emisija onečišćujućih tvari u zrak iz nepokretnih izvora, metodologija mjerenja i vrednovanja emisija, provjera ispravnosti mjernih sustava, dostava podataka za potrebe informacijskog sustava zaštite zraka te druga stručna i tehnička pitanja praćenja emisija.</w:t>
      </w:r>
    </w:p>
    <w:p>
      <w:pPr>
        <w:pBdr/>
        <w:pStyle w:val="Normal"/>
        <w:spacing w:after="120" w:line="240" w:lineRule="auto"/>
        <w:ind/>
        <w:jc w:val="both"/>
        <w:rPr>
          <w:rFonts w:ascii="Arial" w:eastAsia="Arial" w:hAnsi="Arial" w:cs="Arial"/>
          <w:sz w:val="24"/>
          <w:szCs w:val="24"/>
        </w:rPr>
      </w:pPr>
      <w:r>
        <w:rPr>
          <w:rFonts w:ascii="Arial" w:eastAsia="Arial" w:hAnsi="Arial" w:cs="Arial"/>
          <w:b/>
          <w:sz w:val="24"/>
          <w:szCs w:val="24"/>
        </w:rPr>
        <w:t xml:space="preserve">Uz članke 76. - 77.</w:t>
      </w:r>
      <w:r>
        <w:rPr>
          <w:rFonts w:ascii="Arial" w:eastAsia="Arial" w:hAnsi="Arial" w:cs="Arial"/>
          <w:sz w:val="24"/>
          <w:szCs w:val="24"/>
        </w:rPr>
        <w:t xml:space="preserve"> </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člancima </w:t>
      </w:r>
      <w:r>
        <w:rPr>
          <w:rFonts w:ascii="Arial" w:eastAsia="Arial" w:hAnsi="Arial" w:cs="Arial"/>
          <w:sz w:val="24"/>
          <w:szCs w:val="24"/>
        </w:rPr>
        <w:t xml:space="preserve">propisuju se uspostava Registra malih kućnih ložišta radi osiguravanja podataka potrebnih za praćenje i modeliranje kvalitete zraka, izradu nacionalnih inventara emisija, planiranja mjera energetske obnove i zamjene uređaja za loženje, kao i ovlaštenje ministru da pravilnikom propiše sadržaj Registra, način njegova vođenja te druga pitanja potrebna za njegovu uspostavu i vođenje.</w:t>
      </w:r>
    </w:p>
    <w:p>
      <w:pPr>
        <w:pBdr/>
        <w:pStyle w:val="Normal"/>
        <w:spacing w:after="120" w:line="240" w:lineRule="auto"/>
        <w:ind/>
        <w:jc w:val="both"/>
        <w:rPr>
          <w:rFonts w:ascii="Arial" w:eastAsia="Arial" w:hAnsi="Arial" w:cs="Arial"/>
          <w:sz w:val="24"/>
          <w:szCs w:val="24"/>
        </w:rPr>
      </w:pPr>
    </w:p>
    <w:p>
      <w:pPr>
        <w:pBdr/>
        <w:pStyle w:val="Heading 2"/>
        <w:spacing/>
        <w:ind/>
        <w:rPr>
          <w:rFonts w:ascii="Arial" w:eastAsia="Arial" w:hAnsi="Arial" w:cs="Arial"/>
        </w:rPr>
      </w:pPr>
      <w:r>
        <w:rPr>
          <w:rFonts w:ascii="Arial" w:eastAsia="Arial" w:hAnsi="Arial" w:cs="Arial"/>
        </w:rPr>
        <w:t xml:space="preserve">GLAVA VIII.</w:t>
      </w:r>
    </w:p>
    <w:p>
      <w:pPr>
        <w:pBdr/>
        <w:pStyle w:val="Heading 2"/>
        <w:spacing/>
        <w:ind/>
        <w:rPr>
          <w:rFonts w:ascii="Arial" w:eastAsia="Arial" w:hAnsi="Arial" w:cs="Arial"/>
        </w:rPr>
      </w:pPr>
      <w:r>
        <w:rPr>
          <w:rFonts w:ascii="Arial" w:eastAsia="Arial" w:hAnsi="Arial" w:cs="Arial"/>
        </w:rPr>
        <w:t xml:space="preserve">DJELATNOST PRAĆENJA KVALITETE ZRAKA I EMISIJA ONEČIŠĆUJUĆIH TVARI U ZRAK</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78.</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propisuje se obveza ishođenja dozvole Ministarstva za obavljanje djelatnosti praćenja kvalitete zraka, praćenja emisija onečišćujućih tvari u zrak iz nepokretnih izvora i provjere ispravnosti mjernog sustava za kontinuirano mjerenje emisija onečišćujućih tvari u zrak iz nepokretnih izvora te način izdavanja dozvole.</w:t>
      </w:r>
    </w:p>
    <w:p>
      <w:pPr>
        <w:pBdr/>
        <w:pStyle w:val="Normal"/>
        <w:spacing w:after="120" w:line="240" w:lineRule="auto"/>
        <w:ind/>
        <w:rPr>
          <w:rFonts w:ascii="Arial" w:eastAsia="Arial" w:hAnsi="Arial" w:cs="Arial"/>
          <w:b/>
          <w:bCs/>
          <w:sz w:val="24"/>
          <w:szCs w:val="24"/>
        </w:rPr>
      </w:pPr>
      <w:r>
        <w:rPr>
          <w:rFonts w:ascii="Arial" w:eastAsia="Arial" w:hAnsi="Arial" w:cs="Arial"/>
          <w:b/>
          <w:bCs/>
          <w:sz w:val="24"/>
          <w:szCs w:val="24"/>
        </w:rPr>
        <w:t xml:space="preserve">Uz članak 79.</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propisuju se uvjeti koje mora ispunjavati ispitni laboratorij za izdavanje dozvole za obavljanje djelatnosti praćenja kvalitete zraka, praćenja emisija onečišćujućih tvari u zrak iz nepokretnih izvora i provjere ispravnosti mjernog sustava za kontinuirano mjerenje emisija, uključujući uvjete u pogledu registracije, akreditacije, stručne osposobljenosti i primjene referentnih odnosno drugih metoda mjerenja.</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80.</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propisuje se sadržaj zahtjeva i dokazi koji se prilažu uz zahtjev za izdavanje dozvole ispitnom laboratoriju te se uređuje izdavanje potvrda o akreditaciji, stručno-tehničkoj osposobljenosti i dokazivanju ekvivalentnosti metoda mjerenja.</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81.</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uređuju se uvjeti i postupak izdavanja dozvole vlasniku ili korisniku izvora onečišćivanja zraka za samostalno obavljanje djelatnosti praćenja kvalitete zraka i praćenja emisija onečišćujućih tvari u zrak iz nepokretnih izvora.</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82.</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uređuju se uvjeti i postupak izdavanja dozvole ispitnim laboratorijima sa sjedištem u državama Europskog gospodarskog prostora i izvan njega za obavljanje djelatnosti propisanih ovim Zakonom na području Republike Hrvatske te dokazi koji se prilažu uz zahtjev za izdavanje dozvole.</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83.</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uređuju se uvjeti i postupak izdavanja dozvole referentnom laboratoriju za organizaciju i provođenje ispitivanja sposobnosti ispitnih laboratorija za praćenje kvalitete zraka međulaboratorijskim usporedbama na nacionalnoj razini.</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84.</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propisuje se rok važenja dozvola, uvjeti njihova produljenja odnosno ukidanja u slučaju promjene okolnosti te obveza pravnih osoba da izvijeste Ministarstvo o promjenama koje utječu na ispunjavanje uvjeta za izdavanje dozvole.</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85.</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propisuju se obveze i odgovornosti pravnih osoba koje obavljaju djelatnosti na temelju dozvole Ministarstva, uključujući obvezu stručnog, kvalitetnog i nepristranog obavljanja poslova te odgovornost za točnost i vjerodostojnost podataka.</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86.</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uređuju se razlozi i postupak ukidanja dozvole za obavljanje djelatnosti prije isteka njezina važenja te obveza dostave rješenja nadležnoj inspekciji.</w:t>
      </w:r>
    </w:p>
    <w:p>
      <w:pPr>
        <w:pBdr/>
        <w:pStyle w:val="Normal"/>
        <w:spacing w:after="120" w:line="240" w:lineRule="auto"/>
        <w:ind/>
        <w:rPr>
          <w:rFonts w:ascii="Arial" w:eastAsia="Arial" w:hAnsi="Arial" w:cs="Arial"/>
          <w:sz w:val="24"/>
          <w:szCs w:val="24"/>
        </w:rPr>
      </w:pPr>
      <w:r>
        <w:rPr>
          <w:rFonts w:ascii="Arial" w:eastAsia="Arial" w:hAnsi="Arial" w:cs="Arial"/>
          <w:b/>
          <w:bCs/>
          <w:sz w:val="24"/>
          <w:szCs w:val="24"/>
        </w:rPr>
        <w:t xml:space="preserve">Uz članak 87.</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propisuje se objava popisa pravnih osoba kojima je izdana dozvola za obavljanje djelatnosti propisanih ovim Zakonom u Informacijskom sustavu zaštite zraka.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88.</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uvjeti koje moraju ispunjavati nacionalni referentni laboratoriji za obavljanje poslova osiguravanja kvalitete i točnosti mjerenja te prijenosa </w:t>
      </w:r>
      <w:r>
        <w:rPr>
          <w:rFonts w:ascii="Arial" w:eastAsia="Arial" w:hAnsi="Arial" w:cs="Arial"/>
          <w:sz w:val="24"/>
          <w:szCs w:val="24"/>
        </w:rPr>
        <w:t xml:space="preserve">i razmjene podataka o kvaliteti zraka, kao i obveza dokazivanja njihove stručne osposobljenosti.</w:t>
      </w:r>
    </w:p>
    <w:p>
      <w:pPr>
        <w:pBdr/>
        <w:pStyle w:val="Normal"/>
        <w:spacing w:after="120" w:line="240" w:lineRule="auto"/>
        <w:ind/>
        <w:jc w:val="both"/>
        <w:rPr>
          <w:rFonts w:ascii="Arial" w:eastAsia="Arial" w:hAnsi="Arial" w:cs="Arial"/>
          <w:b/>
          <w:bCs/>
          <w:sz w:val="24"/>
          <w:szCs w:val="24"/>
        </w:rPr>
      </w:pPr>
    </w:p>
    <w:p>
      <w:pPr>
        <w:pBdr/>
        <w:pStyle w:val="Heading 2"/>
        <w:spacing/>
        <w:ind/>
        <w:rPr>
          <w:rFonts w:ascii="Arial" w:eastAsia="Arial" w:hAnsi="Arial" w:cs="Arial"/>
        </w:rPr>
      </w:pPr>
      <w:r>
        <w:rPr>
          <w:rFonts w:ascii="Arial" w:eastAsia="Arial" w:hAnsi="Arial" w:cs="Arial"/>
        </w:rPr>
        <w:t xml:space="preserve">GLAVA IX.</w:t>
      </w:r>
    </w:p>
    <w:p>
      <w:pPr>
        <w:pBdr/>
        <w:pStyle w:val="Heading 2"/>
        <w:spacing/>
        <w:ind/>
        <w:rPr>
          <w:rFonts w:ascii="Arial" w:eastAsia="Arial" w:hAnsi="Arial" w:cs="Arial"/>
        </w:rPr>
      </w:pPr>
      <w:r>
        <w:rPr>
          <w:rFonts w:ascii="Arial" w:eastAsia="Arial" w:hAnsi="Arial" w:cs="Arial"/>
        </w:rPr>
        <w:t xml:space="preserve">FINANCIRANJE ZAŠTITE ZRAKA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89.</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propisuju se izvori financiranja zaštite zraka te namjene za koje se sredstva osigurana iz državnog proračuna Republike Hrvatske, proračuna jedinica lokalne i područne (regionalne) samouprave, Fonda za zaštitu okoliša i energetsku učinkovitost i drugih izvora mogu koristiti radi provedbe mjera zaštite i poboljšanja kvalitete zraka.</w:t>
      </w:r>
    </w:p>
    <w:p>
      <w:pPr>
        <w:pBdr/>
        <w:pStyle w:val="Normal"/>
        <w:spacing w:after="120" w:line="240" w:lineRule="auto"/>
        <w:ind/>
        <w:jc w:val="both"/>
        <w:rPr>
          <w:rFonts w:ascii="Arial" w:eastAsia="Arial" w:hAnsi="Arial" w:cs="Arial"/>
          <w:b/>
          <w:bCs/>
          <w:sz w:val="24"/>
          <w:szCs w:val="24"/>
        </w:rPr>
      </w:pPr>
    </w:p>
    <w:p>
      <w:pPr>
        <w:pBdr/>
        <w:pStyle w:val="Heading 2"/>
        <w:spacing/>
        <w:ind/>
        <w:rPr>
          <w:rFonts w:ascii="Arial" w:eastAsia="Arial" w:hAnsi="Arial" w:cs="Arial"/>
        </w:rPr>
      </w:pPr>
      <w:r>
        <w:rPr>
          <w:rFonts w:ascii="Arial" w:eastAsia="Arial" w:hAnsi="Arial" w:cs="Arial"/>
        </w:rPr>
        <w:t xml:space="preserve">GLAVA X.</w:t>
      </w:r>
    </w:p>
    <w:p>
      <w:pPr>
        <w:pBdr/>
        <w:pStyle w:val="Heading 2"/>
        <w:spacing/>
        <w:ind/>
        <w:rPr>
          <w:rFonts w:ascii="Arial" w:eastAsia="Arial" w:hAnsi="Arial" w:cs="Arial"/>
        </w:rPr>
      </w:pPr>
      <w:r>
        <w:rPr>
          <w:rFonts w:ascii="Arial" w:eastAsia="Arial" w:hAnsi="Arial" w:cs="Arial"/>
        </w:rPr>
        <w:t xml:space="preserve">PRISTUP PRAVOSUĐU I NAKNADA ŠTETE</w:t>
      </w:r>
    </w:p>
    <w:p>
      <w:pPr>
        <w:pBdr/>
        <w:pStyle w:val="Normal"/>
        <w:spacing w:after="120" w:line="240" w:lineRule="auto"/>
        <w:ind/>
        <w:rPr>
          <w:rFonts w:ascii="Arial" w:eastAsia="Arial" w:hAnsi="Arial" w:cs="Arial"/>
          <w:sz w:val="24"/>
          <w:szCs w:val="24"/>
        </w:rPr>
      </w:pPr>
      <w:r>
        <w:rPr>
          <w:rFonts w:ascii="Arial" w:eastAsia="Arial" w:hAnsi="Arial" w:cs="Arial"/>
          <w:b/>
          <w:sz w:val="24"/>
          <w:szCs w:val="24"/>
        </w:rPr>
        <w:t xml:space="preserve">Uz članak 90.</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uređuje se pravo pristupa pravosuđu pripadnika zainteresirane javnosti, udruga i drugih organizacija civilnoga društva u području zaštite zraka te se propisuju odluke, radnje i propusti nadležnih tijela koji mogu biti predmet osporavanja.</w:t>
      </w:r>
    </w:p>
    <w:p>
      <w:pPr>
        <w:pBdr/>
        <w:pStyle w:val="Normal"/>
        <w:spacing w:after="120" w:line="240" w:lineRule="auto"/>
        <w:ind/>
        <w:rPr>
          <w:rFonts w:ascii="Arial" w:eastAsia="Arial" w:hAnsi="Arial" w:cs="Arial"/>
          <w:sz w:val="24"/>
          <w:szCs w:val="24"/>
        </w:rPr>
      </w:pPr>
      <w:r>
        <w:rPr>
          <w:rFonts w:ascii="Arial" w:eastAsia="Arial" w:hAnsi="Arial" w:cs="Arial"/>
          <w:b/>
          <w:sz w:val="24"/>
          <w:szCs w:val="24"/>
        </w:rPr>
        <w:t xml:space="preserve">Uz članak 91.</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uređuje se pravo zainteresirane javnosti na osporavanje zakonitosti upravnih akata, odluka, radnji ili propusta u području zaštite zraka pred nadležnim sudom te način pokretanja sudskog postupka.</w:t>
      </w:r>
    </w:p>
    <w:p>
      <w:pPr>
        <w:pBdr/>
        <w:pStyle w:val="Normal"/>
        <w:spacing w:after="120" w:line="240" w:lineRule="auto"/>
        <w:ind/>
        <w:rPr>
          <w:rFonts w:ascii="Arial" w:eastAsia="Arial" w:hAnsi="Arial" w:cs="Arial"/>
          <w:sz w:val="24"/>
          <w:szCs w:val="24"/>
        </w:rPr>
      </w:pPr>
      <w:r>
        <w:rPr>
          <w:rFonts w:ascii="Arial" w:eastAsia="Arial" w:hAnsi="Arial" w:cs="Arial"/>
          <w:b/>
          <w:sz w:val="24"/>
          <w:szCs w:val="24"/>
        </w:rPr>
        <w:t xml:space="preserve">Uz članak 92.</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propisuje se da su sudski postupci iz područja zaštite zraka koji se vode sukladno ovome Zakonu hitni.</w:t>
      </w:r>
    </w:p>
    <w:p>
      <w:pPr>
        <w:pBdr/>
        <w:pStyle w:val="Normal"/>
        <w:spacing w:after="120" w:line="240" w:lineRule="auto"/>
        <w:ind/>
        <w:rPr>
          <w:rFonts w:ascii="Arial" w:eastAsia="Arial" w:hAnsi="Arial" w:cs="Arial"/>
          <w:sz w:val="24"/>
          <w:szCs w:val="24"/>
        </w:rPr>
      </w:pPr>
      <w:r>
        <w:rPr>
          <w:rFonts w:ascii="Arial" w:eastAsia="Arial" w:hAnsi="Arial" w:cs="Arial"/>
          <w:b/>
          <w:sz w:val="24"/>
          <w:szCs w:val="24"/>
        </w:rPr>
        <w:t xml:space="preserve">Uz članak 93.</w:t>
      </w:r>
    </w:p>
    <w:p>
      <w:pPr>
        <w:pBdr/>
        <w:pStyle w:val="Normal"/>
        <w:spacing w:after="120" w:line="240" w:lineRule="auto"/>
        <w:ind/>
        <w:rPr>
          <w:rFonts w:ascii="Arial" w:eastAsia="Arial" w:hAnsi="Arial" w:cs="Arial"/>
          <w:sz w:val="24"/>
          <w:szCs w:val="24"/>
        </w:rPr>
      </w:pPr>
      <w:r>
        <w:rPr>
          <w:rFonts w:ascii="Arial" w:eastAsia="Arial" w:hAnsi="Arial" w:cs="Arial"/>
          <w:sz w:val="24"/>
          <w:szCs w:val="24"/>
        </w:rPr>
        <w:t xml:space="preserve">Ovim člankom uređuje se odgovornost za naknadu štete nastale zbog narušenog zdravlja ljudi uslijed postupanja ili propuštanja u provedbi planova za kvalitetu zraka, planova djelovanja za kvalitetu zraka i kratkoročnih akcijskih planova. Dodatno se ovim Prijedlogom Zakona uređuje odgovornost onečišćivača za štetu nastalu kršenjem propisa o hlapivim organskim spojevima.</w:t>
      </w:r>
    </w:p>
    <w:p>
      <w:pPr>
        <w:pBdr/>
        <w:pStyle w:val="Normal"/>
        <w:spacing w:after="120" w:line="240" w:lineRule="auto"/>
        <w:ind/>
        <w:rPr>
          <w:rFonts w:ascii="Arial" w:eastAsia="Arial" w:hAnsi="Arial" w:cs="Arial"/>
          <w:sz w:val="24"/>
          <w:szCs w:val="24"/>
        </w:rPr>
      </w:pPr>
      <w:r>
        <w:rPr>
          <w:rFonts w:ascii="Arial" w:eastAsia="Arial" w:hAnsi="Arial" w:cs="Arial"/>
          <w:b/>
          <w:sz w:val="24"/>
          <w:szCs w:val="24"/>
        </w:rPr>
        <w:t xml:space="preserve">Uz članak 94.</w:t>
      </w:r>
    </w:p>
    <w:p>
      <w:pPr>
        <w:pBdr/>
        <w:pStyle w:val="Normal"/>
        <w:spacing w:after="120" w:line="240" w:lineRule="auto"/>
        <w:ind/>
        <w:jc w:val="both"/>
        <w:rPr>
          <w:rFonts w:ascii="Arial" w:eastAsia="Arial" w:hAnsi="Arial" w:cs="Arial"/>
          <w:b/>
          <w:sz w:val="24"/>
          <w:szCs w:val="24"/>
        </w:rPr>
      </w:pPr>
      <w:r>
        <w:rPr>
          <w:rFonts w:ascii="Arial" w:eastAsia="Arial" w:hAnsi="Arial" w:cs="Arial"/>
          <w:sz w:val="24"/>
          <w:szCs w:val="24"/>
        </w:rPr>
        <w:t xml:space="preserve">Ovim člankom uređuje se rok za ostvarivanje prava na naknadu štete</w:t>
      </w:r>
    </w:p>
    <w:p>
      <w:pPr>
        <w:pBdr/>
        <w:pStyle w:val="Normal"/>
        <w:spacing w:after="120" w:line="240" w:lineRule="auto"/>
        <w:ind/>
        <w:jc w:val="both"/>
        <w:rPr>
          <w:rFonts w:ascii="Arial" w:eastAsia="Arial" w:hAnsi="Arial" w:cs="Arial"/>
          <w:sz w:val="24"/>
          <w:szCs w:val="24"/>
        </w:rPr>
      </w:pPr>
      <w:r>
        <w:rPr>
          <w:rFonts w:ascii="Arial" w:eastAsia="Arial" w:hAnsi="Arial" w:cs="Arial"/>
          <w:b/>
          <w:sz w:val="24"/>
          <w:szCs w:val="24"/>
        </w:rPr>
        <w:t xml:space="preserve">Uz članak 95.</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supsidijarna primjena propisa kojima se uređuju obvezni odnosi i upravni sporovi na pitanja odgovornosti za štetu i postupke koji nisu uređeni ovim Zakonom.</w:t>
      </w:r>
    </w:p>
    <w:p>
      <w:pPr>
        <w:pBdr/>
        <w:pStyle w:val="Normal"/>
        <w:spacing w:after="120" w:line="240" w:lineRule="auto"/>
        <w:ind/>
        <w:jc w:val="both"/>
        <w:rPr>
          <w:rFonts w:ascii="Arial" w:eastAsia="Arial" w:hAnsi="Arial" w:cs="Arial"/>
          <w:sz w:val="24"/>
          <w:szCs w:val="24"/>
        </w:rPr>
      </w:pPr>
    </w:p>
    <w:p>
      <w:pPr>
        <w:pBdr/>
        <w:pStyle w:val="Heading 2"/>
        <w:spacing/>
        <w:ind/>
        <w:rPr>
          <w:rFonts w:ascii="Arial" w:eastAsia="Arial" w:hAnsi="Arial" w:cs="Arial"/>
        </w:rPr>
      </w:pPr>
      <w:r>
        <w:rPr>
          <w:rFonts w:ascii="Arial" w:eastAsia="Arial" w:hAnsi="Arial" w:cs="Arial"/>
        </w:rPr>
        <w:t xml:space="preserve">DIO TREĆI</w:t>
      </w:r>
    </w:p>
    <w:p>
      <w:pPr>
        <w:pBdr/>
        <w:pStyle w:val="Heading 2"/>
        <w:spacing/>
        <w:ind/>
        <w:rPr>
          <w:rFonts w:ascii="Arial" w:eastAsia="Arial" w:hAnsi="Arial" w:cs="Arial"/>
        </w:rPr>
      </w:pPr>
      <w:r>
        <w:rPr>
          <w:rFonts w:ascii="Arial" w:eastAsia="Arial" w:hAnsi="Arial" w:cs="Arial"/>
        </w:rPr>
        <w:t xml:space="preserve">NADZOR</w:t>
      </w:r>
    </w:p>
    <w:p>
      <w:pPr>
        <w:pBdr/>
        <w:pStyle w:val="Heading 2"/>
        <w:spacing/>
        <w:ind/>
        <w:rPr>
          <w:rFonts w:ascii="Arial" w:eastAsia="Arial" w:hAnsi="Arial" w:cs="Arial"/>
        </w:rPr>
      </w:pPr>
      <w:r>
        <w:rPr>
          <w:rFonts w:ascii="Arial" w:eastAsia="Arial" w:hAnsi="Arial" w:cs="Arial"/>
        </w:rPr>
        <w:t xml:space="preserve">GLAVA I.</w:t>
      </w:r>
    </w:p>
    <w:p>
      <w:pPr>
        <w:pBdr/>
        <w:pStyle w:val="Heading 2"/>
        <w:spacing/>
        <w:ind/>
        <w:rPr>
          <w:rFonts w:ascii="Arial" w:eastAsia="Arial" w:hAnsi="Arial" w:cs="Arial"/>
        </w:rPr>
      </w:pPr>
      <w:r>
        <w:rPr>
          <w:rFonts w:ascii="Arial" w:eastAsia="Arial" w:hAnsi="Arial" w:cs="Arial"/>
        </w:rPr>
        <w:t xml:space="preserve">UPRAVNI NADZOR</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96. </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upravni nadzor nad primjenom ovoga Zakona i propisa donesenih na temelju njega te zakonitost rada i postupanja nadležnih tijela nad povjerenim, upravnim i drugim stručnim poslovima u području zaštite zraka.</w:t>
      </w:r>
    </w:p>
    <w:p>
      <w:pPr>
        <w:pBdr/>
        <w:pStyle w:val="Normal"/>
        <w:spacing w:after="120" w:line="240" w:lineRule="auto"/>
        <w:ind/>
        <w:jc w:val="both"/>
        <w:rPr>
          <w:rFonts w:ascii="Arial" w:eastAsia="Arial" w:hAnsi="Arial" w:cs="Arial"/>
          <w:sz w:val="24"/>
          <w:szCs w:val="24"/>
        </w:rPr>
      </w:pPr>
    </w:p>
    <w:p>
      <w:pPr>
        <w:pBdr/>
        <w:pStyle w:val="Heading 2"/>
        <w:spacing/>
        <w:ind/>
        <w:rPr>
          <w:rFonts w:ascii="Arial" w:eastAsia="Arial" w:hAnsi="Arial" w:cs="Arial"/>
        </w:rPr>
      </w:pPr>
      <w:r>
        <w:rPr>
          <w:rFonts w:ascii="Arial" w:eastAsia="Arial" w:hAnsi="Arial" w:cs="Arial"/>
        </w:rPr>
        <w:t xml:space="preserve">GLAVA II.</w:t>
      </w:r>
    </w:p>
    <w:p>
      <w:pPr>
        <w:pBdr/>
        <w:pStyle w:val="Heading 2"/>
        <w:spacing/>
        <w:ind/>
        <w:rPr>
          <w:rFonts w:ascii="Arial" w:eastAsia="Arial" w:hAnsi="Arial" w:cs="Arial"/>
        </w:rPr>
      </w:pPr>
      <w:r>
        <w:rPr>
          <w:rFonts w:ascii="Arial" w:eastAsia="Arial" w:hAnsi="Arial" w:cs="Arial"/>
        </w:rPr>
        <w:t xml:space="preserve">INSPEKCIJSKI NADZOR</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članke 97. – 116.</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člancima uređuju se ovlasti inspektora u provedbi inspekcijskog nadzora, mjere koje se mogu narediti radi otklanjanja utvrđenih nezakonitosti i nepravilnosti, zabrane i druge upravne mjere, način izvršenja inspekcijskih rješenja te pravna zaštita protiv rješenja donesenih u inspekcijskom postupku. Također se propisuju posebne mjere koje inspektor može narediti radi osiguravanja provedbe obveza propisanih ovim Zakonom i provedbenim propisima.</w:t>
      </w:r>
    </w:p>
    <w:p>
      <w:pPr>
        <w:pBdr/>
        <w:pStyle w:val="Normal"/>
        <w:spacing w:after="120" w:line="240" w:lineRule="auto"/>
        <w:ind/>
        <w:jc w:val="both"/>
        <w:rPr>
          <w:rFonts w:ascii="Arial" w:eastAsia="Arial" w:hAnsi="Arial" w:cs="Arial"/>
          <w:sz w:val="24"/>
          <w:szCs w:val="24"/>
        </w:rPr>
      </w:pPr>
    </w:p>
    <w:p>
      <w:pPr>
        <w:pBdr/>
        <w:pStyle w:val="Heading 2"/>
        <w:spacing/>
        <w:ind/>
        <w:rPr>
          <w:rFonts w:ascii="Arial" w:eastAsia="Arial" w:hAnsi="Arial" w:cs="Arial"/>
        </w:rPr>
      </w:pPr>
      <w:r>
        <w:rPr>
          <w:rFonts w:ascii="Arial" w:eastAsia="Arial" w:hAnsi="Arial" w:cs="Arial"/>
        </w:rPr>
        <w:t xml:space="preserve">DIO ČETVRTI</w:t>
      </w:r>
    </w:p>
    <w:p>
      <w:pPr>
        <w:pBdr/>
        <w:pStyle w:val="Heading 2"/>
        <w:spacing/>
        <w:ind/>
        <w:rPr>
          <w:rFonts w:ascii="Arial" w:eastAsia="Arial" w:hAnsi="Arial" w:cs="Arial"/>
        </w:rPr>
      </w:pPr>
      <w:r>
        <w:rPr>
          <w:rFonts w:ascii="Arial" w:eastAsia="Arial" w:hAnsi="Arial" w:cs="Arial"/>
        </w:rPr>
        <w:t xml:space="preserve">PREKRŠAJNE ODREDBE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članke 117. – 124.</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člancima propisuju se prekršaji i novčane kazne za pravne osobe, odgovorne osobe u pravnim osobama, obrtnike te odgovorne osobe u tijelima državne uprave, jedinicama lokalne i područne (regionalne) samouprave i drugim nadležnim tijelima zbog povreda obveza utvrđenih ovim Zakonom i propisima donesenima na temelju ovoga Zakona.</w:t>
      </w:r>
    </w:p>
    <w:p>
      <w:pPr>
        <w:pBdr/>
        <w:pStyle w:val="Normal"/>
        <w:spacing w:after="120" w:line="240" w:lineRule="auto"/>
        <w:ind/>
        <w:jc w:val="both"/>
        <w:rPr>
          <w:rFonts w:ascii="Arial" w:eastAsia="Arial" w:hAnsi="Arial" w:cs="Arial"/>
          <w:sz w:val="24"/>
          <w:szCs w:val="24"/>
        </w:rPr>
      </w:pPr>
    </w:p>
    <w:p>
      <w:pPr>
        <w:pBdr/>
        <w:pStyle w:val="Heading 2"/>
        <w:spacing/>
        <w:ind/>
        <w:rPr>
          <w:rFonts w:ascii="Arial" w:eastAsia="Arial" w:hAnsi="Arial" w:cs="Arial"/>
        </w:rPr>
      </w:pPr>
      <w:r>
        <w:rPr>
          <w:rFonts w:ascii="Arial" w:eastAsia="Arial" w:hAnsi="Arial" w:cs="Arial"/>
        </w:rPr>
        <w:t xml:space="preserve">DIO PETI</w:t>
      </w:r>
    </w:p>
    <w:p>
      <w:pPr>
        <w:pBdr/>
        <w:pStyle w:val="Heading 2"/>
        <w:spacing/>
        <w:ind/>
        <w:rPr>
          <w:rFonts w:ascii="Arial" w:eastAsia="Arial" w:hAnsi="Arial" w:cs="Arial"/>
        </w:rPr>
      </w:pPr>
      <w:r>
        <w:rPr>
          <w:rFonts w:ascii="Arial" w:eastAsia="Arial" w:hAnsi="Arial" w:cs="Arial"/>
        </w:rPr>
        <w:t xml:space="preserve">PRIJELAZNE I ZAVRŠNE ODREDBE</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125.</w:t>
      </w:r>
    </w:p>
    <w:p>
      <w:pPr>
        <w:pBdr/>
        <w:pStyle w:val="Normal"/>
        <w:spacing w:after="120" w:line="240" w:lineRule="auto"/>
        <w:ind/>
        <w:jc w:val="both"/>
        <w:rPr>
          <w:rFonts w:ascii="Arial" w:eastAsia="Arial" w:hAnsi="Arial" w:cs="Arial"/>
          <w:sz w:val="24"/>
          <w:szCs w:val="24"/>
        </w:rPr>
      </w:pPr>
      <w:r>
        <w:rPr>
          <w:rFonts w:ascii="Arial" w:eastAsia="Arial" w:hAnsi="Arial" w:cs="Arial"/>
          <w:bCs/>
          <w:sz w:val="24"/>
          <w:szCs w:val="24"/>
        </w:rPr>
        <w:t xml:space="preserve">Ovim člankom propisuje se dovršetak postupaka započetih prema dosadašnjem Zakonu o zaštiti zraka (»Narodne novine«, br. 127/19., 57/22. i 136/24.)</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članak 126.</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uređuje se prijelazni režim primjene akcijskih planova za poboljšanje kvalitete zraka, kratkoročnih akcijskih planova i mjera za smanjivanje razina prizemnog ozona donesenih prema dosadašnjem Zakonu o zaštiti zraka do isteka njihova važenja, odnosno do donošenja novih planova u skladu s ovim Zakonom.</w:t>
      </w:r>
    </w:p>
    <w:p>
      <w:pPr>
        <w:pBdr/>
        <w:pStyle w:val="Normal"/>
        <w:spacing w:after="120" w:line="240" w:lineRule="auto"/>
        <w:ind/>
        <w:jc w:val="both"/>
        <w:rPr>
          <w:rFonts w:ascii="Arial" w:eastAsia="Arial" w:hAnsi="Arial" w:cs="Arial"/>
          <w:bCs/>
          <w:sz w:val="24"/>
          <w:szCs w:val="24"/>
        </w:rPr>
      </w:pPr>
      <w:r>
        <w:rPr>
          <w:rFonts w:ascii="Arial" w:eastAsia="Arial" w:hAnsi="Arial" w:cs="Arial"/>
          <w:b/>
          <w:sz w:val="24"/>
          <w:szCs w:val="24"/>
        </w:rPr>
        <w:t xml:space="preserve">Uz članak 127.</w:t>
      </w:r>
    </w:p>
    <w:p>
      <w:pPr>
        <w:pBdr/>
        <w:pStyle w:val="Normal"/>
        <w:spacing w:after="120" w:line="240" w:lineRule="auto"/>
        <w:ind/>
        <w:jc w:val="both"/>
        <w:rPr>
          <w:rFonts w:ascii="Arial" w:eastAsia="Arial" w:hAnsi="Arial" w:cs="Arial"/>
          <w:bCs/>
          <w:sz w:val="24"/>
          <w:szCs w:val="24"/>
        </w:rPr>
      </w:pPr>
      <w:r>
        <w:rPr>
          <w:rFonts w:ascii="Arial" w:eastAsia="Arial" w:hAnsi="Arial" w:cs="Arial"/>
          <w:bCs/>
          <w:sz w:val="24"/>
          <w:szCs w:val="24"/>
        </w:rPr>
        <w:t xml:space="preserve">Ovim člankom uređuje se prijelazni režim važenja dozvola izdanih prema dosadašnjem Zakonu o zaštiti zraka te obvezu usklađivanja postojećih dozvola s odredbama ovoga Zakona.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članke 128. – 130.</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člancima propisuju se rokovi za donošenje provedbenih propisa, nastavak važenja provedbenih propisa donesenih na temelju dosadašnjeg Zakona do stupanja na snagu novih provedbenih propisa te prestanak važenja pojedinih provedbenih propisa stupanjem na snagu ovoga Zakona.</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131.</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prestanak važenja dosadašnjeg Zakona o zaštiti zraka.</w:t>
      </w:r>
    </w:p>
    <w:p>
      <w:pPr>
        <w:pBdr/>
        <w:pStyle w:val="Normal"/>
        <w:spacing w:after="120" w:line="240" w:lineRule="auto"/>
        <w:ind/>
        <w:jc w:val="both"/>
        <w:rPr>
          <w:rFonts w:ascii="Arial" w:eastAsia="Arial" w:hAnsi="Arial" w:cs="Arial"/>
          <w:b/>
          <w:bCs/>
          <w:sz w:val="24"/>
          <w:szCs w:val="24"/>
        </w:rPr>
      </w:pPr>
      <w:r>
        <w:rPr>
          <w:rFonts w:ascii="Arial" w:eastAsia="Arial" w:hAnsi="Arial" w:cs="Arial"/>
          <w:b/>
          <w:bCs/>
          <w:sz w:val="24"/>
          <w:szCs w:val="24"/>
        </w:rPr>
        <w:t xml:space="preserve">Uz članak 132.</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Ovim člankom propisuje se stupanje na snagu ovoga Zakona uz odgoda stupanja na snagu članka 35. jer se ispunjenje uvjeta za punu provedbu odredbi članka 35. očekuje od navedenog datuma.</w:t>
      </w:r>
    </w:p>
    <w:p>
      <w:pPr>
        <w:pBdr/>
        <w:pStyle w:val="No Spacing"/>
        <w:spacing w:after="120"/>
        <w:ind/>
        <w:rPr>
          <w:rFonts w:ascii="Arial" w:eastAsia="Arial" w:hAnsi="Arial" w:cs="Arial"/>
          <w:b/>
          <w:bCs/>
          <w:sz w:val="24"/>
          <w:szCs w:val="24"/>
        </w:rPr>
      </w:pPr>
    </w:p>
    <w:p>
      <w:pPr>
        <w:pBdr/>
        <w:pStyle w:val="Heading 2"/>
        <w:spacing/>
        <w:ind/>
        <w:rPr/>
      </w:pPr>
      <w:r>
        <w:rPr/>
        <w:t xml:space="preserve">DODACI ZAKONA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Dodatak I.</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Dodatkom I. propisuju se standardi kvalitete zraka, uključujući granične vrijednosti, ciljne vrijednosti, kritične razine, pragovi upozorenja i obavješćivanja, pokazatelji prosječne izloženosti te drugi standardi kvalitete zraka koji služe za procjenjivanje i upravljanje kvalitetom zraka.</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Dodatak II.</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Dodatkom II. propisuju se pragovi procjene koji služe za određivanje načina procjenjivanja kvalitete zraka te kriteriji za primjenu mjerenja, modeliranja i drugih metoda procjene.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Dodatak III.</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Dodatkom III. propisuju se standardi kvalitete življenja, odnosno granične vrijednosti koje se primjenjuju radi zaštite kvalitete življenja u odnosu na pojedine onečišćujuće tvari u zraku.</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Dodatak IV.</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Dodatkom IV. propisuju se zahtjevi za mjerenja onečišćujućih tvari na superlokacijama za praćenje kvalitete zraka radi prikupljanja dodatnih podataka potrebnih za procjenu kvalitete zraka i procjenu utjecaja onečišćenja na zdravlje ljudi i okoliš.</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Dodatak V.</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Dodatkom V. propisuju se informacije koje moraju biti sadržane u planovima za kvalitetu zraka i planovima djelovanja za kvalitetu zraka radi osiguravanja njihove ujednačene izrade i provedbe.</w:t>
      </w:r>
    </w:p>
    <w:p>
      <w:pPr>
        <w:pBdr/>
        <w:pStyle w:val="Normal"/>
        <w:spacing w:after="120" w:line="240" w:lineRule="auto"/>
        <w:ind/>
        <w:jc w:val="both"/>
        <w:rPr>
          <w:rFonts w:ascii="Arial" w:eastAsia="Arial" w:hAnsi="Arial" w:cs="Arial"/>
          <w:sz w:val="24"/>
          <w:szCs w:val="24"/>
        </w:rPr>
      </w:pPr>
      <w:r>
        <w:rPr>
          <w:rFonts w:ascii="Arial" w:eastAsia="Arial" w:hAnsi="Arial" w:cs="Arial"/>
          <w:b/>
          <w:bCs/>
          <w:sz w:val="24"/>
          <w:szCs w:val="24"/>
        </w:rPr>
        <w:t xml:space="preserve">Uz Dodatak VI.</w:t>
      </w:r>
    </w:p>
    <w:p>
      <w:pPr>
        <w:pBdr/>
        <w:pStyle w:val="Normal"/>
        <w:spacing w:after="120" w:line="240" w:lineRule="auto"/>
        <w:ind/>
        <w:jc w:val="both"/>
        <w:rPr>
          <w:rFonts w:ascii="Arial" w:eastAsia="Arial" w:hAnsi="Arial" w:cs="Arial"/>
          <w:sz w:val="24"/>
          <w:szCs w:val="24"/>
        </w:rPr>
      </w:pPr>
      <w:r>
        <w:rPr>
          <w:rFonts w:ascii="Arial" w:eastAsia="Arial" w:hAnsi="Arial" w:cs="Arial"/>
          <w:sz w:val="24"/>
          <w:szCs w:val="24"/>
        </w:rPr>
        <w:t xml:space="preserve">Dodatkom VI. propisuju se sadržaj, način i opseg obavješćivanja javnosti o kvaliteti zraka, uključujući informacije koje moraju biti pravodobno dostupne javnosti putem informacijskog sustava zaštite zraka i drugih odgovarajućih načina informiranja.</w:t>
      </w:r>
    </w:p>
    <w:sectPr>
      <w:footerReference w:type="default" r:id="rId1"/>
      <w:type w:val="nextPage"/>
      <w:pgSz w:w="11906" w:h="16838"/>
      <w:pgMar w:top="992" w:right="1418" w:bottom="992" w:left="1418" w:header="709" w:footer="567" w:gutter="0"/>
      <w:pgNumType w:fmt="Arabic"/>
      <w:pgBorders/>
      <w:endnotePr>
        <w:pos w:val="docEnd"/>
        <w:numFmt w:val="lowerRoman"/>
        <w:numRestart w:val="continuous"/>
        <w:numStart w:val="1"/>
      </w:endnotePr>
    </w:sectPr>
  </w:body>
</w:document>
</file>

<file path=word/endnotes.xml><?xml version="1.0" encoding="utf-8"?>
<w:end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endnote w:type="separator" w:id="-1">
    <w:p>
      <w:pPr>
        <w:pBdr/>
        <w:pStyle w:val="Normal"/>
        <w:spacing/>
        <w:ind/>
        <w:rPr/>
      </w:pPr>
      <w:r>
        <w:rPr/>
        <w:separator/>
      </w:r>
    </w:p>
  </w:endnote>
  <w:endnote w:type="continuationSeparator" w:id="0">
    <w:p>
      <w:pPr>
        <w:pBdr/>
        <w:pStyle w:val="Normal"/>
        <w:spacing/>
        <w:ind/>
        <w:rPr/>
      </w:pPr>
      <w:r>
        <w:rPr/>
        <w:continuationSeparator/>
      </w:r>
    </w:p>
  </w:endnote>
  <w:endnote w:type="continuationNotice" w:id="1">
    <w:p>
      <w:pPr>
        <w:pBdr/>
        <w:pStyle w:val="Normal"/>
        <w:spacing/>
        <w:ind/>
        <w:rPr/>
      </w:pPr>
    </w:p>
  </w:endnote>
</w:endnote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Bdr/>
      <w:pStyle w:val="Footer"/>
      <w:spacing/>
      <w:ind/>
      <w:rPr/>
    </w:pPr>
  </w:p>
</w:ftr>
</file>

<file path=word/footnotes.xml><?xml version="1.0" encoding="utf-8"?>
<w:foot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footnote w:type="separator" w:id="-1">
    <w:p>
      <w:pPr>
        <w:pBdr/>
        <w:pStyle w:val="Normal"/>
        <w:spacing/>
        <w:ind/>
        <w:rPr/>
      </w:pPr>
      <w:r>
        <w:rPr/>
        <w:separator/>
      </w:r>
    </w:p>
  </w:footnote>
  <w:footnote w:type="continuationSeparator" w:id="0">
    <w:p>
      <w:pPr>
        <w:pBdr/>
        <w:pStyle w:val="Normal"/>
        <w:spacing/>
        <w:ind/>
        <w:rPr/>
      </w:pPr>
      <w:r>
        <w:rPr/>
        <w:continuationSeparator/>
      </w:r>
    </w:p>
  </w:footnote>
  <w:footnote w:type="continuationNotice" w:id="1">
    <w:p>
      <w:pPr>
        <w:pBdr/>
        <w:pStyle w:val="Normal"/>
        <w:spacing/>
        <w:i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
    <w:nsid w:val="7CF2F579"/>
    <w:lvl w:ilvl="0">
      <w:start w:val="1"/>
      <w:numFmt w:val="decimal"/>
      <w:suff w:val="tab"/>
      <w:lvlText w:val="%1."/>
      <w:pPr>
        <w:pBdr/>
        <w:spacing/>
        <w:ind w:left="720" w:hanging="360"/>
      </w:pPr>
      <w:rPr>
        <w:color w:val="000000"/>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documentProtection w:cryptProviderType="rsaAES" w:cryptAlgorithmClass="hash" w:cryptAlgorithmType="typeAny" w:cryptAlgorithmSid="14" w:cryptSpinCount="100000"/>
  <w:zoom w:val="none" w:percent="100"/>
  <w:themeFontLang w:val="en-US" w:bidi="ar-SA" w:eastAsia="ja-JP"/>
  <w:displayBackgroundShape/>
  <w:defaultTabStop w:val="708"/>
  <w:compat>
    <w:compatSetting w:name="compatibilityMode" w:uri="http://schemas.microsoft.com/office/word" w:val="15"/>
  </w:compat>
  <w:footnotePr>
    <w:footnote w:id="-1"/>
    <w:footnote w:id="0"/>
  </w:footnotePr>
  <w:endnotePr>
    <w:endnote w:id="-1"/>
    <w:endnote w:id="0"/>
  </w:end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rPr>
    </w:rPrDefault>
    <w:pPrDefault>
      <w:pPr>
        <w:pBdr/>
        <w:keepNext w:val="0"/>
        <w:keepLines w:val="0"/>
        <w:outlineLvl w:val="9"/>
        <w:spacing w:before="0" w:after="160" w:line="259" w:lineRule="auto"/>
        <w:widowControl w:val="1"/>
        <w:ind w:left="0" w:right="0" w:firstLine="0"/>
        <w:jc w:val="left"/>
      </w:pPr>
    </w:pPrDefault>
  </w:docDefaults>
  <w:style w:type="paragraph" w:styleId="Normal">
    <w:name w:val="Normal"/>
    <w:next w:val="Normal"/>
    <w:pPr>
      <w:pBdr/>
      <w:spacing/>
      <w:ind/>
    </w:pPr>
    <w:rPr>
      <w:rFonts w:ascii="Arial" w:eastAsia="Arial" w:hAnsi="Arial" w:cs="Arial"/>
    </w:rPr>
  </w:style>
  <w:style w:type="paragraph" w:styleId="Heading 1">
    <w:name w:val="Heading 1"/>
    <w:basedOn w:val="Normal"/>
    <w:next w:val="Normal"/>
    <w:link w:val="Naslov 1 Char"/>
    <w:pPr>
      <w:pBdr/>
      <w:keepNext/>
      <w:keepLines/>
      <w:outlineLvl w:val="0"/>
      <w:spacing w:after="0"/>
      <w:ind/>
      <w:jc w:val="left"/>
    </w:pPr>
    <w:rPr>
      <w:rFonts w:ascii="Arial" w:eastAsia="Arial" w:hAnsi="Arial" w:cstheme="majorBidi"/>
      <w:b/>
      <w:color w:val="000000"/>
      <w:sz w:val="32"/>
      <w:szCs w:val="32"/>
    </w:rPr>
  </w:style>
  <w:style w:type="character" w:styleId="Naslov 1 Char">
    <w:name w:val="Naslov 1 Char"/>
    <w:basedOn w:val="Default Paragraph Font"/>
    <w:rPr>
      <w:rFonts w:ascii="Arial" w:eastAsia="Arial" w:hAnsi="Arial" w:cstheme="majorBidi"/>
      <w:b/>
      <w:sz w:val="24"/>
      <w:szCs w:val="32"/>
    </w:rPr>
  </w:style>
  <w:style w:type="character" w:styleId="Default Paragraph Font">
    <w:name w:val="Default Paragraph Font"/>
    <w:rPr>
      <w:rFonts w:ascii="Arial" w:eastAsia="Arial" w:hAnsi="Arial" w:cs="Arial"/>
    </w:rPr>
  </w:style>
  <w:style w:type="paragraph" w:styleId="Heading 2">
    <w:name w:val="Heading 2"/>
    <w:basedOn w:val="Normal"/>
    <w:next w:val="Normal"/>
    <w:pPr>
      <w:pBdr/>
      <w:outlineLvl w:val="1"/>
      <w:spacing w:before="120" w:after="120" w:line="240" w:lineRule="auto"/>
      <w:ind/>
      <w:jc w:val="left"/>
    </w:pPr>
    <w:rPr>
      <w:rFonts w:ascii="Arial" w:eastAsia="Arial" w:hAnsi="Arial" w:cs="Times New Roman"/>
      <w:b/>
      <w:bCs/>
      <w:color w:val="000000"/>
      <w:sz w:val="28"/>
      <w:szCs w:val="36"/>
    </w:rPr>
  </w:style>
  <w:style w:type="paragraph" w:styleId="Heading 3">
    <w:name w:val="Heading 3"/>
    <w:basedOn w:val="Normal"/>
    <w:next w:val="Normal"/>
    <w:link w:val="Naslov 3 Char"/>
    <w:pPr>
      <w:pBdr/>
      <w:keepNext/>
      <w:keepLines/>
      <w:outlineLvl w:val="2"/>
      <w:spacing w:before="120" w:after="120"/>
      <w:ind/>
      <w:jc w:val="left"/>
    </w:pPr>
    <w:rPr>
      <w:rFonts w:ascii="Arial" w:eastAsia="Arial" w:hAnsi="Arial" w:cstheme="majorBidi"/>
      <w:b/>
      <w:i/>
      <w:color w:val="000000"/>
      <w:sz w:val="26"/>
      <w:szCs w:val="24"/>
    </w:rPr>
  </w:style>
  <w:style w:type="character" w:styleId="Naslov 3 Char">
    <w:name w:val="Naslov 3 Char"/>
    <w:basedOn w:val="Default Paragraph Font"/>
    <w:rPr>
      <w:rFonts w:ascii="Arial" w:eastAsia="Arial" w:hAnsi="Arial" w:cstheme="majorBidi"/>
      <w:i/>
      <w:sz w:val="24"/>
      <w:szCs w:val="24"/>
    </w:rPr>
  </w:style>
  <w:style w:type="paragraph" w:styleId="Heading 4">
    <w:name w:val="Heading 4"/>
    <w:basedOn w:val="Normal"/>
    <w:next w:val="Normal"/>
    <w:link w:val="Naslov 4 Char"/>
    <w:pPr>
      <w:pBdr/>
      <w:keepNext/>
      <w:keepLines/>
      <w:outlineLvl w:val="3"/>
      <w:spacing w:before="120" w:after="120"/>
      <w:ind/>
      <w:jc w:val="left"/>
    </w:pPr>
    <w:rPr>
      <w:rFonts w:ascii="Arial" w:eastAsia="Arial" w:hAnsi="Arial" w:cstheme="majorBidi"/>
      <w:b/>
      <w:iCs/>
      <w:color w:val="000000"/>
      <w:sz w:val="24"/>
    </w:rPr>
  </w:style>
  <w:style w:type="character" w:styleId="Naslov 4 Char">
    <w:name w:val="Naslov 4 Char"/>
    <w:basedOn w:val="Default Paragraph Font"/>
    <w:rPr>
      <w:rFonts w:ascii="Arial" w:eastAsia="Arial" w:hAnsi="Arial" w:cstheme="majorBidi"/>
      <w:iCs/>
      <w:sz w:val="24"/>
    </w:rPr>
  </w:style>
  <w:style w:type="table" w:styleId="Normal Table">
    <w:name w:val="Normal Table"/>
    <w:next w:val="Normal Table"/>
  </w:style>
  <w:style w:type="paragraph" w:styleId="msonormal">
    <w:name w:val="msonormal"/>
    <w:basedOn w:val="Normal"/>
    <w:next w:val="msonormal"/>
    <w:pPr>
      <w:pBdr/>
      <w:spacing w:before="100" w:beforeAutospacing="true" w:after="100" w:afterAutospacing="true" w:line="240" w:lineRule="auto"/>
      <w:ind/>
    </w:pPr>
    <w:rPr>
      <w:rFonts w:ascii="Arial" w:eastAsia="Arial" w:hAnsi="Arial" w:cs="Times New Roman"/>
      <w:sz w:val="24"/>
      <w:szCs w:val="24"/>
    </w:rPr>
  </w:style>
  <w:style w:type="character" w:styleId="pocetak-clanka">
    <w:name w:val="pocetak-clanka"/>
    <w:basedOn w:val="Default Paragraph Font"/>
    <w:rPr>
      <w:rFonts w:ascii="Arial" w:eastAsia="Arial" w:hAnsi="Arial" w:cs="Arial"/>
    </w:rPr>
  </w:style>
  <w:style w:type="paragraph" w:styleId="box_462122">
    <w:name w:val="box_462122"/>
    <w:basedOn w:val="Normal"/>
    <w:next w:val="box_462122"/>
    <w:pPr>
      <w:pBdr/>
      <w:spacing w:before="100" w:beforeAutospacing="true" w:after="100" w:afterAutospacing="true" w:line="240" w:lineRule="auto"/>
      <w:ind/>
    </w:pPr>
    <w:rPr>
      <w:rFonts w:ascii="Arial" w:eastAsia="Arial" w:hAnsi="Arial" w:cs="Times New Roman"/>
      <w:sz w:val="24"/>
      <w:szCs w:val="24"/>
    </w:rPr>
  </w:style>
  <w:style w:type="character" w:styleId="broj-clanka">
    <w:name w:val="broj-clanka"/>
    <w:basedOn w:val="Default Paragraph Font"/>
    <w:rPr>
      <w:rFonts w:ascii="Arial" w:eastAsia="Arial" w:hAnsi="Arial" w:cs="Arial"/>
    </w:rPr>
  </w:style>
  <w:style w:type="character" w:styleId="bold">
    <w:name w:val="bold"/>
    <w:basedOn w:val="Default Paragraph Font"/>
    <w:rPr>
      <w:rFonts w:ascii="Arial" w:eastAsia="Arial" w:hAnsi="Arial" w:cs="Arial"/>
    </w:rPr>
  </w:style>
  <w:style w:type="character" w:styleId="kurziv">
    <w:name w:val="kurziv"/>
    <w:basedOn w:val="Default Paragraph Font"/>
    <w:rPr>
      <w:rFonts w:ascii="Arial" w:eastAsia="Arial" w:hAnsi="Arial" w:cs="Arial"/>
    </w:rPr>
  </w:style>
  <w:style w:type="paragraph" w:styleId="Revision">
    <w:name w:val="Revision"/>
    <w:next w:val="Revision"/>
    <w:pPr>
      <w:pBdr/>
      <w:spacing w:after="0" w:line="240" w:lineRule="auto"/>
      <w:ind/>
    </w:pPr>
    <w:rPr>
      <w:rFonts w:ascii="Arial" w:eastAsia="Arial" w:hAnsi="Arial" w:cs="Arial"/>
    </w:rPr>
  </w:style>
  <w:style w:type="paragraph" w:styleId="List Paragraph">
    <w:name w:val="List Paragraph"/>
    <w:basedOn w:val="Normal"/>
    <w:next w:val="List Paragraph"/>
    <w:pPr>
      <w:pBdr/>
      <w:spacing/>
      <w:contextualSpacing/>
      <w:ind w:left="720"/>
    </w:pPr>
    <w:rPr>
      <w:rFonts w:ascii="Arial" w:eastAsia="Arial" w:hAnsi="Arial" w:cs="Arial"/>
    </w:rPr>
  </w:style>
  <w:style w:type="character" w:styleId="Naslov 2 Char">
    <w:name w:val="Naslov 2 Char"/>
    <w:basedOn w:val="Default Paragraph Font"/>
    <w:rPr>
      <w:rFonts w:ascii="Arial" w:eastAsia="Arial" w:hAnsi="Arial" w:cs="Times New Roman"/>
      <w:b/>
      <w:bCs/>
      <w:sz w:val="36"/>
      <w:szCs w:val="36"/>
    </w:rPr>
  </w:style>
  <w:style w:type="character" w:styleId="Tekst balončića Char">
    <w:name w:val="Tekst balončića Char"/>
    <w:basedOn w:val="Default Paragraph Font"/>
    <w:rPr>
      <w:rFonts w:ascii="Arial" w:eastAsia="Arial" w:hAnsi="Arial" w:cs="Segoe UI"/>
      <w:sz w:val="18"/>
      <w:szCs w:val="18"/>
    </w:rPr>
  </w:style>
  <w:style w:type="character" w:styleId="Tekst komentara Char">
    <w:name w:val="Tekst komentara Char"/>
    <w:basedOn w:val="Default Paragraph Font"/>
    <w:rPr>
      <w:rFonts w:ascii="Arial" w:eastAsia="Arial" w:hAnsi="Arial" w:cs="Arial"/>
      <w:sz w:val="20"/>
      <w:szCs w:val="20"/>
    </w:rPr>
  </w:style>
  <w:style w:type="character" w:styleId="Predmet komentara Char">
    <w:name w:val="Predmet komentara Char"/>
    <w:basedOn w:val="Tekst komentara Char"/>
    <w:rPr>
      <w:rFonts w:ascii="Arial" w:eastAsia="Arial" w:hAnsi="Arial" w:cs="Arial"/>
      <w:b/>
      <w:bCs/>
      <w:sz w:val="20"/>
      <w:szCs w:val="20"/>
    </w:rPr>
  </w:style>
  <w:style w:type="character" w:styleId="Hyperlink">
    <w:name w:val="Hyperlink"/>
    <w:basedOn w:val="Default Paragraph Font"/>
    <w:rPr>
      <w:rFonts w:ascii="Arial" w:eastAsia="Arial" w:hAnsi="Arial" w:cs="Arial"/>
      <w:color w:val="0563C1"/>
      <w:u w:val="single"/>
    </w:rPr>
  </w:style>
  <w:style w:type="character" w:styleId="Unresolved Mention">
    <w:name w:val="Unresolved Mention"/>
    <w:basedOn w:val="Default Paragraph Font"/>
    <w:rPr>
      <w:rFonts w:ascii="Arial" w:eastAsia="Arial" w:hAnsi="Arial" w:cs="Arial"/>
      <w:color w:val="605E5C"/>
    </w:rPr>
  </w:style>
  <w:style w:type="paragraph" w:styleId="Default">
    <w:name w:val="Default"/>
    <w:next w:val="Default"/>
    <w:pPr>
      <w:pBdr/>
      <w:spacing w:after="0" w:line="240" w:lineRule="auto"/>
      <w:ind/>
    </w:pPr>
    <w:rPr>
      <w:rFonts w:ascii="Arial" w:eastAsia="Arial" w:hAnsi="Arial" w:cs="Times New Roman"/>
      <w:color w:val="000000"/>
      <w:sz w:val="24"/>
      <w:szCs w:val="24"/>
    </w:rPr>
  </w:style>
  <w:style w:type="character" w:styleId="Tekst komentara Char1">
    <w:name w:val="Tekst komentara Char1"/>
    <w:basedOn w:val="Default Paragraph Font"/>
    <w:rPr>
      <w:rFonts w:ascii="Arial" w:eastAsia="Arial" w:hAnsi="Arial" w:cs="Arial"/>
      <w:sz w:val="20"/>
      <w:szCs w:val="20"/>
    </w:rPr>
  </w:style>
  <w:style w:type="character" w:styleId="Predmet komentara Char1">
    <w:name w:val="Predmet komentara Char1"/>
    <w:basedOn w:val="Tekst komentara Char1"/>
    <w:rPr>
      <w:rFonts w:ascii="Arial" w:eastAsia="Arial" w:hAnsi="Arial" w:cs="Arial"/>
      <w:b/>
      <w:bCs/>
      <w:sz w:val="20"/>
      <w:szCs w:val="20"/>
    </w:rPr>
  </w:style>
  <w:style w:type="paragraph" w:styleId="Header">
    <w:name w:val="Header"/>
    <w:basedOn w:val="Normal"/>
    <w:next w:val="Header"/>
    <w:link w:val="Zaglavlje Char"/>
    <w:pPr>
      <w:pBdr/>
      <w:spacing w:after="0" w:line="240" w:lineRule="auto"/>
      <w:ind/>
      <w:tabs>
        <w:tab w:val="center" w:pos="4536.000061035156"/>
        <w:tab w:val="right" w:pos="9072.000122070312"/>
      </w:tabs>
    </w:pPr>
    <w:rPr>
      <w:rFonts w:ascii="Arial" w:eastAsia="Arial" w:hAnsi="Arial" w:cs="Arial"/>
    </w:rPr>
  </w:style>
  <w:style w:type="character" w:styleId="Zaglavlje Char">
    <w:name w:val="Zaglavlje Char"/>
    <w:basedOn w:val="Default Paragraph Font"/>
    <w:rPr>
      <w:rFonts w:ascii="Arial" w:eastAsia="Arial" w:hAnsi="Arial" w:cs="Arial"/>
    </w:rPr>
  </w:style>
  <w:style w:type="paragraph" w:styleId="Footer">
    <w:name w:val="Footer"/>
    <w:basedOn w:val="Normal"/>
    <w:next w:val="Footer"/>
    <w:pPr>
      <w:pBdr/>
      <w:spacing w:after="0" w:line="240" w:lineRule="auto"/>
      <w:ind/>
      <w:tabs>
        <w:tab w:val="center" w:pos="4536.000061035156"/>
        <w:tab w:val="right" w:pos="9072.000122070312"/>
      </w:tabs>
    </w:pPr>
    <w:rPr>
      <w:rFonts w:ascii="Arial" w:eastAsia="Arial" w:hAnsi="Arial" w:cs="Arial"/>
    </w:rPr>
  </w:style>
  <w:style w:type="character" w:styleId="Podnožje Char">
    <w:name w:val="Podnožje Char"/>
    <w:basedOn w:val="Default Paragraph Font"/>
    <w:rPr>
      <w:rFonts w:ascii="Arial" w:eastAsia="Arial" w:hAnsi="Arial" w:cs="Arial"/>
    </w:rPr>
  </w:style>
  <w:style w:type="paragraph" w:styleId="Footnote Text">
    <w:name w:val="Footnote Text"/>
    <w:basedOn w:val="Normal"/>
    <w:next w:val="Footnote Text"/>
    <w:link w:val="Tekst fusnote Char"/>
    <w:pPr>
      <w:pBdr/>
      <w:spacing w:after="0" w:line="240" w:lineRule="auto"/>
      <w:ind/>
    </w:pPr>
    <w:rPr>
      <w:rFonts w:ascii="Arial" w:eastAsia="Arial" w:hAnsi="Arial" w:cs="Arial"/>
      <w:sz w:val="20"/>
      <w:szCs w:val="20"/>
    </w:rPr>
  </w:style>
  <w:style w:type="character" w:styleId="Tekst fusnote Char">
    <w:name w:val="Tekst fusnote Char"/>
    <w:basedOn w:val="Default Paragraph Font"/>
    <w:rPr>
      <w:rFonts w:ascii="Arial" w:eastAsia="Arial" w:hAnsi="Arial" w:cs="Arial"/>
      <w:sz w:val="20"/>
      <w:szCs w:val="20"/>
    </w:rPr>
  </w:style>
  <w:style w:type="character" w:styleId="Footnote Reference">
    <w:name w:val="Footnote Reference"/>
    <w:basedOn w:val="Default Paragraph Font"/>
    <w:rPr>
      <w:rFonts w:ascii="Arial" w:eastAsia="Arial" w:hAnsi="Arial" w:cs="Arial"/>
      <w:vertAlign w:val="superscript"/>
    </w:rPr>
  </w:style>
  <w:style w:type="paragraph" w:styleId="Table Contents">
    <w:name w:val="Table Contents"/>
    <w:basedOn w:val="Normal"/>
    <w:next w:val="Table Contents"/>
    <w:pPr>
      <w:pBdr/>
      <w:spacing/>
      <w:ind/>
    </w:pPr>
    <w:rPr>
      <w:rFonts w:ascii="Arial" w:eastAsia="Arial" w:hAnsi="Arial" w:cs="Mangal"/>
      <w:sz w:val="24"/>
      <w:szCs w:val="24"/>
    </w:rPr>
  </w:style>
  <w:style w:type="paragraph" w:styleId="No Spacing">
    <w:name w:val="No Spacing"/>
    <w:next w:val="No Spacing"/>
    <w:pPr>
      <w:pBdr/>
      <w:spacing w:after="0" w:line="240" w:lineRule="auto"/>
      <w:ind/>
    </w:pPr>
    <w:rPr>
      <w:rFonts w:ascii="Arial" w:eastAsia="Arial" w:hAnsi="Arial" w:cs="Arial"/>
    </w:rPr>
  </w:style>
  <w:style w:type="table" w:styleId="Rešetka tablice1">
    <w:name w:val="Rešetka tablice1"/>
    <w:basedOn w:val="Normal Table"/>
    <w:next w:val="Table Grid"/>
  </w:style>
  <w:style w:type="table" w:styleId="Table Grid">
    <w:name w:val="Table Grid"/>
    <w:basedOn w:val="Normal Table"/>
    <w:next w:val="Table Grid"/>
  </w:style>
  <w:style w:type="paragraph" w:styleId="x_msonormal">
    <w:name w:val="x_msonormal"/>
    <w:basedOn w:val="Normal"/>
    <w:next w:val="x_msonormal"/>
    <w:pPr>
      <w:pBdr/>
      <w:spacing w:after="0" w:line="240" w:lineRule="auto"/>
      <w:ind/>
    </w:pPr>
    <w:rPr>
      <w:rFonts w:ascii="Arial" w:eastAsia="Arial" w:hAnsi="Arial" w:cs="Aptos"/>
      <w:sz w:val="24"/>
      <w:szCs w:val="24"/>
    </w:rPr>
  </w:style>
  <w:style w:type="table" w:styleId="Rešetka tablice2">
    <w:name w:val="Rešetka tablice2"/>
    <w:basedOn w:val="Normal Table"/>
    <w:next w:val="Table Grid"/>
  </w:style>
  <w:style w:type="table" w:styleId="Rešetka tablice3">
    <w:name w:val="Rešetka tablice3"/>
    <w:basedOn w:val="Normal Table"/>
    <w:next w:val="Table Grid"/>
  </w:style>
  <w:style w:type="table" w:styleId="Rešetka tablice4">
    <w:name w:val="Rešetka tablice4"/>
    <w:basedOn w:val="Normal Table"/>
    <w:next w:val="Table Grid"/>
  </w:style>
  <w:style w:type="table" w:styleId="Rešetka tablice5">
    <w:name w:val="Rešetka tablice5"/>
    <w:basedOn w:val="Normal Table"/>
    <w:next w:val="Table Grid"/>
  </w:style>
  <w:style w:type="character" w:styleId="Comment Reference1">
    <w:name w:val="Comment Reference1"/>
    <w:basedOn w:val="Default Paragraph Font"/>
    <w:rPr>
      <w:rFonts w:ascii="Arial" w:eastAsia="Arial" w:hAnsi="Arial" w:cs="Arial"/>
      <w:sz w:val="16"/>
      <w:szCs w:val="16"/>
    </w:rPr>
  </w:style>
  <w:style w:type="paragraph" w:styleId="Comment Text1">
    <w:name w:val="Comment Text1"/>
    <w:basedOn w:val="Normal"/>
    <w:next w:val="Comment Text1"/>
    <w:pPr>
      <w:pBdr/>
      <w:spacing w:line="240" w:lineRule="auto"/>
      <w:ind/>
    </w:pPr>
    <w:rPr>
      <w:rFonts w:ascii="Arial" w:eastAsia="Arial" w:hAnsi="Arial" w:cs="Arial"/>
      <w:sz w:val="20"/>
      <w:szCs w:val="20"/>
    </w:rPr>
  </w:style>
  <w:style w:type="paragraph" w:styleId="Comment Subject1">
    <w:name w:val="Comment Subject1"/>
    <w:basedOn w:val="Comment Text1"/>
    <w:next w:val="Comment Text1"/>
    <w:pPr>
      <w:pBdr/>
      <w:spacing/>
      <w:ind/>
    </w:pPr>
    <w:rPr>
      <w:rFonts w:ascii="Arial" w:eastAsia="Arial" w:hAnsi="Arial" w:cs="Arial"/>
      <w:b/>
      <w:bCs/>
    </w:rPr>
  </w:style>
  <w:style w:type="character" w:styleId="annotation reference">
    <w:name w:val="annotation reference"/>
    <w:basedOn w:val="Default Paragraph Font"/>
    <w:rPr>
      <w:rFonts w:ascii="Arial" w:eastAsia="Arial" w:hAnsi="Arial" w:cs="Arial"/>
      <w:sz w:val="16"/>
      <w:szCs w:val="16"/>
    </w:rPr>
  </w:style>
  <w:style w:type="paragraph" w:styleId="annotation text">
    <w:name w:val="annotation text"/>
    <w:basedOn w:val="Normal"/>
    <w:next w:val="annotation text"/>
    <w:link w:val="Tekst komentara Char2"/>
    <w:pPr>
      <w:pBdr/>
      <w:spacing w:line="240" w:lineRule="auto"/>
      <w:ind/>
    </w:pPr>
    <w:rPr>
      <w:rFonts w:ascii="Arial" w:eastAsia="Arial" w:hAnsi="Arial" w:cs="Arial"/>
      <w:sz w:val="20"/>
      <w:szCs w:val="20"/>
    </w:rPr>
  </w:style>
  <w:style w:type="character" w:styleId="Tekst komentara Char2">
    <w:name w:val="Tekst komentara Char2"/>
    <w:basedOn w:val="Default Paragraph Font"/>
    <w:rPr>
      <w:rFonts w:ascii="Arial" w:eastAsia="Arial" w:hAnsi="Arial" w:cs="Arial"/>
      <w:sz w:val="20"/>
      <w:szCs w:val="20"/>
    </w:rPr>
  </w:style>
  <w:style w:type="character" w:styleId="Comment Reference2">
    <w:name w:val="Comment Reference2"/>
    <w:basedOn w:val="Default Paragraph Font"/>
    <w:rPr>
      <w:rFonts w:ascii="Arial" w:eastAsia="Arial" w:hAnsi="Arial" w:cs="Arial"/>
      <w:sz w:val="16"/>
      <w:szCs w:val="16"/>
    </w:rPr>
  </w:style>
  <w:style w:type="paragraph" w:styleId="annotation subject">
    <w:name w:val="annotation subject"/>
    <w:basedOn w:val="annotation text"/>
    <w:next w:val="annotation text"/>
    <w:link w:val="Predmet komentara Char2"/>
    <w:pPr>
      <w:pBdr/>
      <w:spacing/>
      <w:ind/>
    </w:pPr>
    <w:rPr>
      <w:rFonts w:ascii="Arial" w:eastAsia="Arial" w:hAnsi="Arial" w:cs="Arial"/>
      <w:b/>
      <w:bCs/>
    </w:rPr>
  </w:style>
  <w:style w:type="character" w:styleId="Predmet komentara Char2">
    <w:name w:val="Predmet komentara Char2"/>
    <w:basedOn w:val="Tekst komentara Char2"/>
    <w:rPr>
      <w:rFonts w:ascii="Arial" w:eastAsia="Arial" w:hAnsi="Arial" w:cs="Arial"/>
      <w:b/>
      <w:bCs/>
      <w:sz w:val="20"/>
      <w:szCs w:val="20"/>
    </w:rPr>
  </w:style>
  <w:style w:type="paragraph" w:styleId="Title">
    <w:name w:val="Title"/>
    <w:basedOn w:val="Normal"/>
    <w:next w:val="Normal"/>
    <w:link w:val="Naslov Char"/>
    <w:pPr>
      <w:pBdr/>
      <w:spacing w:after="0" w:line="360" w:lineRule="auto"/>
      <w:contextualSpacing/>
      <w:ind/>
      <w:jc w:val="center"/>
    </w:pPr>
    <w:rPr>
      <w:rFonts w:ascii="Arial" w:eastAsia="Arial" w:hAnsi="Arial" w:cstheme="majorBidi"/>
      <w:b/>
      <w:sz w:val="28"/>
      <w:spacing w:val="-10"/>
      <w:szCs w:val="56"/>
    </w:rPr>
  </w:style>
  <w:style w:type="character" w:styleId="Naslov Char">
    <w:name w:val="Naslov Char"/>
    <w:basedOn w:val="Default Paragraph Font"/>
    <w:rPr>
      <w:rFonts w:ascii="Arial" w:eastAsia="Arial" w:hAnsi="Arial" w:cstheme="majorBidi"/>
      <w:b/>
      <w:sz w:val="28"/>
      <w:spacing w:val="-10"/>
      <w:szCs w:val="56"/>
    </w:rPr>
  </w:style>
  <w:style w:type="paragraph" w:styleId="Heading 5">
    <w:name w:val="Heading 5"/>
    <w:basedOn w:val="Normal"/>
    <w:next w:val="Normal"/>
    <w:link w:val="Heading 5 Char"/>
    <w:pPr>
      <w:pBdr/>
      <w:outlineLvl w:val="4"/>
      <w:spacing w:before="40" w:after="0" w:line="259" w:lineRule="auto"/>
      <w:ind w:left="0" w:right="0" w:firstLine="0"/>
      <w:jc w:val="left"/>
    </w:pPr>
    <w:rPr>
      <w:rFonts w:ascii="Arial" w:hAnsi="Arial"/>
      <w:b/>
      <w:color w:val="000000"/>
      <w:sz w:val="22"/>
    </w:rPr>
  </w:style>
  <w:style w:type="character" w:styleId="Heading 5 Char">
    <w:name w:val="Heading 5 Char"/>
    <w:basedOn w:val="Default Paragraph Font"/>
    <w:rPr>
      <w:rFonts w:ascii="Calibri Light" w:hAnsi="Calibri Light"/>
      <w:color w:val="2F5496"/>
    </w:rPr>
  </w:style>
  <w:style w:type="paragraph" w:styleId="Heading 6">
    <w:name w:val="Heading 6"/>
    <w:basedOn w:val="Normal"/>
    <w:next w:val="Normal"/>
    <w:link w:val="Heading 6 Char"/>
    <w:pPr>
      <w:pBdr/>
      <w:outlineLvl w:val="5"/>
      <w:spacing w:before="40" w:after="0" w:line="259" w:lineRule="auto"/>
      <w:ind w:left="0" w:right="0" w:firstLine="0"/>
      <w:jc w:val="left"/>
    </w:pPr>
    <w:rPr>
      <w:rFonts w:ascii="Arial" w:hAnsi="Arial"/>
      <w:b/>
      <w:color w:val="000000"/>
      <w:sz w:val="22"/>
    </w:rPr>
  </w:style>
  <w:style w:type="character" w:styleId="Heading 6 Char">
    <w:name w:val="Heading 6 Char"/>
    <w:basedOn w:val="Default Paragraph Font"/>
    <w:rPr>
      <w:rFonts w:ascii="Calibri Light" w:hAnsi="Calibri Light"/>
      <w:color w:val="1F3763"/>
    </w:rPr>
  </w:style>
  <w:style w:type="paragraph" w:styleId="Heading 7">
    <w:name w:val="Heading 7"/>
    <w:basedOn w:val="Normal"/>
    <w:next w:val="Normal"/>
    <w:link w:val="Heading 7 Char"/>
    <w:pPr>
      <w:pBdr/>
      <w:outlineLvl w:val="6"/>
      <w:spacing w:before="40" w:after="0" w:line="259" w:lineRule="auto"/>
      <w:ind w:left="0" w:right="0" w:firstLine="0"/>
      <w:jc w:val="left"/>
    </w:pPr>
    <w:rPr>
      <w:rFonts w:ascii="Arial" w:hAnsi="Arial"/>
      <w:b/>
      <w:i/>
      <w:color w:val="000000"/>
      <w:sz w:val="21"/>
    </w:rPr>
  </w:style>
  <w:style w:type="character" w:styleId="Heading 7 Char">
    <w:name w:val="Heading 7 Char"/>
    <w:basedOn w:val="Default Paragraph Font"/>
    <w:rPr>
      <w:rFonts w:ascii="Calibri Light" w:hAnsi="Calibri Light"/>
      <w:i/>
      <w:color w:val="1F3763"/>
    </w:rPr>
  </w:style>
  <w:style w:type="paragraph" w:styleId="Heading 8">
    <w:name w:val="Heading 8"/>
    <w:basedOn w:val="Normal"/>
    <w:next w:val="Normal"/>
    <w:link w:val="Heading 8 Char"/>
    <w:pPr>
      <w:pBdr/>
      <w:outlineLvl w:val="7"/>
      <w:spacing w:before="40" w:after="0" w:line="259" w:lineRule="auto"/>
      <w:ind w:left="0" w:right="0" w:firstLine="0"/>
      <w:jc w:val="left"/>
    </w:pPr>
    <w:rPr>
      <w:rFonts w:ascii="Arial" w:hAnsi="Arial"/>
      <w:b/>
      <w:color w:val="000000"/>
      <w:sz w:val="20"/>
    </w:rPr>
  </w:style>
  <w:style w:type="character" w:styleId="Heading 8 Char">
    <w:name w:val="Heading 8 Char"/>
    <w:basedOn w:val="Default Paragraph Font"/>
    <w:rPr>
      <w:rFonts w:ascii="Calibri Light" w:hAnsi="Calibri Light"/>
      <w:color w:val="333333"/>
      <w:sz w:val="21"/>
    </w:rPr>
  </w:style>
  <w:style w:type="paragraph" w:styleId="Heading 9">
    <w:name w:val="Heading 9"/>
    <w:basedOn w:val="Normal"/>
    <w:next w:val="Normal"/>
    <w:link w:val="Heading 9 Char"/>
    <w:pPr>
      <w:pBdr/>
      <w:outlineLvl w:val="8"/>
      <w:spacing w:before="40" w:after="0" w:line="259" w:lineRule="auto"/>
      <w:ind w:left="0" w:right="0" w:firstLine="0"/>
      <w:jc w:val="left"/>
    </w:pPr>
    <w:rPr>
      <w:rFonts w:ascii="Arial" w:hAnsi="Arial"/>
      <w:b/>
      <w:i/>
      <w:color w:val="000000"/>
      <w:sz w:val="20"/>
    </w:rPr>
  </w:style>
  <w:style w:type="character" w:styleId="Heading 9 Char">
    <w:name w:val="Heading 9 Char"/>
    <w:basedOn w:val="Default Paragraph Font"/>
    <w:rPr>
      <w:rFonts w:ascii="Calibri Light" w:hAnsi="Calibri Light"/>
      <w:i/>
      <w:color w:val="333333"/>
      <w:sz w:val="21"/>
    </w:rPr>
  </w:style>
  <w:style w:type="paragraph" w:styleId="Title_1">
    <w:name w:val="Title_1"/>
    <w:basedOn w:val="Normal"/>
    <w:next w:val="Normal"/>
    <w:pPr>
      <w:pBdr/>
      <w:outlineLvl w:val="0"/>
      <w:spacing/>
      <w:ind/>
      <w:jc w:val="center"/>
    </w:pPr>
    <w:rPr>
      <w:rFonts w:ascii="Arial" w:hAnsi="Arial"/>
      <w:b/>
      <w:color w:val="000000"/>
      <w:sz w:val="36"/>
    </w:rPr>
  </w:style>
</w:styles>
</file>

<file path=word/_rels/document.xml.rels><?xml version="1.0" encoding="utf-8"?><Relationships xmlns="http://schemas.openxmlformats.org/package/2006/relationships"><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endnotes" Target="endnotes.xml" /><Relationship Id="rId5" Type="http://schemas.openxmlformats.org/officeDocument/2006/relationships/footnotes" Target="footnotes.xml" /><Relationship Id="rId6" Type="http://schemas.openxmlformats.org/officeDocument/2006/relationships/theme" Target="theme/theme1.xml" /><Relationship Id="rId7" Type="http://schemas.openxmlformats.org/officeDocument/2006/relationships/numbering" Target="numbering.xml" /><Relationship Id="rId1"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