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theme/theme1.xml" ContentType="application/vnd.openxmlformats-officedocument.theme+xml"/>
  <Override PartName="/word/commentsExtended.xml" ContentType="application/vnd.openxmlformats-officedocument.wordprocessingml.commentsExtended+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Bdr/>
        <w:pStyle w:val="Heading 1"/>
        <w:spacing/>
        <w:ind/>
        <w:rPr/>
      </w:pPr>
      <w:r>
        <w:rPr/>
        <w:t xml:space="preserve">NACRT PRIJEDLOGA ZAKONA O ZAŠTITI OKOLIŠA</w:t>
      </w:r>
    </w:p>
    <w:p>
      <w:pPr>
        <w:pBdr/>
        <w:pStyle w:val="Heading 1"/>
        <w:spacing/>
        <w:ind/>
        <w:rPr>
          <w:rFonts w:ascii="Arial" w:eastAsia="Arial" w:hAnsi="Arial" w:cs="Arial"/>
          <w:szCs w:val="24"/>
        </w:rPr>
      </w:pPr>
      <w:bookmarkStart w:name="_Toc237275903" w:id="0"/>
      <w:r>
        <w:rPr>
          <w:rFonts w:ascii="Arial" w:eastAsia="Arial" w:hAnsi="Arial" w:cs="Arial"/>
          <w:szCs w:val="24"/>
        </w:rPr>
        <w:t xml:space="preserve">DIO PRVI UVODNE ODREDBE</w:t>
      </w:r>
      <w:bookmarkEnd w:id="0"/>
    </w:p>
    <w:p>
      <w:pPr>
        <w:pBdr/>
        <w:pStyle w:val="Heading 2"/>
        <w:spacing/>
        <w:ind/>
        <w:rPr/>
      </w:pPr>
      <w:r>
        <w:rPr/>
        <w:t xml:space="preserve">Predmet Zakona</w:t>
      </w:r>
    </w:p>
    <w:p>
      <w:pPr>
        <w:pBdr/>
        <w:pStyle w:val="Heading 2"/>
        <w:spacing/>
        <w:ind/>
        <w:rPr/>
      </w:pPr>
      <w:r>
        <w:rPr/>
        <w:t xml:space="preserve">Članak 1.</w:t>
      </w:r>
    </w:p>
    <w:p>
      <w:pPr>
        <w:pBdr/>
        <w:pStyle w:val="Normal"/>
        <w:spacing/>
        <w:ind/>
        <w:rPr>
          <w:rFonts w:ascii="Arial" w:eastAsia="Arial" w:hAnsi="Arial" w:cs="Arial"/>
        </w:rPr>
      </w:pPr>
      <w:r>
        <w:rPr>
          <w:rFonts w:ascii="Arial" w:eastAsia="Arial" w:hAnsi="Arial" w:cs="Arial"/>
        </w:rPr>
        <w:t xml:space="preserve">Ovim se Zakonom uređuje sustav zaštite okoliša: načela, ciljevi i subjekti zaštite okoliša, zaštita sastavnica okoliša i zaštita okoliša od utjecaja opterećenja, dokumenti i instrumenti zaštite okoliša, praćenje stanja u okolišu, informacijski i elektronički sustavi zaštite okoliša, prava javnosti u pitanjima okoliša, financiranje zaštite okoliša te nadzor nad provedbom ovoga Zakona.</w:t>
      </w:r>
    </w:p>
    <w:p>
      <w:pPr>
        <w:pBdr/>
        <w:pStyle w:val="Normal"/>
        <w:spacing/>
        <w:ind/>
        <w:rPr>
          <w:rFonts w:ascii="Arial" w:eastAsia="Arial" w:hAnsi="Arial" w:cs="Arial"/>
        </w:rPr>
      </w:pPr>
    </w:p>
    <w:p>
      <w:pPr>
        <w:pBdr/>
        <w:pStyle w:val="Heading 2"/>
        <w:spacing/>
        <w:ind/>
        <w:rPr/>
      </w:pPr>
      <w:r>
        <w:rPr/>
        <w:t xml:space="preserve">Prijenos prava Europske unije</w:t>
      </w:r>
    </w:p>
    <w:p>
      <w:pPr>
        <w:pBdr/>
        <w:pStyle w:val="Heading 2"/>
        <w:spacing/>
        <w:ind/>
        <w:rPr/>
      </w:pPr>
      <w:r>
        <w:rPr/>
        <w:t xml:space="preserve">Članak 2.</w:t>
      </w:r>
    </w:p>
    <w:p>
      <w:pPr>
        <w:pBdr/>
        <w:pStyle w:val="Normal"/>
        <w:spacing/>
        <w:ind/>
        <w:rPr>
          <w:rFonts w:ascii="Arial" w:eastAsia="Arial" w:hAnsi="Arial" w:cs="Arial"/>
        </w:rPr>
      </w:pPr>
      <w:r>
        <w:rPr>
          <w:rFonts w:ascii="Arial" w:eastAsia="Arial" w:hAnsi="Arial" w:cs="Arial"/>
        </w:rPr>
        <w:t xml:space="preserve">(1) Ovim se Zakonom u pravni poredak Republike Hrvatske prenose sljedeće direktive Europske unije:</w:t>
      </w:r>
    </w:p>
    <w:p>
      <w:pPr>
        <w:pBdr/>
        <w:pStyle w:val="Normal"/>
        <w:spacing/>
        <w:ind/>
        <w:rPr>
          <w:rFonts w:ascii="Arial" w:eastAsia="Arial" w:hAnsi="Arial" w:cs="Arial"/>
        </w:rPr>
      </w:pPr>
      <w:r>
        <w:rPr>
          <w:rFonts w:ascii="Arial" w:eastAsia="Arial" w:hAnsi="Arial" w:cs="Arial"/>
        </w:rPr>
        <w:t xml:space="preserve">1. Direktiva 2001/42/EZ Europskog parlamenta i Vijeća od 27. lipnja 2001. o procjeni učinaka pojedinih planova i programa na okoliš (SL L 197, 21.7.2001.)</w:t>
      </w:r>
    </w:p>
    <w:p>
      <w:pPr>
        <w:pBdr/>
        <w:pStyle w:val="Normal"/>
        <w:spacing/>
        <w:ind/>
        <w:rPr>
          <w:rFonts w:ascii="Arial" w:eastAsia="Arial" w:hAnsi="Arial" w:cs="Arial"/>
        </w:rPr>
      </w:pPr>
      <w:r>
        <w:rPr>
          <w:rFonts w:ascii="Arial" w:eastAsia="Arial" w:hAnsi="Arial" w:cs="Arial"/>
        </w:rPr>
        <w:t xml:space="preserve">2. Direktiva 2003/4/EZ Europskog parlamenta i Vijeća od 28. siječnja 2003. o javnom pristupu informacijama o okolišu i stavljanju izvan snage Direktive Vijeća 90/313/EEZ (SL L 41, 14.2.2003.)</w:t>
      </w:r>
    </w:p>
    <w:p>
      <w:pPr>
        <w:pBdr/>
        <w:pStyle w:val="Normal"/>
        <w:spacing/>
        <w:ind/>
        <w:rPr>
          <w:rFonts w:ascii="Arial" w:eastAsia="Arial" w:hAnsi="Arial" w:cs="Arial"/>
        </w:rPr>
      </w:pPr>
      <w:r>
        <w:rPr>
          <w:rFonts w:ascii="Arial" w:eastAsia="Arial" w:hAnsi="Arial" w:cs="Arial"/>
        </w:rPr>
        <w:t xml:space="preserve">3. Direktiva 2003/35/EZ Europskog parlamenta i Vijeća od 26. svibnja 2003. o osiguravanju sudjelovanja javnosti u izradi određenih planova i programa koji se odnose na okoliš i o izmjeni direktiva Vijeća 85/337/EEZ i 96/61/EZ s obzirom na sudjelovanje javnosti i pristup pravosuđu (SL L 156, 25.6.2003)</w:t>
      </w:r>
    </w:p>
    <w:p>
      <w:pPr>
        <w:pBdr/>
        <w:pStyle w:val="Normal"/>
        <w:spacing/>
        <w:ind/>
        <w:rPr>
          <w:rFonts w:ascii="Arial" w:eastAsia="Arial" w:hAnsi="Arial" w:cs="Arial"/>
        </w:rPr>
      </w:pPr>
      <w:r>
        <w:rPr>
          <w:rFonts w:ascii="Arial" w:eastAsia="Arial" w:hAnsi="Arial" w:cs="Arial"/>
        </w:rPr>
        <w:t xml:space="preserve">4. Direktiva 2004/35/EZ Europskog parlamenta i Vijeća od 21. travnja 2004. o odgovornosti za okoliš u pogledu sprječavanja i otklanjanja štete na okolišu (SL L 143, 30.4.2004.)</w:t>
      </w:r>
    </w:p>
    <w:p>
      <w:pPr>
        <w:pBdr/>
        <w:pStyle w:val="Normal"/>
        <w:spacing/>
        <w:ind/>
        <w:rPr>
          <w:rFonts w:ascii="Arial" w:eastAsia="Arial" w:hAnsi="Arial" w:cs="Arial"/>
        </w:rPr>
      </w:pPr>
      <w:r>
        <w:rPr>
          <w:rFonts w:ascii="Arial" w:eastAsia="Arial" w:hAnsi="Arial" w:cs="Arial"/>
        </w:rPr>
        <w:t xml:space="preserve">5. Direktiva 2006/7/EZ Europskog parlamenta i Vijeća od 15. veljače 2006. o upravljanju kvalitetom vode za kupanje i stavljanju izvan snage Direktive 76/160/EEZ (SL L 64, 4.3.2006.)</w:t>
      </w:r>
    </w:p>
    <w:p>
      <w:pPr>
        <w:pBdr/>
        <w:pStyle w:val="Normal"/>
        <w:spacing/>
        <w:ind/>
        <w:rPr>
          <w:rFonts w:ascii="Arial" w:eastAsia="Arial" w:hAnsi="Arial" w:cs="Arial"/>
        </w:rPr>
      </w:pPr>
      <w:r>
        <w:rPr>
          <w:rFonts w:ascii="Arial" w:eastAsia="Arial" w:hAnsi="Arial" w:cs="Arial"/>
        </w:rPr>
        <w:t xml:space="preserve">6. Direktiva 2008/56/EZ Europskog parlamenta i Vijeća od 17. lipnja 2008. o uspostavljanju okvira za djelovanje Zajednice u području politike morskog okoliša (Okvirna direktiva o morskoj strategiji) (tekst značajan za EGP) (SL L 164, 25.6.2008.)</w:t>
      </w:r>
    </w:p>
    <w:p>
      <w:pPr>
        <w:pBdr/>
        <w:pStyle w:val="Normal"/>
        <w:spacing/>
        <w:ind/>
        <w:rPr>
          <w:rFonts w:ascii="Arial" w:eastAsia="Arial" w:hAnsi="Arial" w:cs="Arial"/>
        </w:rPr>
      </w:pPr>
      <w:r>
        <w:rPr>
          <w:rFonts w:ascii="Arial" w:eastAsia="Arial" w:hAnsi="Arial" w:cs="Arial"/>
        </w:rPr>
        <w:t xml:space="preserve">7. Direktiva Komisije (EU) 2017/845 o izmjeni Direktive 2008/56/EZ Europskog parlamenta i Vijeća u pogledu okvirnog popisa elemenata koje treba uzeti u obzir pri pripremi pomorskih strategija (SL L 125 18. 5. 2017.) (Tekst značajan za EGP)</w:t>
      </w:r>
    </w:p>
    <w:p>
      <w:pPr>
        <w:pBdr/>
        <w:pStyle w:val="Normal"/>
        <w:spacing/>
        <w:ind/>
        <w:rPr>
          <w:rFonts w:ascii="Arial" w:eastAsia="Arial" w:hAnsi="Arial" w:cs="Arial"/>
        </w:rPr>
      </w:pPr>
      <w:r>
        <w:rPr>
          <w:rFonts w:ascii="Arial" w:eastAsia="Arial" w:hAnsi="Arial" w:cs="Arial"/>
        </w:rPr>
        <w:t xml:space="preserve">8. Direktiva 2008/98/EZ Europskog parlamenta i Vijeća od 19. studenoga 2008. o otpadu i stavljanju izvan snage određenih direktiva (Tekst značajan za EGP) (SL L 312, 22.11.2008.)</w:t>
      </w:r>
    </w:p>
    <w:p>
      <w:pPr>
        <w:pBdr/>
        <w:pStyle w:val="Normal"/>
        <w:spacing/>
        <w:ind/>
        <w:rPr>
          <w:rFonts w:ascii="Arial" w:eastAsia="Arial" w:hAnsi="Arial" w:cs="Arial"/>
        </w:rPr>
      </w:pPr>
      <w:r>
        <w:rPr>
          <w:rFonts w:ascii="Arial" w:eastAsia="Arial" w:hAnsi="Arial" w:cs="Arial"/>
        </w:rPr>
        <w:t xml:space="preserve">9. Direktiva 2010/75/EU Europskog parlamenta i Vijeća od 24. studenoga 2010. o industrijskim emisijama (integrirano sprečavanje i kontrola onečišćenja) (tekst značajan za EGP) (SL L 334, 17.12.2010.)</w:t>
      </w:r>
    </w:p>
    <w:p>
      <w:pPr>
        <w:pBdr/>
        <w:pStyle w:val="Normal"/>
        <w:spacing/>
        <w:ind/>
        <w:rPr>
          <w:rFonts w:ascii="Arial" w:eastAsia="Arial" w:hAnsi="Arial" w:cs="Arial"/>
        </w:rPr>
      </w:pPr>
      <w:r>
        <w:rPr>
          <w:rFonts w:ascii="Arial" w:eastAsia="Arial" w:hAnsi="Arial" w:cs="Arial"/>
        </w:rPr>
        <w:t xml:space="preserve">10. Direktiva 2011/92/EZ Europskog parlamenta i Vijeća od 13. prosinca 2011. o procjeni učinaka određenih javnih i privatnih projekata na okoliš (kodifikacija) (tekst značajan za EGP) (SL L 26, 28.1.2012)</w:t>
      </w:r>
    </w:p>
    <w:p>
      <w:pPr>
        <w:pBdr/>
        <w:pStyle w:val="Normal"/>
        <w:spacing/>
        <w:ind/>
        <w:rPr>
          <w:rFonts w:ascii="Arial" w:eastAsia="Arial" w:hAnsi="Arial" w:cs="Arial"/>
        </w:rPr>
      </w:pPr>
      <w:r>
        <w:rPr>
          <w:rFonts w:ascii="Arial" w:eastAsia="Arial" w:hAnsi="Arial" w:cs="Arial"/>
        </w:rPr>
        <w:t xml:space="preserve">11. Direktiva 2012/18/EU Europskog parlamenta i Vijeća od 4. srpnja 2012. o kontroli opasnosti od velikih nesreća koje uključuju opasne tvari, o izmjeni i kasnijem stavljanju izvan snage Direktive Vijeća 96/82/EZ (Tekst značajan za EGP) (SL L 197, 24.7.2012.)</w:t>
      </w:r>
    </w:p>
    <w:p>
      <w:pPr>
        <w:pBdr/>
        <w:pStyle w:val="Normal"/>
        <w:spacing/>
        <w:ind/>
        <w:rPr>
          <w:rFonts w:ascii="Arial" w:eastAsia="Arial" w:hAnsi="Arial" w:cs="Arial"/>
        </w:rPr>
      </w:pPr>
      <w:r>
        <w:rPr>
          <w:rFonts w:ascii="Arial" w:eastAsia="Arial" w:hAnsi="Arial" w:cs="Arial"/>
        </w:rPr>
        <w:t xml:space="preserve">12. Direktiva 2013/30/EU Europskog parlamenta i Vijeća od 12. lipnja 2013. o sigurnosti odobalnih naftnih i plinskih djelatnosti i o izmjeni Direktive 2004/35/EZ (tekst značajan za EGP) (SL L 178, 28.6.2013.)</w:t>
      </w:r>
    </w:p>
    <w:p>
      <w:pPr>
        <w:pBdr/>
        <w:pStyle w:val="Normal"/>
        <w:spacing/>
        <w:ind/>
        <w:rPr>
          <w:rFonts w:ascii="Arial" w:eastAsia="Arial" w:hAnsi="Arial" w:cs="Arial"/>
        </w:rPr>
      </w:pPr>
      <w:r>
        <w:rPr>
          <w:rFonts w:ascii="Arial" w:eastAsia="Arial" w:hAnsi="Arial" w:cs="Arial"/>
        </w:rPr>
        <w:t xml:space="preserve">13. Direktiva 2014/52/EU Europskog parlamenta i Vijeća od 16. travnja 2014. o izmjeni Direktive 2011/92/EU o procjeni utjecaja određenih javnih i privatnih projekata na okoliš (tekst značajan za EGP) (SL L 124, 25.4.2014.)</w:t>
      </w:r>
    </w:p>
    <w:p>
      <w:pPr>
        <w:pBdr/>
        <w:pStyle w:val="Normal"/>
        <w:spacing/>
        <w:ind/>
        <w:rPr>
          <w:rFonts w:ascii="Arial" w:eastAsia="Arial" w:hAnsi="Arial" w:cs="Arial"/>
        </w:rPr>
      </w:pPr>
      <w:r>
        <w:rPr>
          <w:rFonts w:ascii="Arial" w:eastAsia="Arial" w:hAnsi="Arial" w:cs="Arial"/>
        </w:rPr>
        <w:t xml:space="preserve">14. Direktiva (EU) 2024/1785 Europskog parlamenta i Vijeća od 24. travnja 2024. o izmjeni Direktive 2010/75/EU Europskog parlamenta i Vijeća o industrijskim emisijama (integrirano sprečavanje i kontrola onečišćenja) i Direktive Vijeća 1999/31/EZ o odlagalištima otpada (Tekst značajan za EGP) (SL L, 15.7.2024.)</w:t>
      </w:r>
    </w:p>
    <w:p>
      <w:pPr>
        <w:pBdr/>
        <w:pStyle w:val="Normal"/>
        <w:spacing/>
        <w:ind/>
        <w:rPr>
          <w:rFonts w:ascii="Arial" w:eastAsia="Arial" w:hAnsi="Arial" w:cs="Arial"/>
        </w:rPr>
      </w:pPr>
      <w:r>
        <w:rPr>
          <w:rFonts w:ascii="Arial" w:eastAsia="Arial" w:hAnsi="Arial" w:cs="Arial"/>
        </w:rPr>
        <w:t xml:space="preserve">(2) Ovim se Zakonom utvrđuje okvir za provedbu sljedećih akata Europske unije:</w:t>
      </w:r>
    </w:p>
    <w:p>
      <w:pPr>
        <w:pBdr/>
        <w:pStyle w:val="Normal"/>
        <w:spacing/>
        <w:ind/>
        <w:rPr>
          <w:rFonts w:ascii="Arial" w:eastAsia="Arial" w:hAnsi="Arial" w:cs="Arial"/>
        </w:rPr>
      </w:pPr>
      <w:r>
        <w:rPr>
          <w:rFonts w:ascii="Arial" w:eastAsia="Arial" w:hAnsi="Arial" w:cs="Arial"/>
        </w:rPr>
        <w:t xml:space="preserve">1. Uredbe (EU) 2024/1244 Europskog parlamenta i Vijeća od 24. travnja 2024. o izvješćivanju o podacima o okolišu iz industrijskih postrojenja, uspostavi Portala za industrijske emisije i stavljanju izvan snage Uredbe (EZ) broj 166/2006 (Tekst značajan za EGP) (SL L, 2024/1244, 2.5.2024.)</w:t>
      </w:r>
    </w:p>
    <w:p>
      <w:pPr>
        <w:pBdr/>
        <w:pStyle w:val="Normal"/>
        <w:spacing/>
        <w:ind/>
        <w:rPr>
          <w:rFonts w:ascii="Arial" w:eastAsia="Arial" w:hAnsi="Arial" w:cs="Arial"/>
        </w:rPr>
      </w:pPr>
      <w:r>
        <w:rPr>
          <w:rFonts w:ascii="Arial" w:eastAsia="Arial" w:hAnsi="Arial" w:cs="Arial"/>
        </w:rPr>
        <w:t xml:space="preserve">2. Uredbe (EZ) broj 401/2009 Europskog parlamenta i Vijeća od 23. travnja 2009. o Europskoj agenciji za okoliš i Europskoj informacijskoj i promatračkoj mreži za okoliš (kodifikacija) (SL L 126, 21.5.2009.)</w:t>
      </w:r>
    </w:p>
    <w:p>
      <w:pPr>
        <w:pBdr/>
        <w:pStyle w:val="Normal"/>
        <w:spacing/>
        <w:ind/>
        <w:rPr>
          <w:rFonts w:ascii="Arial" w:eastAsia="Arial" w:hAnsi="Arial" w:cs="Arial"/>
        </w:rPr>
      </w:pPr>
      <w:r>
        <w:rPr>
          <w:rFonts w:ascii="Arial" w:eastAsia="Arial" w:hAnsi="Arial" w:cs="Arial"/>
        </w:rPr>
        <w:t xml:space="preserve">3. Uredbe (EZ) broj 1221/2009 Europskog parlamenta i Vijeća od 25. studenoga 2009. o dobrovoljnom sudjelovanju organizacija u sustavu upravljanja okolišem i neovisnog ocjenjivanja Zajednice (EMAS) te stavljanju izvan snage Uredbe (EZ) broj 761/2001 i odluka Komisije 2001/681/EZ i 2006/193/EZ (SL L 342, 22.12.2009.)</w:t>
      </w:r>
    </w:p>
    <w:p>
      <w:pPr>
        <w:pBdr/>
        <w:pStyle w:val="Normal"/>
        <w:spacing/>
        <w:ind/>
        <w:rPr>
          <w:rFonts w:ascii="Arial" w:eastAsia="Arial" w:hAnsi="Arial" w:cs="Arial"/>
        </w:rPr>
      </w:pPr>
      <w:r>
        <w:rPr>
          <w:rFonts w:ascii="Arial" w:eastAsia="Arial" w:hAnsi="Arial" w:cs="Arial"/>
        </w:rPr>
        <w:t xml:space="preserve">4. Uredbe (EZ) broj 66/2010 Europskog parlamenta i Vijeća od 25. studenoga 2009. o znaku za okoliš EU-</w:t>
      </w:r>
      <w:r>
        <w:rPr>
          <w:rFonts w:ascii="Arial" w:eastAsia="Arial" w:hAnsi="Arial" w:cs="Arial"/>
        </w:rPr>
        <w:t xml:space="preserve">a (tekst značajan za EGP) (SL L 108, 29.4.2010.)</w:t>
      </w:r>
    </w:p>
    <w:p>
      <w:pPr>
        <w:pBdr/>
        <w:pStyle w:val="Normal"/>
        <w:spacing/>
        <w:ind/>
        <w:rPr>
          <w:rFonts w:ascii="Arial" w:eastAsia="Arial" w:hAnsi="Arial" w:cs="Arial"/>
        </w:rPr>
      </w:pPr>
      <w:r>
        <w:rPr>
          <w:rFonts w:ascii="Arial" w:eastAsia="Arial" w:hAnsi="Arial" w:cs="Arial"/>
        </w:rPr>
        <w:t xml:space="preserve">5. </w:t>
      </w:r>
      <w:r>
        <w:rPr/>
        <w:fldChar w:fldCharType="begin"/>
      </w:r>
      <w:r>
        <w:rPr/>
        <w:instrText xml:space="preserve">HYPERLINK "http://eur-lex.europa.eu/legal-content/HR/TXT/?uri=CELEX:32016R1628" </w:instrText>
      </w:r>
      <w:r>
        <w:rPr/>
        <w:fldChar w:fldCharType="separate"/>
      </w:r>
      <w:r>
        <w:rPr>
          <w:rFonts w:ascii="Arial" w:eastAsia="Arial" w:hAnsi="Arial" w:cs="Arial"/>
        </w:rPr>
        <w:t xml:space="preserve">Uredbe (EU) 2016/1628</w:t>
      </w:r>
      <w:r>
        <w:rPr/>
        <w:fldChar w:fldCharType="end"/>
      </w:r>
      <w:r>
        <w:rPr>
          <w:rFonts w:ascii="Arial" w:eastAsia="Arial" w:hAnsi="Arial" w:cs="Arial"/>
        </w:rPr>
        <w:instrText xml:space="preserve"> Europskog parlamenta i Vijeća od 14. rujna 2016. o zahtjevima koji se odnose na ograničenja emisija plinovitih i krutih onečišćujućih tvari i homologaciju tipa za motore s unutarnjim izgaranjem za necestovne pokretne strojeve, o izmjeni uredbi (EU) broj 1024/2012 i (EU) broj 167/2013 te o izmjeni i stavljanju izvan snage Direktive 97/68/EZ (tekst značajan za EGP) (SL L 252, 16.9.2016.)</w:instrText>
      </w:r>
    </w:p>
    <w:p>
      <w:pPr>
        <w:pBdr/>
        <w:pStyle w:val="Normal"/>
        <w:spacing/>
        <w:ind/>
        <w:rPr>
          <w:rFonts w:ascii="Arial" w:eastAsia="Arial" w:hAnsi="Arial" w:cs="Arial"/>
        </w:rPr>
      </w:pPr>
      <w:r>
        <w:rPr>
          <w:rFonts w:ascii="Arial" w:eastAsia="Arial" w:hAnsi="Arial" w:cs="Arial"/>
        </w:rPr>
        <w:t xml:space="preserve">(3) Ovaj Zakon sadrži odredbe usklađene s Protokolom Barcelonske konvencije o integralnom upravljanju obalnim područjem Sredozemlja, koji je Republika Hrvatska ratificirala Zakonom o potvrđivanju Protokola o integralnom upravljanju obalnim područjem Sredozemlja (»Narodne novine – Međunarodni ugovori«, broj 8/12.).</w:t>
      </w:r>
    </w:p>
    <w:p>
      <w:pPr>
        <w:pBdr/>
        <w:pStyle w:val="Normal"/>
        <w:spacing/>
        <w:ind/>
        <w:rPr>
          <w:rFonts w:ascii="Arial" w:eastAsia="Arial" w:hAnsi="Arial" w:cs="Arial"/>
          <w:iCs/>
          <w:color w:val="000000"/>
        </w:rPr>
      </w:pPr>
    </w:p>
    <w:p>
      <w:pPr>
        <w:pBdr/>
        <w:pStyle w:val="Heading 2"/>
        <w:spacing/>
        <w:ind/>
        <w:rPr/>
      </w:pPr>
      <w:r>
        <w:rPr/>
        <w:t xml:space="preserve">Pojašnjenje pojmova</w:t>
      </w:r>
    </w:p>
    <w:p>
      <w:pPr>
        <w:pBdr/>
        <w:pStyle w:val="Heading 2"/>
        <w:spacing/>
        <w:ind/>
        <w:rPr/>
      </w:pPr>
      <w:r>
        <w:rPr/>
        <w:t xml:space="preserve">Članak 3.</w:t>
      </w:r>
    </w:p>
    <w:p>
      <w:pPr>
        <w:pBdr/>
        <w:pStyle w:val="Normal"/>
        <w:spacing/>
        <w:ind/>
        <w:rPr>
          <w:rFonts w:ascii="Arial" w:eastAsia="Arial" w:hAnsi="Arial" w:cs="Arial"/>
        </w:rPr>
      </w:pPr>
      <w:r>
        <w:rPr>
          <w:rFonts w:ascii="Arial" w:eastAsia="Arial" w:hAnsi="Arial" w:cs="Arial"/>
        </w:rPr>
        <w:t xml:space="preserve">(1) Pojmovi koji se koriste u ovom Zakonu te u provedbi ovoga Zakona i podzakonskih propisa donesenih na temelju njega imaju sljedeće značenje:</w:t>
      </w:r>
    </w:p>
    <w:p>
      <w:pPr>
        <w:pBdr/>
        <w:pStyle w:val="Normal"/>
        <w:spacing/>
        <w:ind/>
        <w:rPr>
          <w:rFonts w:ascii="Arial" w:eastAsia="Arial" w:hAnsi="Arial" w:cs="Arial"/>
        </w:rPr>
      </w:pPr>
      <w:r>
        <w:rPr>
          <w:rFonts w:ascii="Arial" w:eastAsia="Arial" w:hAnsi="Arial" w:cs="Arial"/>
          <w:i/>
        </w:rPr>
        <w:t xml:space="preserve">1. cjelovito upravljanje zaštitom okoliša</w:t>
      </w:r>
      <w:r>
        <w:rPr>
          <w:rFonts w:ascii="Arial" w:eastAsia="Arial" w:hAnsi="Arial" w:cs="Arial"/>
          <w:iCs/>
        </w:rPr>
        <w:t xml:space="preserve"> je skup povezanih i usklađenih odluka i mjera kojima je svrha ostvarivanje jedinstvene zaštite okoliša, izbjegavanje i smanjivanje rizika po okoliš te poboljšavanje i ostvarivanje učinkovite zaštite okoliša</w:t>
      </w:r>
    </w:p>
    <w:p>
      <w:pPr>
        <w:pBdr/>
        <w:pStyle w:val="Normal"/>
        <w:spacing/>
        <w:ind/>
        <w:rPr>
          <w:rFonts w:ascii="Arial" w:eastAsia="Arial" w:hAnsi="Arial" w:cs="Arial"/>
        </w:rPr>
      </w:pPr>
      <w:r>
        <w:rPr>
          <w:rFonts w:ascii="Arial" w:eastAsia="Arial" w:hAnsi="Arial" w:cs="Arial"/>
          <w:i/>
          <w:iCs/>
        </w:rPr>
        <w:t xml:space="preserve">2. dozvole</w:t>
      </w:r>
      <w:r>
        <w:rPr>
          <w:rFonts w:ascii="Arial" w:eastAsia="Arial" w:hAnsi="Arial" w:cs="Arial"/>
        </w:rPr>
        <w:t xml:space="preserve"> su dozvole za rad, u pisanom obliku, čitavog postrojenja ili jednog njegovog dijela ili uređaja za loženje, postrojenja za spaljivanje otpada ili postrojenja za suspaljivanje otpada koje se izdaju na temelju posebnih propisa kojima se uređuje pojedina sastavnica okoliša ili posebna djelatnost povezana s okolišem</w:t>
      </w:r>
    </w:p>
    <w:p>
      <w:pPr>
        <w:pBdr/>
        <w:pStyle w:val="Normal"/>
        <w:spacing/>
        <w:ind/>
        <w:rPr>
          <w:rFonts w:ascii="Arial" w:eastAsia="Arial" w:hAnsi="Arial" w:cs="Arial"/>
        </w:rPr>
      </w:pPr>
      <w:r>
        <w:rPr>
          <w:rFonts w:ascii="Arial" w:eastAsia="Arial" w:hAnsi="Arial" w:cs="Arial"/>
          <w:i/>
          <w:iCs/>
        </w:rPr>
        <w:t xml:space="preserve">3. ekosustavni pristup</w:t>
      </w:r>
      <w:r>
        <w:rPr>
          <w:rFonts w:ascii="Arial" w:eastAsia="Arial" w:hAnsi="Arial" w:cs="Arial"/>
        </w:rPr>
        <w:t xml:space="preserve"> je pristup upravljanju ljudskim djelatnostima utemeljen na znanstvenim spoznajama o ekosustavima i njihovim procesima te na načelu održivog korištenja prirodnih dobara i usluga, kojim se osigurava da se ne narušava postizanje i očuvanje dobrog stanja okoliša niti sposobnost ekosustava na prilagodbu promjenama uzrokovanim ljudskim djelovanjem</w:t>
      </w:r>
    </w:p>
    <w:p>
      <w:pPr>
        <w:pBdr/>
        <w:pStyle w:val="Normal"/>
        <w:spacing/>
        <w:ind/>
        <w:rPr>
          <w:rFonts w:ascii="Arial" w:eastAsia="Arial" w:hAnsi="Arial" w:cs="Arial"/>
        </w:rPr>
      </w:pPr>
      <w:r>
        <w:rPr>
          <w:rFonts w:ascii="Arial" w:eastAsia="Arial" w:hAnsi="Arial" w:cs="Arial"/>
          <w:i/>
        </w:rPr>
        <w:t xml:space="preserve">4. emisija</w:t>
      </w:r>
      <w:r>
        <w:rPr>
          <w:rFonts w:ascii="Arial" w:eastAsia="Arial" w:hAnsi="Arial" w:cs="Arial"/>
          <w:iCs/>
        </w:rPr>
        <w:t xml:space="preserve"> je ispuštanje ili istjecanje tvari i smjesa, uključujući radioaktivne tvari i genetski modificirane organizme, u tekućem, plinovitom ili čvrstom agregatnom stanju, i/ili ispuštanje topline, buke, vibracije iz nepokretnih ili difuznih izvora u zrak, more, vode i tlo te ispuštanje svjetlosti i organizama iz pojedinog izvora u okoliš, kao i mikrobiološko onečišćivanje okoliša, koji nastaju kao rezultat ljudskih djelatnosti </w:t>
      </w:r>
    </w:p>
    <w:p>
      <w:pPr>
        <w:pBdr/>
        <w:pStyle w:val="Normal"/>
        <w:spacing/>
        <w:ind/>
        <w:rPr>
          <w:rFonts w:ascii="Arial" w:eastAsia="Arial" w:hAnsi="Arial" w:cs="Arial"/>
        </w:rPr>
      </w:pPr>
      <w:r>
        <w:rPr>
          <w:rFonts w:ascii="Arial" w:eastAsia="Arial" w:hAnsi="Arial" w:cs="Arial"/>
          <w:i/>
          <w:iCs/>
        </w:rPr>
        <w:t xml:space="preserve">5. emisija koja se odnosi na okolišnu dozvolu i sustav registracije</w:t>
      </w:r>
      <w:r>
        <w:rPr>
          <w:rFonts w:ascii="Arial" w:eastAsia="Arial" w:hAnsi="Arial" w:cs="Arial"/>
        </w:rPr>
        <w:t xml:space="preserve"> je izravno ili neizravno ispuštanje ili istjecanje tvari, ispuštanje energije (toplina, buka, vibracije) iz stacionarnih ili difuznih izvora u postrojenju u zrak, vode i tlo</w:t>
      </w:r>
    </w:p>
    <w:p>
      <w:pPr>
        <w:pBdr/>
        <w:pStyle w:val="Normal"/>
        <w:spacing/>
        <w:ind/>
        <w:rPr>
          <w:rFonts w:ascii="Arial" w:eastAsia="Arial" w:hAnsi="Arial" w:cs="Arial"/>
        </w:rPr>
      </w:pPr>
      <w:r>
        <w:rPr>
          <w:rFonts w:ascii="Arial" w:eastAsia="Arial" w:hAnsi="Arial" w:cs="Arial"/>
          <w:i/>
          <w:iCs/>
        </w:rPr>
        <w:t xml:space="preserve">6. granična vrijednost emisije</w:t>
      </w:r>
      <w:r>
        <w:rPr>
          <w:rFonts w:ascii="Arial" w:eastAsia="Arial" w:hAnsi="Arial" w:cs="Arial"/>
        </w:rPr>
        <w:t xml:space="preserve"> je propisana ili određena vrijednost, koncentracija i/ili razina emisije u posebnim pokazateljima koja u jednom ili tijekom više vremenskih razdoblja ne smije biti prekoračena</w:t>
      </w:r>
    </w:p>
    <w:p>
      <w:pPr>
        <w:pBdr/>
        <w:pStyle w:val="Normal"/>
        <w:spacing/>
        <w:ind/>
        <w:rPr>
          <w:rFonts w:ascii="Arial" w:eastAsia="Arial" w:hAnsi="Arial" w:cs="Arial"/>
        </w:rPr>
      </w:pPr>
      <w:r>
        <w:rPr>
          <w:rFonts w:ascii="Arial" w:eastAsia="Arial" w:hAnsi="Arial" w:cs="Arial"/>
          <w:i/>
          <w:iCs/>
        </w:rPr>
        <w:t xml:space="preserve">7. granična vrijednost okolišne učinkovitosti</w:t>
      </w:r>
      <w:r>
        <w:rPr>
          <w:rFonts w:ascii="Arial" w:eastAsia="Arial" w:hAnsi="Arial" w:cs="Arial"/>
        </w:rPr>
        <w:t xml:space="preserve"> je vrijednost učinkovitosti navedena u okolišnoj dozvoli ili operativnim pravilima, izražena za određene uvjete s obzirom na određene specifične parametre</w:t>
      </w:r>
    </w:p>
    <w:p>
      <w:pPr>
        <w:pBdr/>
        <w:pStyle w:val="Normal"/>
        <w:spacing/>
        <w:ind/>
        <w:rPr>
          <w:rFonts w:ascii="Arial" w:eastAsia="Arial" w:hAnsi="Arial" w:cs="Arial"/>
        </w:rPr>
      </w:pPr>
      <w:r>
        <w:rPr>
          <w:rFonts w:ascii="Arial" w:eastAsia="Arial" w:hAnsi="Arial" w:cs="Arial"/>
          <w:i/>
          <w:iCs/>
        </w:rPr>
        <w:t xml:space="preserve">8. imisija</w:t>
      </w:r>
      <w:r>
        <w:rPr>
          <w:rFonts w:ascii="Arial" w:eastAsia="Arial" w:hAnsi="Arial" w:cs="Arial"/>
        </w:rPr>
        <w:t xml:space="preserve"> je koncentracija tvari na određenom mjestu i u određenom vremenu u okolišu</w:t>
      </w:r>
    </w:p>
    <w:p>
      <w:pPr>
        <w:pBdr/>
        <w:pStyle w:val="Normal"/>
        <w:spacing/>
        <w:ind/>
        <w:rPr>
          <w:rFonts w:ascii="Arial" w:eastAsia="Arial" w:hAnsi="Arial" w:cs="Arial"/>
        </w:rPr>
      </w:pPr>
      <w:r>
        <w:rPr>
          <w:rFonts w:ascii="Arial" w:eastAsia="Arial" w:hAnsi="Arial" w:cs="Arial"/>
        </w:rPr>
        <w:t xml:space="preserve">9. </w:t>
      </w:r>
      <w:r>
        <w:rPr>
          <w:rFonts w:ascii="Arial" w:eastAsia="Arial" w:hAnsi="Arial" w:cs="Arial"/>
          <w:i/>
          <w:iCs/>
        </w:rPr>
        <w:t xml:space="preserve">informacija o okolišu</w:t>
      </w:r>
      <w:r>
        <w:rPr>
          <w:rFonts w:ascii="Arial" w:eastAsia="Arial" w:hAnsi="Arial" w:cs="Arial"/>
        </w:rPr>
        <w:t xml:space="preserve"> je svaka informacija u pisanom, vizualnom, zvučnom, elektroničkom ili drugom obliku koja se odnosi na stanje okoliša, njegove sastavnice i opterećenja, uključujući emisije, imisije, otpad, bioraznolikost, krajobraznu raznolikost, prostor, kulturnu baštinu i prirodne pojave, mjere, politike, propise, planove, programe i aktivnosti povezane s okolišem te utjecaje na okoliš i korištenje prirodnih dobara, uključujući informacije navedenog sadržaja koje tijela javne vlasti posjeduju, koje su za njih izrađene ili zaprimljene ili koje u njihovo ime posjeduju, čuvaju ili obrađuju druge osobe kao izvršitelji ili na temelju povjerenih javnih ovlasti</w:t>
      </w:r>
    </w:p>
    <w:p>
      <w:pPr>
        <w:pBdr/>
        <w:pStyle w:val="Normal"/>
        <w:spacing/>
        <w:ind/>
        <w:rPr>
          <w:rFonts w:ascii="Arial" w:eastAsia="Arial" w:hAnsi="Arial" w:cs="Arial"/>
        </w:rPr>
      </w:pPr>
      <w:r>
        <w:rPr>
          <w:rFonts w:ascii="Arial" w:eastAsia="Arial" w:hAnsi="Arial" w:cs="Arial"/>
          <w:i/>
          <w:iCs/>
        </w:rPr>
        <w:t xml:space="preserve">10. integralno upravljanje obalnim područjem</w:t>
      </w:r>
      <w:r>
        <w:rPr>
          <w:rFonts w:ascii="Arial" w:eastAsia="Arial" w:hAnsi="Arial" w:cs="Arial"/>
        </w:rPr>
        <w:t xml:space="preserve"> je dinamički proces održivog upravljanja i korištenja obalnih područja, uzimajući istodobno u obzir krhkost obalnih ekosustava i krajobraza, raznolikost aktivnosti i korištenja, njihovo međusobno djelovanje, pomorsku usmjerenost pojedinih aktivnosti i korištenja i njihov utjecaj na morske i kopnene dijelove</w:t>
      </w:r>
    </w:p>
    <w:p>
      <w:pPr>
        <w:pBdr/>
        <w:pStyle w:val="Normal"/>
        <w:spacing/>
        <w:ind/>
        <w:rPr>
          <w:rFonts w:ascii="Arial" w:eastAsia="Arial" w:hAnsi="Arial" w:cs="Arial"/>
        </w:rPr>
      </w:pPr>
      <w:r>
        <w:rPr>
          <w:rFonts w:ascii="Arial" w:eastAsia="Arial" w:hAnsi="Arial" w:cs="Arial"/>
          <w:i/>
        </w:rPr>
        <w:t xml:space="preserve">11. izbjegnuta nesreća</w:t>
      </w:r>
      <w:r>
        <w:rPr>
          <w:rFonts w:ascii="Arial" w:eastAsia="Arial" w:hAnsi="Arial" w:cs="Arial"/>
          <w:iCs/>
        </w:rPr>
        <w:t xml:space="preserve"> je neplanirani događaj koji je unutar postrojenja, područja postrojenja i/ili izvan njega imao potencijal za uzrokovanje štetnih posljedica za zdravlje ljudi, oštećenje materijalnih dobara ili ugrožavanje prirode i okoliša, ali je izbjegnut</w:t>
      </w:r>
    </w:p>
    <w:p>
      <w:pPr>
        <w:pBdr/>
        <w:pStyle w:val="Normal"/>
        <w:spacing/>
        <w:ind/>
        <w:rPr>
          <w:rFonts w:ascii="Arial" w:eastAsia="Arial" w:hAnsi="Arial" w:cs="Arial"/>
        </w:rPr>
      </w:pPr>
      <w:r>
        <w:rPr>
          <w:rFonts w:ascii="Arial" w:eastAsia="Arial" w:hAnsi="Arial" w:cs="Arial"/>
          <w:i/>
          <w:iCs/>
        </w:rPr>
        <w:t xml:space="preserve">12. iznenadno onečišćenje mora</w:t>
      </w:r>
      <w:r>
        <w:rPr>
          <w:rFonts w:ascii="Arial" w:eastAsia="Arial" w:hAnsi="Arial" w:cs="Arial"/>
        </w:rPr>
        <w:t xml:space="preserve"> je događaj ili niz događaja istog podrijetla koji izaziva ili može izazvati ispuštanje ulja i/ili smjese ulja, opasnih i štetnih tvari i unos morskog otpada većih razmjera i koji predstavlja ili može predstavljati opasnost za morski okoliš ili obalu i zahtijeva djelovanje u slučaju opasnosti ili drugo trenutačno djelovanje</w:t>
      </w:r>
    </w:p>
    <w:p>
      <w:pPr>
        <w:pBdr/>
        <w:pStyle w:val="Normal"/>
        <w:spacing/>
        <w:ind/>
        <w:rPr>
          <w:rFonts w:ascii="Arial" w:eastAsia="Arial" w:hAnsi="Arial" w:cs="Arial"/>
        </w:rPr>
      </w:pPr>
      <w:r>
        <w:rPr>
          <w:rFonts w:ascii="Arial" w:eastAsia="Arial" w:hAnsi="Arial" w:cs="Arial"/>
          <w:i/>
          <w:iCs/>
        </w:rPr>
        <w:t xml:space="preserve">13. izrađivač</w:t>
      </w:r>
      <w:r>
        <w:rPr>
          <w:rFonts w:ascii="Arial" w:eastAsia="Arial" w:hAnsi="Arial" w:cs="Arial"/>
        </w:rPr>
        <w:t xml:space="preserve"> je pravna osoba odnosno tijelo koji izrađuje strategiju, plan ili program za koji se vodi postupak strateške procjene</w:t>
      </w:r>
    </w:p>
    <w:p>
      <w:pPr>
        <w:pBdr/>
        <w:pStyle w:val="Normal"/>
        <w:spacing/>
        <w:ind/>
        <w:rPr>
          <w:rFonts w:ascii="Arial" w:eastAsia="Arial" w:hAnsi="Arial" w:cs="Arial"/>
        </w:rPr>
      </w:pPr>
      <w:r>
        <w:rPr>
          <w:rFonts w:ascii="Arial" w:eastAsia="Arial" w:hAnsi="Arial" w:cs="Arial"/>
          <w:i/>
          <w:iCs/>
        </w:rPr>
        <w:t xml:space="preserve">14. javni interes</w:t>
      </w:r>
      <w:r>
        <w:rPr>
          <w:rFonts w:ascii="Arial" w:eastAsia="Arial" w:hAnsi="Arial" w:cs="Arial"/>
        </w:rPr>
        <w:t xml:space="preserve"> je interes Republike Hrvatske u području zaštite okoliša ili interes jedinice lokalne, odnosno područne (regionalne) samouprave sukladno statutu</w:t>
      </w:r>
    </w:p>
    <w:p>
      <w:pPr>
        <w:pBdr/>
        <w:pStyle w:val="Normal"/>
        <w:spacing/>
        <w:ind/>
        <w:rPr>
          <w:rFonts w:ascii="Arial" w:eastAsia="Arial" w:hAnsi="Arial" w:cs="Arial"/>
        </w:rPr>
      </w:pPr>
      <w:r>
        <w:rPr>
          <w:rFonts w:ascii="Arial" w:eastAsia="Arial" w:hAnsi="Arial" w:cs="Arial"/>
          <w:i/>
        </w:rPr>
        <w:t xml:space="preserve">15. javnost </w:t>
      </w:r>
      <w:r>
        <w:rPr>
          <w:rFonts w:ascii="Arial" w:eastAsia="Arial" w:hAnsi="Arial" w:cs="Arial"/>
        </w:rPr>
        <w:t xml:space="preserve">je jedna ili više fizičkih ili pravnih osoba, skupine fizičkih ili pravnih osoba, udruge i organizacije sukladno posebnim propisima</w:t>
      </w:r>
    </w:p>
    <w:p>
      <w:pPr>
        <w:pBdr/>
        <w:pStyle w:val="Normal"/>
        <w:spacing/>
        <w:ind/>
        <w:rPr>
          <w:rFonts w:ascii="Arial" w:eastAsia="Arial" w:hAnsi="Arial" w:cs="Arial"/>
        </w:rPr>
      </w:pPr>
      <w:r>
        <w:rPr>
          <w:rFonts w:ascii="Arial" w:eastAsia="Arial" w:hAnsi="Arial" w:cs="Arial"/>
          <w:i/>
        </w:rPr>
        <w:t xml:space="preserve">16. kapacitet postrojenja</w:t>
      </w:r>
      <w:r>
        <w:rPr>
          <w:rFonts w:ascii="Arial" w:eastAsia="Arial" w:hAnsi="Arial" w:cs="Arial"/>
          <w:iCs/>
        </w:rPr>
        <w:t xml:space="preserve"> je najveća vrijednost pokazatelja obavljanja djelatnosti postrojenja određena tehničkim mogućnostima u postrojenju </w:t>
      </w:r>
    </w:p>
    <w:p>
      <w:pPr>
        <w:pBdr/>
        <w:pStyle w:val="Normal"/>
        <w:spacing/>
        <w:ind/>
        <w:rPr>
          <w:rFonts w:ascii="Arial" w:eastAsia="Arial" w:hAnsi="Arial" w:cs="Arial"/>
        </w:rPr>
      </w:pPr>
      <w:r>
        <w:rPr>
          <w:rFonts w:ascii="Arial" w:eastAsia="Arial" w:hAnsi="Arial" w:cs="Arial"/>
          <w:i/>
          <w:iCs/>
        </w:rPr>
        <w:t xml:space="preserve">17. kakvoća okoliša</w:t>
      </w:r>
      <w:r>
        <w:rPr>
          <w:rFonts w:ascii="Arial" w:eastAsia="Arial" w:hAnsi="Arial" w:cs="Arial"/>
        </w:rPr>
        <w:t xml:space="preserve"> je stanje okoliša i/ili sastavnica okoliša, koje je posljedica djelovanja prirodnih pojava i/ili ljudskog djelovanja, izraženo morfološkim, fizikalnim, kemijskim, biološkim, estetskim i drugim pokazateljima</w:t>
      </w:r>
    </w:p>
    <w:p>
      <w:pPr>
        <w:pBdr/>
        <w:pStyle w:val="Normal"/>
        <w:spacing/>
        <w:ind/>
        <w:rPr>
          <w:rFonts w:ascii="Arial" w:eastAsia="Arial" w:hAnsi="Arial" w:cs="Arial"/>
        </w:rPr>
      </w:pPr>
      <w:r>
        <w:rPr>
          <w:rFonts w:ascii="Arial" w:eastAsia="Arial" w:hAnsi="Arial" w:cs="Arial"/>
          <w:i/>
          <w:iCs/>
        </w:rPr>
        <w:t xml:space="preserve">18. krajobraz</w:t>
      </w:r>
      <w:r>
        <w:rPr>
          <w:rFonts w:ascii="Arial" w:eastAsia="Arial" w:hAnsi="Arial" w:cs="Arial"/>
        </w:rPr>
        <w:t xml:space="preserve"> je dio prostora čija su obilježja rezultat međusobnog djelovanja prirodnih i ljudskih čimbenika, a predstavlja izraz raznolikosti kulturne i prirodne baštine te temelj identiteta područja</w:t>
      </w:r>
    </w:p>
    <w:p>
      <w:pPr>
        <w:pBdr/>
        <w:pStyle w:val="Normal"/>
        <w:spacing/>
        <w:ind/>
        <w:rPr>
          <w:rFonts w:ascii="Arial" w:eastAsia="Arial" w:hAnsi="Arial" w:cs="Arial"/>
        </w:rPr>
      </w:pPr>
      <w:r>
        <w:rPr>
          <w:rFonts w:ascii="Arial" w:eastAsia="Arial" w:hAnsi="Arial" w:cs="Arial"/>
          <w:i/>
          <w:iCs/>
        </w:rPr>
        <w:t xml:space="preserve">19. kumulativni učinci</w:t>
      </w:r>
      <w:r>
        <w:rPr>
          <w:rFonts w:ascii="Arial" w:eastAsia="Arial" w:hAnsi="Arial" w:cs="Arial"/>
        </w:rPr>
        <w:t xml:space="preserve"> su očekivane promjene u okolišu uzrokovane aktivnošću ili projektom u kombinaciji s drugim aktivnostima ili projektima</w:t>
      </w:r>
    </w:p>
    <w:p>
      <w:pPr>
        <w:pBdr/>
        <w:pStyle w:val="Normal"/>
        <w:spacing/>
        <w:ind/>
        <w:rPr>
          <w:rFonts w:ascii="Arial" w:eastAsia="Arial" w:hAnsi="Arial" w:cs="Arial"/>
        </w:rPr>
      </w:pPr>
      <w:r>
        <w:rPr>
          <w:rFonts w:ascii="Arial" w:eastAsia="Arial" w:hAnsi="Arial" w:cs="Arial"/>
          <w:i/>
        </w:rPr>
        <w:t xml:space="preserve">20. tehnike zaštite okoliša</w:t>
      </w:r>
      <w:r>
        <w:rPr>
          <w:rFonts w:ascii="Arial" w:eastAsia="Arial" w:hAnsi="Arial" w:cs="Arial"/>
          <w:iCs/>
        </w:rPr>
        <w:t xml:space="preserve"> (u daljnjem tekstu: tehnike) su mjere zaštite okoliša koje se propisuju u postupku ishođenja okolišne dozvole kroz utvrđivanje najboljih raspoloživih tehnika (u daljnjem tekstu: NRT) za postrojenje, a uključuju mjere zaštite okoliša i tehnologiju te način na koji se tehnologija planira, gradi, održava, koristi i uklanja</w:t>
      </w:r>
    </w:p>
    <w:p>
      <w:pPr>
        <w:pBdr/>
        <w:pStyle w:val="Normal"/>
        <w:spacing/>
        <w:ind/>
        <w:rPr>
          <w:rFonts w:ascii="Arial" w:eastAsia="Arial" w:hAnsi="Arial" w:cs="Arial"/>
        </w:rPr>
      </w:pPr>
      <w:r>
        <w:rPr>
          <w:rFonts w:ascii="Arial" w:eastAsia="Arial" w:hAnsi="Arial" w:cs="Arial"/>
          <w:i/>
          <w:iCs/>
        </w:rPr>
        <w:t xml:space="preserve">21. mjere otklanjanja</w:t>
      </w:r>
      <w:r>
        <w:rPr>
          <w:rFonts w:ascii="Arial" w:eastAsia="Arial" w:hAnsi="Arial" w:cs="Arial"/>
        </w:rPr>
        <w:t xml:space="preserve"> su svako djelovanje ili kombinacija djelovanja, uključujući mjere ublažavanja stanja ili privremene mjere za obnovu, oporavak ili zamjenu oštećenih prirodnih dobara i/ili oslabljenih funkcija, ili za osiguravanje jednakovrijedne alternative tim dobrima ili funkcijama, kako je predviđeno Uredbom iz članka 212. stavka 5. ovoga Zakona</w:t>
      </w:r>
    </w:p>
    <w:p>
      <w:pPr>
        <w:pBdr/>
        <w:pStyle w:val="Normal"/>
        <w:spacing/>
        <w:ind/>
        <w:rPr>
          <w:rFonts w:ascii="Arial" w:eastAsia="Arial" w:hAnsi="Arial" w:cs="Arial"/>
        </w:rPr>
      </w:pPr>
      <w:r>
        <w:rPr>
          <w:rFonts w:ascii="Arial" w:eastAsia="Arial" w:hAnsi="Arial" w:cs="Arial"/>
          <w:i/>
          <w:iCs/>
        </w:rPr>
        <w:t xml:space="preserve">22. morske vode</w:t>
      </w:r>
      <w:r>
        <w:rPr>
          <w:rFonts w:ascii="Arial" w:eastAsia="Arial" w:hAnsi="Arial" w:cs="Arial"/>
        </w:rPr>
        <w:t xml:space="preserve"> su unutarnje morske vode i teritorijalno more Republike Hrvatske i njihovo dno i podzemlje, uključujući priobalne vode definirane posebnim propisom koji uređuje upravljanje vodama, kao i morski prostori, uključujući  njihovo dno i podzemlje, na kojima Republika Hrvatska  ostvaruje suverena prava i jurisdikciju</w:t>
      </w:r>
    </w:p>
    <w:p>
      <w:pPr>
        <w:pBdr/>
        <w:pStyle w:val="Normal"/>
        <w:spacing/>
        <w:ind/>
        <w:rPr>
          <w:rFonts w:ascii="Arial" w:eastAsia="Arial" w:hAnsi="Arial" w:cs="Arial"/>
        </w:rPr>
      </w:pPr>
      <w:r>
        <w:rPr>
          <w:rFonts w:ascii="Arial" w:eastAsia="Arial" w:hAnsi="Arial" w:cs="Arial"/>
          <w:i/>
          <w:iCs/>
        </w:rPr>
        <w:t xml:space="preserve">23. morski ekosustavi</w:t>
      </w:r>
      <w:r>
        <w:rPr>
          <w:rFonts w:ascii="Arial" w:eastAsia="Arial" w:hAnsi="Arial" w:cs="Arial"/>
        </w:rPr>
        <w:t xml:space="preserve"> su ekosustavi razvijeni u morskom okolišu</w:t>
      </w:r>
    </w:p>
    <w:p>
      <w:pPr>
        <w:pBdr/>
        <w:pStyle w:val="Normal"/>
        <w:spacing/>
        <w:ind/>
        <w:rPr>
          <w:rFonts w:ascii="Arial" w:eastAsia="Arial" w:hAnsi="Arial" w:cs="Arial"/>
        </w:rPr>
      </w:pPr>
      <w:r>
        <w:rPr>
          <w:rFonts w:ascii="Arial" w:eastAsia="Arial" w:hAnsi="Arial" w:cs="Arial"/>
          <w:i/>
          <w:iCs/>
        </w:rPr>
        <w:t xml:space="preserve">24. morski okoliš</w:t>
      </w:r>
      <w:r>
        <w:rPr>
          <w:rFonts w:ascii="Arial" w:eastAsia="Arial" w:hAnsi="Arial" w:cs="Arial"/>
        </w:rPr>
        <w:t xml:space="preserve"> je životni prostor organizama i njihovih zajednica koji je određen karakterističnim fizičkim, kemijskim i biološkim značajkama, a obuhvaća: morska područja te područja riječnih ušća i morskih obalnih područja, uključujući morsko dno i morsko podzemlje na kojima su razvijeni morski ekosustavi</w:t>
      </w:r>
    </w:p>
    <w:p>
      <w:pPr>
        <w:pBdr/>
        <w:pStyle w:val="Normal"/>
        <w:spacing/>
        <w:ind/>
        <w:rPr>
          <w:rFonts w:ascii="Arial" w:eastAsia="Arial" w:hAnsi="Arial" w:cs="Arial"/>
        </w:rPr>
      </w:pPr>
      <w:r>
        <w:rPr>
          <w:rFonts w:ascii="Arial" w:eastAsia="Arial" w:hAnsi="Arial" w:cs="Arial"/>
          <w:i/>
          <w:iCs/>
        </w:rPr>
        <w:t xml:space="preserve">25. NRT</w:t>
      </w:r>
      <w:r>
        <w:rPr>
          <w:rFonts w:ascii="Arial" w:eastAsia="Arial" w:hAnsi="Arial" w:cs="Arial"/>
        </w:rPr>
        <w:t xml:space="preserve"> definiraju najučinkovitiju i najnapredniju fazu u razvoju djelatnosti i njihovih načina rada, što pokazuje kolika je praktična primjenjivost pojedinih tehnika kao osnova za postizanje graničnih vrijednosti emisija i ostalih uvjeta okolišne dozvole koji su osmišljeni kako bi spriječili i, gdje to nije izvedivo, smanjili emisije i utjecaj na okoliš u cijelosti</w:t>
      </w:r>
    </w:p>
    <w:p>
      <w:pPr>
        <w:pBdr/>
        <w:pStyle w:val="Normal"/>
        <w:spacing/>
        <w:ind/>
        <w:rPr>
          <w:rFonts w:ascii="Arial" w:eastAsia="Arial" w:hAnsi="Arial" w:cs="Arial"/>
        </w:rPr>
      </w:pPr>
      <w:r>
        <w:rPr>
          <w:rFonts w:ascii="Arial" w:eastAsia="Arial" w:hAnsi="Arial" w:cs="Arial"/>
        </w:rPr>
        <w:t xml:space="preserve">- „tehnike“ označavaju tehnologiju koja se koristi te način projektiranja, gradnje, održavanja, korištenja i stavljanja postrojenja izvan uporabe</w:t>
      </w:r>
    </w:p>
    <w:p>
      <w:pPr>
        <w:pBdr/>
        <w:pStyle w:val="Normal"/>
        <w:spacing/>
        <w:ind/>
        <w:rPr>
          <w:rFonts w:ascii="Arial" w:eastAsia="Arial" w:hAnsi="Arial" w:cs="Arial"/>
        </w:rPr>
      </w:pPr>
      <w:r>
        <w:rPr>
          <w:rFonts w:ascii="Arial" w:eastAsia="Arial" w:hAnsi="Arial" w:cs="Arial"/>
        </w:rPr>
        <w:t xml:space="preserve">- „raspoložive tehnike“ označavaju  tehnike razvijene na razini koja omogućuje njihovu primjenu u odgovarajućem industrijskom sektoru u gospodarski i tehnički održivim uvjetima, uzimajući u obzir troškove i prednosti, neovisno o tome koriste li se ili proizvode u Europskoj uniji, pod uvjetom da su razumno dostupne operateru</w:t>
      </w:r>
    </w:p>
    <w:p>
      <w:pPr>
        <w:pBdr/>
        <w:pStyle w:val="Normal"/>
        <w:spacing/>
        <w:ind/>
        <w:rPr>
          <w:rFonts w:ascii="Arial" w:eastAsia="Arial" w:hAnsi="Arial" w:cs="Arial"/>
        </w:rPr>
      </w:pPr>
      <w:r>
        <w:rPr>
          <w:rFonts w:ascii="Arial" w:eastAsia="Arial" w:hAnsi="Arial" w:cs="Arial"/>
        </w:rPr>
        <w:t xml:space="preserve">- „najbolje“ označavaju tehnike koje su najdjelotvornije u postizanju visoke opće razine zaštite okoliša u cjelini, uključujući zaštitu zdravlja ljudi i klime</w:t>
      </w:r>
    </w:p>
    <w:p>
      <w:pPr>
        <w:pBdr/>
        <w:pStyle w:val="Normal"/>
        <w:spacing/>
        <w:ind/>
        <w:rPr>
          <w:rFonts w:ascii="Arial" w:eastAsia="Arial" w:hAnsi="Arial" w:cs="Arial"/>
        </w:rPr>
      </w:pPr>
      <w:r>
        <w:rPr>
          <w:rFonts w:ascii="Arial" w:eastAsia="Arial" w:hAnsi="Arial" w:cs="Arial"/>
          <w:i/>
          <w:iCs/>
        </w:rPr>
        <w:t xml:space="preserve">26. nesreća</w:t>
      </w:r>
      <w:r>
        <w:rPr>
          <w:rFonts w:ascii="Arial" w:eastAsia="Arial" w:hAnsi="Arial" w:cs="Arial"/>
        </w:rPr>
        <w:t xml:space="preserve"> je događaj koji je posljedica nekontroliranog slijeda događaja nastalih u tijeku poduzimanja neke radnje ili aktivnosti u postrojenju, tijekom proizvodnje i/ili uporabe proizvoda, skladištenja i/ili rukovanja proizvodom ili odlaganja otpada</w:t>
      </w:r>
    </w:p>
    <w:p>
      <w:pPr>
        <w:pBdr/>
        <w:pStyle w:val="Normal"/>
        <w:spacing/>
        <w:ind/>
        <w:rPr>
          <w:rFonts w:ascii="Arial" w:eastAsia="Arial" w:hAnsi="Arial" w:cs="Arial"/>
        </w:rPr>
      </w:pPr>
      <w:r>
        <w:rPr>
          <w:rFonts w:ascii="Arial" w:eastAsia="Arial" w:hAnsi="Arial" w:cs="Arial"/>
          <w:i/>
          <w:iCs/>
        </w:rPr>
        <w:t xml:space="preserve">27. nositelj zahvata</w:t>
      </w:r>
      <w:r>
        <w:rPr>
          <w:rFonts w:ascii="Arial" w:eastAsia="Arial" w:hAnsi="Arial" w:cs="Arial"/>
        </w:rPr>
        <w:t xml:space="preserve"> je podnositelj zahtjeva za ocjenu o potrebi procjene utjecaja na okoliš, određivanje sadržaja studije o utjecaju zahvata na okoliš ili procjenu utjecaja zahvata na okoliš</w:t>
      </w:r>
    </w:p>
    <w:p>
      <w:pPr>
        <w:pBdr/>
        <w:pStyle w:val="Normal"/>
        <w:spacing/>
        <w:ind/>
        <w:rPr>
          <w:rFonts w:ascii="Arial" w:eastAsia="Arial" w:hAnsi="Arial" w:cs="Arial"/>
        </w:rPr>
      </w:pPr>
      <w:r>
        <w:rPr>
          <w:rFonts w:ascii="Arial" w:eastAsia="Arial" w:hAnsi="Arial" w:cs="Arial"/>
          <w:i/>
          <w:iCs/>
        </w:rPr>
        <w:t xml:space="preserve">28. obalno područje mora</w:t>
      </w:r>
      <w:r>
        <w:rPr>
          <w:rFonts w:ascii="Arial" w:eastAsia="Arial" w:hAnsi="Arial" w:cs="Arial"/>
        </w:rPr>
        <w:t xml:space="preserve"> je geomorfološko područje s obje strane obalne crte (crte niske vode uzduž obala kopna i otoka), u kojem se međudjelovanjem morskih i kopnenih dijelova oblikuju složeni ekološki sustavi koje čine biotske i abiotske komponente koje koegzistiraju i u međusobnom su djelovanju s ljudskim zajednicama i odgovarajućim društveno-</w:t>
      </w:r>
      <w:r>
        <w:rPr>
          <w:rFonts w:ascii="Arial" w:eastAsia="Arial" w:hAnsi="Arial" w:cs="Arial"/>
        </w:rPr>
        <w:t xml:space="preserve">gospodarskim aktivnostima, a čiji je geografski obuhvat prema moru određen vanjskom granicom teritorijalnog mora Republike Hrvatske, a prema kopnu granicama obalnih jedinica lokalne samouprave i jedinica lokalne samouprave čiji dio teritorija zahvaća kopneni dio zaštićenog obalnog područja od 1000 m</w:t>
      </w:r>
    </w:p>
    <w:p>
      <w:pPr>
        <w:pBdr/>
        <w:pStyle w:val="Normal"/>
        <w:spacing/>
        <w:ind/>
        <w:rPr>
          <w:rFonts w:ascii="Arial" w:eastAsia="Arial" w:hAnsi="Arial" w:cs="Arial"/>
        </w:rPr>
      </w:pPr>
      <w:r>
        <w:rPr>
          <w:rFonts w:ascii="Arial" w:eastAsia="Arial" w:hAnsi="Arial" w:cs="Arial"/>
          <w:i/>
          <w:iCs/>
        </w:rPr>
        <w:t xml:space="preserve">29. održivi razvoj</w:t>
      </w:r>
      <w:r>
        <w:rPr>
          <w:rFonts w:ascii="Arial" w:eastAsia="Arial" w:hAnsi="Arial" w:cs="Arial"/>
        </w:rPr>
        <w:t xml:space="preserve"> je razvoj društva, koji kao temeljne kriterije uključuje ekološku, gospodarsku i socio-kulturnu održivost, s ciljem unaprjeđenja kvalitete života i zadovoljavanja potreba društva današnjeg naraštaja te omogućuje dugoročno očuvanje kakvoće okoliša, georaznolikosti, bioraznolikosti te krajobraza</w:t>
      </w:r>
    </w:p>
    <w:p>
      <w:pPr>
        <w:pBdr/>
        <w:pStyle w:val="Normal"/>
        <w:spacing/>
        <w:ind/>
        <w:rPr>
          <w:rFonts w:ascii="Arial" w:eastAsia="Arial" w:hAnsi="Arial" w:cs="Arial"/>
        </w:rPr>
      </w:pPr>
      <w:r>
        <w:rPr>
          <w:rFonts w:ascii="Arial" w:eastAsia="Arial" w:hAnsi="Arial" w:cs="Arial"/>
          <w:i/>
        </w:rPr>
        <w:t xml:space="preserve">30. okoliš</w:t>
      </w:r>
      <w:r>
        <w:rPr>
          <w:rFonts w:ascii="Arial" w:eastAsia="Arial" w:hAnsi="Arial" w:cs="Arial"/>
          <w:iCs/>
        </w:rPr>
        <w:t xml:space="preserve"> je prirodno i svako drugo okruženje organizama i njihovih zajednica, uključujući  čovjeka, koje omogućuje njihovo postojanje i daljnji razvoj, a obuhvaća zrak, more, vode, tlo, zemljinu kamenu koru, energiju te materijalna dobra i kulturnu baštinu kao dijelove okoliša koje je stvorio čovjek, u njihovoj raznolikosti i ukupnosti međusobnih odnosa i utjecaja</w:t>
      </w:r>
    </w:p>
    <w:p>
      <w:pPr>
        <w:pBdr/>
        <w:pStyle w:val="Normal"/>
        <w:spacing/>
        <w:ind/>
        <w:rPr>
          <w:rFonts w:ascii="Arial" w:eastAsia="Arial" w:hAnsi="Arial" w:cs="Arial"/>
        </w:rPr>
      </w:pPr>
      <w:r>
        <w:rPr>
          <w:rFonts w:ascii="Arial" w:eastAsia="Arial" w:hAnsi="Arial" w:cs="Arial"/>
          <w:i/>
          <w:iCs/>
        </w:rPr>
        <w:t xml:space="preserve">31. okolišna dozvola</w:t>
      </w:r>
      <w:r>
        <w:rPr>
          <w:rFonts w:ascii="Arial" w:eastAsia="Arial" w:hAnsi="Arial" w:cs="Arial"/>
        </w:rPr>
        <w:t xml:space="preserve"> je dozvola za rad postrojenja koja se izdaje u pisanom obliku na temelju jedinstvenog postupka utvrđivanja mjera zaštite okoliša u skladu s ovim Zakonom</w:t>
      </w:r>
    </w:p>
    <w:p>
      <w:pPr>
        <w:pBdr/>
        <w:pStyle w:val="Normal"/>
        <w:spacing/>
        <w:ind/>
        <w:rPr>
          <w:rFonts w:ascii="Arial" w:eastAsia="Arial" w:hAnsi="Arial" w:cs="Arial"/>
        </w:rPr>
      </w:pPr>
      <w:r>
        <w:rPr>
          <w:rFonts w:ascii="Arial" w:eastAsia="Arial" w:hAnsi="Arial" w:cs="Arial"/>
          <w:i/>
          <w:iCs/>
        </w:rPr>
        <w:t xml:space="preserve">32. okolišna učinkovitost</w:t>
      </w:r>
      <w:r>
        <w:rPr>
          <w:rFonts w:ascii="Arial" w:eastAsia="Arial" w:hAnsi="Arial" w:cs="Arial"/>
        </w:rPr>
        <w:t xml:space="preserve"> odnosi se na učinkovitost s obzirom na razine potrošnje, učinkovitost resursa s obzirom na materijale, vode i energetske resurse, ponovnu uporabu materijala i vode te nastanak otpada</w:t>
      </w:r>
    </w:p>
    <w:p>
      <w:pPr>
        <w:pBdr/>
        <w:pStyle w:val="Normal"/>
        <w:spacing/>
        <w:ind/>
        <w:rPr>
          <w:rFonts w:ascii="Arial" w:eastAsia="Arial" w:hAnsi="Arial" w:cs="Arial"/>
        </w:rPr>
      </w:pPr>
      <w:r>
        <w:rPr>
          <w:rFonts w:ascii="Arial" w:eastAsia="Arial" w:hAnsi="Arial" w:cs="Arial"/>
          <w:i/>
          <w:iCs/>
        </w:rPr>
        <w:t xml:space="preserve">33. onečišćavanje morskog okoliša</w:t>
      </w:r>
      <w:r>
        <w:rPr>
          <w:rFonts w:ascii="Arial" w:eastAsia="Arial" w:hAnsi="Arial" w:cs="Arial"/>
        </w:rPr>
        <w:t xml:space="preserve"> je izravno ili neizravno unošenje tvari, predmeta ili energije u morski okoliš djelovanjem čovjeka, koje uzrokuje ili može prouzročiti pogubne posljedice na uvjete života biljnog i životinjskog svijeta u moru i morskom podzemlju, ugroziti uvjete života u moru ili zdravlje ljudi, ometati pomorske djelatnosti, uključujući ribolov i druge zakonite uporabe mora i podmorja, pogoršati uporabne kakvoće morske vode ili umanjiti privlačnosti morskog okoliša</w:t>
      </w:r>
    </w:p>
    <w:p>
      <w:pPr>
        <w:pBdr/>
        <w:pStyle w:val="Normal"/>
        <w:spacing/>
        <w:ind/>
        <w:rPr>
          <w:rFonts w:ascii="Arial" w:eastAsia="Arial" w:hAnsi="Arial" w:cs="Arial"/>
        </w:rPr>
      </w:pPr>
      <w:r>
        <w:rPr>
          <w:rFonts w:ascii="Arial" w:eastAsia="Arial" w:hAnsi="Arial" w:cs="Arial"/>
          <w:i/>
        </w:rPr>
        <w:t xml:space="preserve">34. onečišćivač</w:t>
      </w:r>
      <w:r>
        <w:rPr>
          <w:rFonts w:ascii="Arial" w:eastAsia="Arial" w:hAnsi="Arial" w:cs="Arial"/>
          <w:iCs/>
        </w:rPr>
        <w:t xml:space="preserve"> je svaka fizička i pravna osoba, koja posrednim ili neposrednim djelovanjem ili propuštanjem djelovanja uzrokuje onečišćavanje okoliša, uključujući morski okoliš</w:t>
      </w:r>
    </w:p>
    <w:p>
      <w:pPr>
        <w:pBdr/>
        <w:pStyle w:val="Normal"/>
        <w:spacing/>
        <w:ind/>
        <w:rPr>
          <w:rFonts w:ascii="Arial" w:eastAsia="Arial" w:hAnsi="Arial" w:cs="Arial"/>
        </w:rPr>
      </w:pPr>
      <w:r>
        <w:rPr>
          <w:rFonts w:ascii="Arial" w:eastAsia="Arial" w:hAnsi="Arial" w:cs="Arial"/>
          <w:i/>
          <w:iCs/>
        </w:rPr>
        <w:t xml:space="preserve">35. onečišćavanje okoliša</w:t>
      </w:r>
      <w:r>
        <w:rPr>
          <w:rFonts w:ascii="Arial" w:eastAsia="Arial" w:hAnsi="Arial" w:cs="Arial"/>
        </w:rPr>
        <w:t xml:space="preserve"> je promjena stanja okoliša uzrokovana emisijama ili drugim štetnim djelovanjem koja nije u skladu s propisanim graničnim vrijednostima ili uvjetima dozvola, odnosno koja može dovesti do pogoršanja kakvoće okoliša</w:t>
      </w:r>
    </w:p>
    <w:p>
      <w:pPr>
        <w:pBdr/>
        <w:pStyle w:val="Normal"/>
        <w:spacing/>
        <w:ind/>
        <w:rPr>
          <w:rFonts w:ascii="Arial" w:eastAsia="Arial" w:hAnsi="Arial" w:cs="Arial"/>
        </w:rPr>
      </w:pPr>
      <w:r>
        <w:rPr>
          <w:rFonts w:ascii="Arial" w:eastAsia="Arial" w:hAnsi="Arial" w:cs="Arial"/>
          <w:i/>
          <w:iCs/>
        </w:rPr>
        <w:t xml:space="preserve">36. onečišćenje</w:t>
      </w:r>
      <w:r>
        <w:rPr>
          <w:rFonts w:ascii="Arial" w:eastAsia="Arial" w:hAnsi="Arial" w:cs="Arial"/>
        </w:rPr>
        <w:t xml:space="preserve"> je izravno ili neizravno unošenje tvari, vibracija, topline, buke ili neugodnih mirisa u zrak, vode ili tlo djelovanjem čovjeka, koje može biti štetno za zdravlje ljudi ili kakvoću okoliša, prouzročiti štetu na imovini, poremetiti značajke okoliša ili druge zakonite oblike njegova korištenja odnosno utjecati na te značajke ili oblike korištenja</w:t>
      </w:r>
    </w:p>
    <w:p>
      <w:pPr>
        <w:pBdr/>
        <w:pStyle w:val="Normal"/>
        <w:spacing/>
        <w:ind/>
        <w:rPr>
          <w:rFonts w:ascii="Arial" w:eastAsia="Arial" w:hAnsi="Arial" w:cs="Arial"/>
        </w:rPr>
      </w:pPr>
      <w:r>
        <w:rPr>
          <w:rFonts w:ascii="Arial" w:eastAsia="Arial" w:hAnsi="Arial" w:cs="Arial"/>
          <w:i/>
          <w:iCs/>
        </w:rPr>
        <w:t xml:space="preserve">37. onečišćujuća tvar</w:t>
      </w:r>
      <w:r>
        <w:rPr>
          <w:rFonts w:ascii="Arial" w:eastAsia="Arial" w:hAnsi="Arial" w:cs="Arial"/>
        </w:rPr>
        <w:t xml:space="preserve"> je tvar ili skupina tvari, koje zbog svojih svojstava, količine i unošenja u okoliš, odnosno u pojedine sastavnice okoliša, mogu štetno utjecati na zdravlje ljudi, biljni i/ili životinjski svijet, odnosno bioraznolikost i krajobraznu raznolikost</w:t>
      </w:r>
    </w:p>
    <w:p>
      <w:pPr>
        <w:pBdr/>
        <w:pStyle w:val="Normal"/>
        <w:spacing/>
        <w:ind/>
        <w:rPr>
          <w:rFonts w:ascii="Arial" w:eastAsia="Arial" w:hAnsi="Arial" w:cs="Arial"/>
        </w:rPr>
      </w:pPr>
      <w:r>
        <w:rPr>
          <w:rFonts w:ascii="Arial" w:eastAsia="Arial" w:hAnsi="Arial" w:cs="Arial"/>
          <w:i/>
          <w:iCs/>
        </w:rPr>
        <w:t xml:space="preserve">38. opasna tvar</w:t>
      </w:r>
      <w:r>
        <w:rPr>
          <w:rFonts w:ascii="Arial" w:eastAsia="Arial" w:hAnsi="Arial" w:cs="Arial"/>
        </w:rPr>
        <w:t xml:space="preserve"> je tvar ili smjesa navedena na popisu iz uredbe iz članka 169. stavka 2. ovoga Zakona, koja je prisutna u području postrojenja, uključujući u obliku sirovine, proizvoda, nusproizvoda, ostatka ili međuproizvoda</w:t>
      </w:r>
    </w:p>
    <w:p>
      <w:pPr>
        <w:pBdr/>
        <w:pStyle w:val="Normal"/>
        <w:spacing/>
        <w:ind/>
        <w:rPr>
          <w:rFonts w:ascii="Arial" w:eastAsia="Arial" w:hAnsi="Arial" w:cs="Arial"/>
        </w:rPr>
      </w:pPr>
      <w:r>
        <w:rPr>
          <w:rFonts w:ascii="Arial" w:eastAsia="Arial" w:hAnsi="Arial" w:cs="Arial"/>
          <w:i/>
          <w:iCs/>
        </w:rPr>
        <w:t xml:space="preserve">39. opasna tvar (koja se odnosi na okolišnu dozvolu)</w:t>
      </w:r>
      <w:r>
        <w:rPr>
          <w:rFonts w:ascii="Arial" w:eastAsia="Arial" w:hAnsi="Arial" w:cs="Arial"/>
        </w:rPr>
        <w:t xml:space="preserve"> je tvar ili smjesa kako je definirana u članku 3. Uredbe (EZ) broj 1272/2008 Europskog parlamenta i Vijeća od 16. prosinca 2008. o razvrstavanju, označivanju i pakiranju tvari i smjesa</w:t>
      </w:r>
    </w:p>
    <w:p>
      <w:pPr>
        <w:pBdr/>
        <w:pStyle w:val="Normal"/>
        <w:spacing/>
        <w:ind/>
        <w:rPr>
          <w:rFonts w:ascii="Arial" w:eastAsia="Arial" w:hAnsi="Arial" w:cs="Arial"/>
        </w:rPr>
      </w:pPr>
      <w:r>
        <w:rPr>
          <w:rFonts w:ascii="Arial" w:eastAsia="Arial" w:hAnsi="Arial" w:cs="Arial"/>
          <w:i/>
        </w:rPr>
        <w:t xml:space="preserve">40. opasnost </w:t>
      </w:r>
      <w:r>
        <w:rPr>
          <w:rFonts w:ascii="Arial" w:eastAsia="Arial" w:hAnsi="Arial" w:cs="Arial"/>
        </w:rPr>
        <w:t xml:space="preserve">je unutarnje svojstvo opasne tvari ili uvjet u kojem se ta tvar može zateći, koji može ugroziti život i zdravlje ljudi, materijalna dobra ili okoliš.</w:t>
      </w:r>
    </w:p>
    <w:p>
      <w:pPr>
        <w:pBdr/>
        <w:pStyle w:val="Normal"/>
        <w:spacing/>
        <w:ind/>
        <w:rPr>
          <w:rFonts w:ascii="Arial" w:eastAsia="Arial" w:hAnsi="Arial" w:cs="Arial"/>
        </w:rPr>
      </w:pPr>
      <w:r>
        <w:rPr>
          <w:rFonts w:ascii="Arial" w:eastAsia="Arial" w:hAnsi="Arial" w:cs="Arial"/>
          <w:i/>
        </w:rPr>
        <w:t xml:space="preserve">41. opća obvezujuća pravila</w:t>
      </w:r>
      <w:r>
        <w:rPr>
          <w:rFonts w:ascii="Arial" w:eastAsia="Arial" w:hAnsi="Arial" w:cs="Arial"/>
          <w:iCs/>
        </w:rPr>
        <w:t xml:space="preserve"> su pravila kojima se najmanje na razini sektora utvrđuju granične vrijednosti emisija ili drugi uvjeti koji se izravno primjenjuju pri utvrđivanju uvjeta okolišne dozvole odnosno neposredno na rad postrojenja za koja je propisana registracija </w:t>
      </w:r>
    </w:p>
    <w:p>
      <w:pPr>
        <w:pBdr/>
        <w:pStyle w:val="Normal"/>
        <w:spacing/>
        <w:ind/>
        <w:rPr>
          <w:rFonts w:ascii="Arial" w:eastAsia="Arial" w:hAnsi="Arial" w:cs="Arial"/>
        </w:rPr>
      </w:pPr>
      <w:r>
        <w:rPr>
          <w:rFonts w:ascii="Arial" w:eastAsia="Arial" w:hAnsi="Arial" w:cs="Arial"/>
          <w:i/>
          <w:iCs/>
        </w:rPr>
        <w:t xml:space="preserve">42. operater</w:t>
      </w:r>
      <w:r>
        <w:rPr>
          <w:rFonts w:ascii="Arial" w:eastAsia="Arial" w:hAnsi="Arial" w:cs="Arial"/>
        </w:rPr>
        <w:t xml:space="preserve"> je pravna ili fizička osoba koja upravlja postrojenjem ili njegovim dijelom, područjem postrojenja, uređajem za loženje, postrojenjem za spaljivanje otpada ili postrojenjem za suspaljivanje otpada ili ih nadzire ili na koju su prenesene gospodarske ovlasti ili ovlasti odlučivanja koje su presudne za njihovo tehničko funkcioniranje</w:t>
      </w:r>
    </w:p>
    <w:p>
      <w:pPr>
        <w:pBdr/>
        <w:pStyle w:val="Normal"/>
        <w:spacing/>
        <w:ind/>
        <w:rPr>
          <w:rFonts w:ascii="Arial" w:eastAsia="Arial" w:hAnsi="Arial" w:cs="Arial"/>
        </w:rPr>
      </w:pPr>
      <w:r>
        <w:rPr>
          <w:rFonts w:ascii="Arial" w:eastAsia="Arial" w:hAnsi="Arial" w:cs="Arial"/>
          <w:i/>
          <w:iCs/>
        </w:rPr>
        <w:t xml:space="preserve">43. operativna pravila</w:t>
      </w:r>
      <w:r>
        <w:rPr>
          <w:rFonts w:ascii="Arial" w:eastAsia="Arial" w:hAnsi="Arial" w:cs="Arial"/>
        </w:rPr>
        <w:t xml:space="preserve"> su opća obvezujuća pravila za obavljanje djelatnosti iz Dodatka IV. ovoga Zakona kojima se, u skladu s primjenom NRT-</w:t>
      </w:r>
      <w:r>
        <w:rPr>
          <w:rFonts w:ascii="Arial" w:eastAsia="Arial" w:hAnsi="Arial" w:cs="Arial"/>
        </w:rPr>
        <w:t xml:space="preserve">a, utvrđuju granične vrijednosti emisija, granične vrijednosti okolišne učinkovitosti i povezani zahtjevi za praćenje te, prema potrebi, pravila o rasprostiranju na tlo, sprječavanju i ublažavanju onečišćenja, upravljanju hranjivim tvarima, pripremi hrane za životinje, smještaju životinja, gospodarenju stajskim gnojem, uključujući njegovo skupljanje, skladištenje, preradu i rasprostiranje na tlo, te odlaganju uginulih životinja.</w:t>
      </w:r>
    </w:p>
    <w:p>
      <w:pPr>
        <w:pBdr/>
        <w:pStyle w:val="Normal"/>
        <w:spacing/>
        <w:ind/>
        <w:rPr>
          <w:rFonts w:ascii="Arial" w:eastAsia="Arial" w:hAnsi="Arial" w:cs="Arial"/>
        </w:rPr>
      </w:pPr>
      <w:r>
        <w:rPr>
          <w:rFonts w:ascii="Arial" w:eastAsia="Arial" w:hAnsi="Arial" w:cs="Arial"/>
          <w:i/>
          <w:iCs/>
        </w:rPr>
        <w:t xml:space="preserve">44. opterećenja</w:t>
      </w:r>
      <w:r>
        <w:rPr>
          <w:rFonts w:ascii="Arial" w:eastAsia="Arial" w:hAnsi="Arial" w:cs="Arial"/>
        </w:rPr>
        <w:t xml:space="preserve"> su emisije tvari i njihovih pripravaka, fizikalni i biološki činitelji (energija, buka, toplina, svjetlost i dr.) te djelatnosti koje ugrožavaju ili bi mogle ugrožavati sastavnice okoliša</w:t>
      </w:r>
    </w:p>
    <w:p>
      <w:pPr>
        <w:pBdr/>
        <w:pStyle w:val="Normal"/>
        <w:spacing/>
        <w:ind/>
        <w:rPr>
          <w:rFonts w:ascii="Arial" w:eastAsia="Arial" w:hAnsi="Arial" w:cs="Arial"/>
        </w:rPr>
      </w:pPr>
      <w:r>
        <w:rPr>
          <w:rFonts w:ascii="Arial" w:eastAsia="Arial" w:hAnsi="Arial" w:cs="Arial"/>
          <w:i/>
        </w:rPr>
        <w:t xml:space="preserve">45. opterećivanje okoliša</w:t>
      </w:r>
      <w:r>
        <w:rPr>
          <w:rFonts w:ascii="Arial" w:eastAsia="Arial" w:hAnsi="Arial" w:cs="Arial"/>
          <w:iCs/>
        </w:rPr>
        <w:t xml:space="preserve"> je svaki zahvat ili posljedica utjecaja zahvata u okoliš ili utjecaj na okoliš određene aktivnosti, koja sama ili povezana s drugim aktivnostima može izazvati ili je mogla izazvati onečišćavanje okoliša, smanjenje kakvoće okoliša, štetu u okolišu, rizik po okoliš ili korištenje okoliša</w:t>
      </w:r>
    </w:p>
    <w:p>
      <w:pPr>
        <w:pBdr/>
        <w:pStyle w:val="Normal"/>
        <w:spacing/>
        <w:ind/>
        <w:rPr>
          <w:rFonts w:ascii="Arial" w:eastAsia="Arial" w:hAnsi="Arial" w:cs="Arial"/>
        </w:rPr>
      </w:pPr>
      <w:r>
        <w:rPr>
          <w:rFonts w:ascii="Arial" w:eastAsia="Arial" w:hAnsi="Arial" w:cs="Arial"/>
          <w:i/>
          <w:iCs/>
        </w:rPr>
        <w:t xml:space="preserve">46. osiguranje sukladnosti</w:t>
      </w:r>
      <w:r>
        <w:rPr>
          <w:rFonts w:ascii="Arial" w:eastAsia="Arial" w:hAnsi="Arial" w:cs="Arial"/>
        </w:rPr>
        <w:t xml:space="preserve"> je skup mehanizama kojima se osigurava ispunjavanje zahtjeva zaštite okoliša, a koji obuhvaća promicanje sukladnosti, praćenje sukladnosti te daljnje praćenje i izvršavanje</w:t>
      </w:r>
    </w:p>
    <w:p>
      <w:pPr>
        <w:pBdr/>
        <w:pStyle w:val="Normal"/>
        <w:spacing/>
        <w:ind/>
        <w:rPr>
          <w:rFonts w:ascii="Arial" w:eastAsia="Arial" w:hAnsi="Arial" w:cs="Arial"/>
        </w:rPr>
      </w:pPr>
      <w:r>
        <w:rPr>
          <w:rFonts w:ascii="Arial" w:eastAsia="Arial" w:hAnsi="Arial" w:cs="Arial"/>
          <w:i/>
        </w:rPr>
        <w:t xml:space="preserve">47. ovlaštenik </w:t>
      </w:r>
      <w:r>
        <w:rPr>
          <w:rFonts w:ascii="Arial" w:eastAsia="Arial" w:hAnsi="Arial" w:cs="Arial"/>
          <w:iCs/>
        </w:rPr>
        <w:t xml:space="preserve">je pravna ili fizička osoba – obrtnik koja posjeduje suglasnost za obavljanje stručnih poslova u području zaštite okoliša i prirode</w:t>
      </w:r>
    </w:p>
    <w:p>
      <w:pPr>
        <w:pBdr/>
        <w:pStyle w:val="Normal"/>
        <w:spacing/>
        <w:ind/>
        <w:rPr>
          <w:rFonts w:ascii="Arial" w:eastAsia="Arial" w:hAnsi="Arial" w:cs="Arial"/>
        </w:rPr>
      </w:pPr>
      <w:r>
        <w:rPr>
          <w:rFonts w:ascii="Arial" w:eastAsia="Arial" w:hAnsi="Arial" w:cs="Arial"/>
          <w:i/>
          <w:iCs/>
        </w:rPr>
        <w:t xml:space="preserve">48. perad</w:t>
      </w:r>
      <w:r>
        <w:rPr>
          <w:rFonts w:ascii="Arial" w:eastAsia="Arial" w:hAnsi="Arial" w:cs="Arial"/>
        </w:rPr>
        <w:t xml:space="preserve"> je perad definirana u članku 4. točki 9. Uredbe (EU) 2016/429 Europskog parlamenta i Vijeća od 9. ožujka 2016. o prenosivim bolestima životinja te o izmjeni i stavljanju izvan snage određenih akata u području zdravlja životinja (‚Zakon o zdravlju životinja’) (SL L 84, 31.3.2016., str. 1.)</w:t>
      </w:r>
    </w:p>
    <w:p>
      <w:pPr>
        <w:pBdr/>
        <w:pStyle w:val="Normal"/>
        <w:spacing/>
        <w:ind/>
        <w:rPr>
          <w:rFonts w:ascii="Arial" w:eastAsia="Arial" w:hAnsi="Arial" w:cs="Arial"/>
        </w:rPr>
      </w:pPr>
      <w:r>
        <w:rPr>
          <w:rFonts w:ascii="Arial" w:eastAsia="Arial" w:hAnsi="Arial" w:cs="Arial"/>
          <w:i/>
          <w:iCs/>
        </w:rPr>
        <w:t xml:space="preserve">49. područje postrojenja</w:t>
      </w:r>
      <w:r>
        <w:rPr>
          <w:rFonts w:ascii="Arial" w:eastAsia="Arial" w:hAnsi="Arial" w:cs="Arial"/>
        </w:rPr>
        <w:t xml:space="preserve"> je cjelokupno područje pod kontrolom operatera u kojem su prisutne opasne tvari u jednom ili više postrojenja, uključujući zajedničku ili s njima postrojenjima povezanu infrastrukturu ili djelatnosti, koje se razvrstava u viši ili niži razred u skladu s uredbom iz članka 169. stavka 2. ovoga Zakona</w:t>
      </w:r>
    </w:p>
    <w:p>
      <w:pPr>
        <w:pBdr/>
        <w:pStyle w:val="Normal"/>
        <w:spacing/>
        <w:ind/>
        <w:rPr>
          <w:rFonts w:ascii="Arial" w:eastAsia="Arial" w:hAnsi="Arial" w:cs="Arial"/>
        </w:rPr>
      </w:pPr>
      <w:r>
        <w:rPr>
          <w:rFonts w:ascii="Arial" w:eastAsia="Arial" w:hAnsi="Arial" w:cs="Arial"/>
          <w:i/>
        </w:rPr>
        <w:t xml:space="preserve">50. pogon</w:t>
      </w:r>
      <w:r>
        <w:rPr>
          <w:rFonts w:ascii="Arial" w:eastAsia="Arial" w:hAnsi="Arial" w:cs="Arial"/>
        </w:rPr>
        <w:t xml:space="preserve"> je funkcionalno izdvojena jedinica unutar postrojenja u kojoj se obavlja određena djelatnost ili dio tehnološkog procesa</w:t>
      </w:r>
    </w:p>
    <w:p>
      <w:pPr>
        <w:pBdr/>
        <w:pStyle w:val="Normal"/>
        <w:spacing/>
        <w:ind/>
        <w:rPr>
          <w:rFonts w:ascii="Arial" w:eastAsia="Arial" w:hAnsi="Arial" w:cs="Arial"/>
        </w:rPr>
      </w:pPr>
      <w:r>
        <w:rPr>
          <w:rFonts w:ascii="Arial" w:eastAsia="Arial" w:hAnsi="Arial" w:cs="Arial"/>
          <w:i/>
          <w:iCs/>
        </w:rPr>
        <w:t xml:space="preserve">51. postrojenje koje se odnosi na okolišnu dozvolu i registraciju postrojenja za uzgoj životinja</w:t>
      </w:r>
      <w:r>
        <w:rPr>
          <w:rFonts w:ascii="Arial" w:eastAsia="Arial" w:hAnsi="Arial" w:cs="Arial"/>
        </w:rPr>
        <w:t xml:space="preserve"> je nepokretna tehnička jedinica u kojoj se obavlja jedna ili više djelatnosti za koje je propisana obveza ishođenja okolišne dozvole sukladno uredbi iz članka 76. stavka 5. </w:t>
      </w:r>
      <w:r>
        <w:rPr>
          <w:rFonts w:ascii="Arial" w:eastAsia="Arial" w:hAnsi="Arial" w:cs="Arial"/>
        </w:rPr>
        <w:t xml:space="preserve">ovoga Zakona ili djelatnosti za koje je potrebna registracija sukladno Dodatku IV. ovoga Zakona, kao i bilo koje druge izravno pridružene aktivnosti koje se obavljaju na istoj lokaciji, a tehnički su povezane s navedenim djelatnostima i mogle bi imati utjecaj na emisije i onečišćenje</w:t>
      </w:r>
    </w:p>
    <w:p>
      <w:pPr>
        <w:pBdr/>
        <w:pStyle w:val="Normal"/>
        <w:spacing/>
        <w:ind/>
        <w:rPr>
          <w:rFonts w:ascii="Arial" w:eastAsia="Arial" w:hAnsi="Arial" w:cs="Arial"/>
        </w:rPr>
      </w:pPr>
      <w:r>
        <w:rPr>
          <w:rFonts w:ascii="Arial" w:eastAsia="Arial" w:hAnsi="Arial" w:cs="Arial"/>
          <w:i/>
          <w:iCs/>
        </w:rPr>
        <w:t xml:space="preserve">52. postrojenje koje se odnosi na sprječavanje velikih nesreća koje uključuju opasne tvari</w:t>
      </w:r>
      <w:r>
        <w:rPr>
          <w:rFonts w:ascii="Arial" w:eastAsia="Arial" w:hAnsi="Arial" w:cs="Arial"/>
        </w:rPr>
        <w:t xml:space="preserve"> je tehnička jedinica unutar područja postrojenja, bilo na ili ispod razine zemlje, u kojoj se opasne tvari proizvode, koriste, skladište, ili se rukuje s opasnim tvarima; ono uključuje svu opremu, strukture, cjevovode, strojeve, alate, privatne željezničke kolosijeke, dokove, pristaništa, postrojenja za ukrcaj i iskrcaj tereta, gatove, skladišta i slične objekte, plutajuće ili ne, potrebne za rad postrojenja</w:t>
      </w:r>
    </w:p>
    <w:p>
      <w:pPr>
        <w:pBdr/>
        <w:pStyle w:val="Normal"/>
        <w:spacing/>
        <w:ind/>
        <w:rPr>
          <w:rFonts w:ascii="Arial" w:eastAsia="Arial" w:hAnsi="Arial" w:cs="Arial"/>
        </w:rPr>
      </w:pPr>
      <w:r>
        <w:rPr>
          <w:rFonts w:ascii="Arial" w:eastAsia="Arial" w:hAnsi="Arial" w:cs="Arial"/>
          <w:i/>
          <w:iCs/>
        </w:rPr>
        <w:t xml:space="preserve">53. postrojenje za spaljivanje otpada</w:t>
      </w:r>
      <w:r>
        <w:rPr>
          <w:rFonts w:ascii="Arial" w:eastAsia="Arial" w:hAnsi="Arial" w:cs="Arial"/>
        </w:rPr>
        <w:t xml:space="preserve"> je nepokretna ili pokretna tehnička jedinica te oprema namijenjena toplinskoj obradi otpada, sa ili bez oporabe topline proizvedene izgaranjem, putem spaljivanja oksidacijom otpada, kao i ostalim postupcima toplinske obrade kao što su piroliza, uplinjavanje ili plazma postupak, ako se tvari nastale obradom kasnije spaljuju</w:t>
      </w:r>
    </w:p>
    <w:p>
      <w:pPr>
        <w:pBdr/>
        <w:pStyle w:val="Normal"/>
        <w:spacing/>
        <w:ind/>
        <w:rPr>
          <w:rFonts w:ascii="Arial" w:eastAsia="Arial" w:hAnsi="Arial" w:cs="Arial"/>
        </w:rPr>
      </w:pPr>
      <w:r>
        <w:rPr>
          <w:rFonts w:ascii="Arial" w:eastAsia="Arial" w:hAnsi="Arial" w:cs="Arial"/>
          <w:i/>
          <w:iCs/>
        </w:rPr>
        <w:t xml:space="preserve">54. postrojenje za suspaljivanje otpada</w:t>
      </w:r>
      <w:r>
        <w:rPr>
          <w:rFonts w:ascii="Arial" w:eastAsia="Arial" w:hAnsi="Arial" w:cs="Arial"/>
        </w:rPr>
        <w:t xml:space="preserve"> je nepokretna ili pokretna tehnička jedinica kojoj je osnovna svrha proizvodnja energije ili proizvoda i koja koristi otpad kao redovno ili dodatno gorivo ili u kojoj se otpad termički obrađuje u svrhu njegova zbrinjavanja putem spaljivanja oksidacijom otpada, kao i ostalim postupcima toplinske obrade kao što su piroliza, uplinjavanje ili plazma postupak, ako se tvari nastale obradom kasnije spaljuju</w:t>
      </w:r>
    </w:p>
    <w:p>
      <w:pPr>
        <w:pBdr/>
        <w:pStyle w:val="Normal"/>
        <w:spacing/>
        <w:ind/>
        <w:rPr>
          <w:rFonts w:ascii="Arial" w:eastAsia="Arial" w:hAnsi="Arial" w:cs="Arial"/>
        </w:rPr>
      </w:pPr>
      <w:r>
        <w:rPr>
          <w:rFonts w:ascii="Arial" w:eastAsia="Arial" w:hAnsi="Arial" w:cs="Arial"/>
          <w:i/>
          <w:iCs/>
        </w:rPr>
        <w:t xml:space="preserve">55. postojeće postrojenje</w:t>
      </w:r>
      <w:r>
        <w:rPr>
          <w:rFonts w:ascii="Arial" w:eastAsia="Arial" w:hAnsi="Arial" w:cs="Arial"/>
        </w:rPr>
        <w:t xml:space="preserve"> je postrojenje koje je u radu, uključujući i probni rad, ili je bilo u radu te ima mogućnost ponovnog pokretanja rada, neovisno o tome je li za rad izdana ili nije izdana okolišna dozvola, a koje je barem jednom dobilo dozvolu za početak rada sukladno posebnom propisu</w:t>
      </w:r>
    </w:p>
    <w:p>
      <w:pPr>
        <w:pBdr/>
        <w:pStyle w:val="Normal"/>
        <w:spacing/>
        <w:ind/>
        <w:rPr>
          <w:rFonts w:ascii="Arial" w:eastAsia="Arial" w:hAnsi="Arial" w:cs="Arial"/>
        </w:rPr>
      </w:pPr>
      <w:r>
        <w:rPr>
          <w:rFonts w:ascii="Arial" w:eastAsia="Arial" w:hAnsi="Arial" w:cs="Arial"/>
          <w:i/>
          <w:iCs/>
        </w:rPr>
        <w:t xml:space="preserve">56. područje utjecaja</w:t>
      </w:r>
      <w:r>
        <w:rPr>
          <w:rFonts w:ascii="Arial" w:eastAsia="Arial" w:hAnsi="Arial" w:cs="Arial"/>
        </w:rPr>
        <w:t xml:space="preserve"> je područje na kojem se prostire značajan utjecaj zahvata u okoliš, bilo da je uzrokovan samim zahvatom ili njegovim kumulativnim učincima s postojećim ili planiranim zahvatima</w:t>
      </w:r>
    </w:p>
    <w:p>
      <w:pPr>
        <w:pBdr/>
        <w:pStyle w:val="Normal"/>
        <w:spacing/>
        <w:ind/>
        <w:rPr>
          <w:rFonts w:ascii="Arial" w:eastAsia="Arial" w:hAnsi="Arial" w:cs="Arial"/>
        </w:rPr>
      </w:pPr>
      <w:r>
        <w:rPr>
          <w:rFonts w:ascii="Arial" w:eastAsia="Arial" w:hAnsi="Arial" w:cs="Arial"/>
          <w:i/>
        </w:rPr>
        <w:t xml:space="preserve">57. praćenje stanja okoliša </w:t>
      </w:r>
      <w:r>
        <w:rPr>
          <w:rFonts w:ascii="Arial" w:eastAsia="Arial" w:hAnsi="Arial" w:cs="Arial"/>
        </w:rPr>
        <w:t xml:space="preserve">je niz aktivnosti koje uključuju periodičko, standardizirano prikupljanje podataka (uzorkovanje, ispitivanje i mjerenje emisija, imisija, praćenje prirodnih i drugih pojava u okolišu) u svrhu zaštite okoliša</w:t>
      </w:r>
    </w:p>
    <w:p>
      <w:pPr>
        <w:pBdr/>
        <w:pStyle w:val="Normal"/>
        <w:spacing/>
        <w:ind/>
        <w:rPr>
          <w:rFonts w:ascii="Arial" w:eastAsia="Arial" w:hAnsi="Arial" w:cs="Arial"/>
        </w:rPr>
      </w:pPr>
      <w:r>
        <w:rPr>
          <w:rFonts w:ascii="Arial" w:eastAsia="Arial" w:hAnsi="Arial" w:cs="Arial"/>
          <w:i/>
        </w:rPr>
        <w:t xml:space="preserve">58. pravo na pristup pravosuđu</w:t>
      </w:r>
      <w:r>
        <w:rPr>
          <w:rFonts w:ascii="Arial" w:eastAsia="Arial" w:hAnsi="Arial" w:cs="Arial"/>
          <w:iCs/>
        </w:rPr>
        <w:t xml:space="preserve"> je pravo na izjavljivanje žalbe nadležnom tijelu, odnosno pravo na podnošenje tužbe nadležnom sudu, koje se ovim Zakonom, uz propisane uvjete, utvrđuje osobama – građanima, drugim fizičkim te pravnim osobama, njihovim skupinama, udrugama i organizacijama radi ostvarivanja prava na zdrav život i održiv okoliš i u svrhu zaštite okoliša i pojedinih sastavnica okoliša i zaštite od štetnog utjecaja opterećenja</w:t>
      </w:r>
    </w:p>
    <w:p>
      <w:pPr>
        <w:pBdr/>
        <w:pStyle w:val="Normal"/>
        <w:spacing/>
        <w:ind/>
        <w:rPr>
          <w:rFonts w:ascii="Arial" w:eastAsia="Arial" w:hAnsi="Arial" w:cs="Arial"/>
        </w:rPr>
      </w:pPr>
      <w:r>
        <w:rPr>
          <w:rFonts w:ascii="Arial" w:eastAsia="Arial" w:hAnsi="Arial" w:cs="Arial"/>
          <w:i/>
          <w:iCs/>
        </w:rPr>
        <w:t xml:space="preserve">59. prijeteća opasnost od štete</w:t>
      </w:r>
      <w:r>
        <w:rPr>
          <w:rFonts w:ascii="Arial" w:eastAsia="Arial" w:hAnsi="Arial" w:cs="Arial"/>
        </w:rPr>
        <w:t xml:space="preserve"> predstavlja dostatnu vjerojatnost od nastanka štete u okolišu u bliskoj budućnosti</w:t>
      </w:r>
    </w:p>
    <w:p>
      <w:pPr>
        <w:pBdr/>
        <w:pStyle w:val="Normal"/>
        <w:spacing/>
        <w:ind/>
        <w:rPr>
          <w:rFonts w:ascii="Arial" w:eastAsia="Arial" w:hAnsi="Arial" w:cs="Arial"/>
        </w:rPr>
      </w:pPr>
      <w:r>
        <w:rPr>
          <w:rFonts w:ascii="Arial" w:eastAsia="Arial" w:hAnsi="Arial" w:cs="Arial"/>
          <w:i/>
        </w:rPr>
        <w:t xml:space="preserve">60. prirodna pojava</w:t>
      </w:r>
      <w:r>
        <w:rPr>
          <w:rFonts w:ascii="Arial" w:eastAsia="Arial" w:hAnsi="Arial" w:cs="Arial"/>
          <w:iCs/>
        </w:rPr>
        <w:t xml:space="preserve"> je fizikalno-</w:t>
      </w:r>
      <w:r>
        <w:rPr>
          <w:rFonts w:ascii="Arial" w:eastAsia="Arial" w:hAnsi="Arial" w:cs="Arial"/>
        </w:rPr>
        <w:t xml:space="preserve">kemijski proces, zračenje, geološka pojava, hidrografski i biološki uvjeti, uvjeti podneblja, kao i druge prirodne pojave koje uzrokuju i/ili utječu na promjene okoliša</w:t>
      </w:r>
    </w:p>
    <w:p>
      <w:pPr>
        <w:pBdr/>
        <w:pStyle w:val="Normal"/>
        <w:spacing/>
        <w:ind/>
        <w:rPr>
          <w:rFonts w:ascii="Arial" w:eastAsia="Arial" w:hAnsi="Arial" w:cs="Arial"/>
        </w:rPr>
      </w:pPr>
      <w:r>
        <w:rPr>
          <w:rFonts w:ascii="Arial" w:eastAsia="Arial" w:hAnsi="Arial" w:cs="Arial"/>
          <w:i/>
          <w:iCs/>
        </w:rPr>
        <w:t xml:space="preserve">61. razine emisije povezane s najboljim raspoloživim tehnikama</w:t>
      </w:r>
      <w:r>
        <w:rPr>
          <w:rFonts w:ascii="Arial" w:eastAsia="Arial" w:hAnsi="Arial" w:cs="Arial"/>
        </w:rPr>
        <w:t xml:space="preserve"> su razine industrijskih emisija koje su postignute u normalnim uvjetima rada koristeći najbolje raspoložive tehnike ili njihovu kombinaciju, kako je opisano u Zaključcima o najboljim raspoloživim tehnikama, izraženo kao prosjek tijekom zadanog vremenskog razdoblja, pod posebnim (referentnim) uvjetima</w:t>
      </w:r>
    </w:p>
    <w:p>
      <w:pPr>
        <w:pBdr/>
        <w:pStyle w:val="Normal"/>
        <w:spacing/>
        <w:ind/>
        <w:rPr>
          <w:rFonts w:ascii="Arial" w:eastAsia="Arial" w:hAnsi="Arial" w:cs="Arial"/>
        </w:rPr>
      </w:pPr>
      <w:r>
        <w:rPr>
          <w:rFonts w:ascii="Arial" w:eastAsia="Arial" w:hAnsi="Arial" w:cs="Arial"/>
          <w:i/>
          <w:iCs/>
        </w:rPr>
        <w:t xml:space="preserve">62. razine okolišne učinkovitosti povezane s najboljim raspoloživim tehnikam</w:t>
      </w:r>
      <w:r>
        <w:rPr>
          <w:rFonts w:ascii="Arial" w:eastAsia="Arial" w:hAnsi="Arial" w:cs="Arial"/>
        </w:rPr>
        <w:t xml:space="preserve">a su raspon razina okolišne učinkovitosti dobiven u normalnim uvjetima rada uz primjenu NRT-</w:t>
      </w:r>
      <w:r>
        <w:rPr>
          <w:rFonts w:ascii="Arial" w:eastAsia="Arial" w:hAnsi="Arial" w:cs="Arial"/>
        </w:rPr>
        <w:t xml:space="preserve">a ili njihove kombinacije, kako je opisano u Zaključcima o NRT-</w:t>
      </w:r>
      <w:r>
        <w:rPr>
          <w:rFonts w:ascii="Arial" w:eastAsia="Arial" w:hAnsi="Arial" w:cs="Arial"/>
        </w:rPr>
        <w:t xml:space="preserve">u</w:t>
      </w:r>
    </w:p>
    <w:p>
      <w:pPr>
        <w:pBdr/>
        <w:pStyle w:val="Normal"/>
        <w:spacing/>
        <w:ind/>
        <w:rPr>
          <w:rFonts w:ascii="Arial" w:eastAsia="Arial" w:hAnsi="Arial" w:cs="Arial"/>
        </w:rPr>
      </w:pPr>
      <w:r>
        <w:rPr>
          <w:rFonts w:ascii="Arial" w:eastAsia="Arial" w:hAnsi="Arial" w:cs="Arial"/>
          <w:i/>
          <w:iCs/>
        </w:rPr>
        <w:t xml:space="preserve">63. razine emisija povezane s tehnikama u nastajanju</w:t>
      </w:r>
      <w:r>
        <w:rPr>
          <w:rFonts w:ascii="Arial" w:eastAsia="Arial" w:hAnsi="Arial" w:cs="Arial"/>
        </w:rPr>
        <w:t xml:space="preserve"> obuhvaćaju raspon razina emisija dobiven u normalnim uvjetima rada korištenjem tehnike u nastajanju ili kombinacije tehnika u nastajanju, kako je opisano u Zaključcima o NRT-</w:t>
      </w:r>
      <w:r>
        <w:rPr>
          <w:rFonts w:ascii="Arial" w:eastAsia="Arial" w:hAnsi="Arial" w:cs="Arial"/>
        </w:rPr>
        <w:t xml:space="preserve">u, izražen kao prosjek u određenom razdoblju, u određenim referentnim uvjetima</w:t>
      </w:r>
    </w:p>
    <w:p>
      <w:pPr>
        <w:pBdr/>
        <w:pStyle w:val="Normal"/>
        <w:spacing/>
        <w:ind/>
        <w:rPr>
          <w:rFonts w:ascii="Arial" w:eastAsia="Arial" w:hAnsi="Arial" w:cs="Arial"/>
        </w:rPr>
      </w:pPr>
      <w:r>
        <w:rPr>
          <w:rFonts w:ascii="Arial" w:eastAsia="Arial" w:hAnsi="Arial" w:cs="Arial"/>
          <w:i/>
          <w:iCs/>
        </w:rPr>
        <w:t xml:space="preserve">64. razine okolišne učinkovitosti povezane s tehnikama u nastajanju</w:t>
      </w:r>
      <w:r>
        <w:rPr>
          <w:rFonts w:ascii="Arial" w:eastAsia="Arial" w:hAnsi="Arial" w:cs="Arial"/>
        </w:rPr>
        <w:t xml:space="preserve"> označavaju raspon razina okolišne učinkovitosti dobiven u normalnim uvjetima rada korištenjem tehnike u nastajanju ili kombinacije tehnika u nastajanju kako je opisano u Zaključcima o NRT-u</w:t>
      </w:r>
    </w:p>
    <w:p>
      <w:pPr>
        <w:pBdr/>
        <w:pStyle w:val="Normal"/>
        <w:spacing/>
        <w:ind/>
        <w:rPr>
          <w:rFonts w:ascii="Arial" w:eastAsia="Arial" w:hAnsi="Arial" w:cs="Arial"/>
        </w:rPr>
      </w:pPr>
      <w:r>
        <w:rPr>
          <w:rFonts w:ascii="Arial" w:eastAsia="Arial" w:hAnsi="Arial" w:cs="Arial"/>
          <w:i/>
          <w:iCs/>
        </w:rPr>
        <w:t xml:space="preserve">65. referentni dokument o najboljim raspoloživim tehnikama</w:t>
      </w:r>
      <w:r>
        <w:rPr>
          <w:rFonts w:ascii="Arial" w:eastAsia="Arial" w:hAnsi="Arial" w:cs="Arial"/>
        </w:rPr>
        <w:t xml:space="preserve"> (u daljnjem tekstu: RDNRT) je dokument sastavljen za određene djelatnosti na temelju razmjene podataka koju Europska komisija organizira između država članica, industrija na koje se te djelatnosti odnose, nevladinih organizacija koje promiču zaštitu okoliša i Europske komisije, u kojem se posebno opisuju primijenjene tehnike, postojeće razine emisija i potrošnje, tehnike razmatrane pri određivanju NRT-</w:t>
      </w:r>
      <w:r>
        <w:rPr>
          <w:rFonts w:ascii="Arial" w:eastAsia="Arial" w:hAnsi="Arial" w:cs="Arial"/>
        </w:rPr>
        <w:t xml:space="preserve">a, zaključci o NRT-</w:t>
      </w:r>
      <w:r>
        <w:rPr>
          <w:rFonts w:ascii="Arial" w:eastAsia="Arial" w:hAnsi="Arial" w:cs="Arial"/>
        </w:rPr>
        <w:t xml:space="preserve">u i sve tehnike u nastajanju, uz posebno uvažavanje kriterija utvrđenih ovim Zakonom i uredbom iz članka 75. stavka 9. ovoga Zakona.</w:t>
      </w:r>
    </w:p>
    <w:p>
      <w:pPr>
        <w:pBdr/>
        <w:pStyle w:val="Normal"/>
        <w:spacing/>
        <w:ind/>
        <w:rPr>
          <w:rFonts w:ascii="Arial" w:eastAsia="Arial" w:hAnsi="Arial" w:cs="Arial"/>
        </w:rPr>
      </w:pPr>
      <w:r>
        <w:rPr>
          <w:rFonts w:ascii="Arial" w:eastAsia="Arial" w:hAnsi="Arial" w:cs="Arial"/>
          <w:i/>
          <w:iCs/>
        </w:rPr>
        <w:t xml:space="preserve">66. referentne vrijednosti </w:t>
      </w:r>
      <w:r>
        <w:rPr>
          <w:rFonts w:ascii="Arial" w:eastAsia="Arial" w:hAnsi="Arial" w:cs="Arial"/>
        </w:rPr>
        <w:t xml:space="preserve">su okvirni rasponi razina okolišne učinkovitosti povezanih s NRT-</w:t>
      </w:r>
      <w:r>
        <w:rPr>
          <w:rFonts w:ascii="Arial" w:eastAsia="Arial" w:hAnsi="Arial" w:cs="Arial"/>
        </w:rPr>
        <w:t xml:space="preserve">om koji se koriste kao referenca u sustavu upravljanja okolišem</w:t>
      </w:r>
    </w:p>
    <w:p>
      <w:pPr>
        <w:pBdr/>
        <w:pStyle w:val="Normal"/>
        <w:spacing/>
        <w:ind/>
        <w:rPr>
          <w:rFonts w:ascii="Arial" w:eastAsia="Arial" w:hAnsi="Arial" w:cs="Arial"/>
        </w:rPr>
      </w:pPr>
      <w:r>
        <w:rPr>
          <w:rFonts w:ascii="Arial" w:eastAsia="Arial" w:hAnsi="Arial" w:cs="Arial"/>
          <w:i/>
        </w:rPr>
        <w:t xml:space="preserve">67. rizik po okoliš</w:t>
      </w:r>
      <w:r>
        <w:rPr>
          <w:rFonts w:ascii="Arial" w:eastAsia="Arial" w:hAnsi="Arial" w:cs="Arial"/>
          <w:iCs/>
        </w:rPr>
        <w:t xml:space="preserve"> je veličina koja se mjeri vjerojatnošću pojavljivanja događaja i potencijalom štete za okoliš koji taj događaj može uzrokovati</w:t>
      </w:r>
    </w:p>
    <w:p>
      <w:pPr>
        <w:pBdr/>
        <w:pStyle w:val="Normal"/>
        <w:spacing/>
        <w:ind/>
        <w:rPr>
          <w:rFonts w:ascii="Arial" w:eastAsia="Arial" w:hAnsi="Arial" w:cs="Arial"/>
        </w:rPr>
      </w:pPr>
      <w:r>
        <w:rPr>
          <w:rFonts w:ascii="Arial" w:eastAsia="Arial" w:hAnsi="Arial" w:cs="Arial"/>
          <w:i/>
          <w:iCs/>
        </w:rPr>
        <w:t xml:space="preserve">68. sanacija</w:t>
      </w:r>
      <w:r>
        <w:rPr>
          <w:rFonts w:ascii="Arial" w:eastAsia="Arial" w:hAnsi="Arial" w:cs="Arial"/>
        </w:rPr>
        <w:t xml:space="preserve"> je skup propisanih mjera i/ili aktivnosti kojima se uspostavlja ili nadomješta stanje okoliša koje je bilo prije nastanka štete, odnosno onečišćenja okoliša</w:t>
      </w:r>
    </w:p>
    <w:p>
      <w:pPr>
        <w:pBdr/>
        <w:pStyle w:val="Normal"/>
        <w:spacing/>
        <w:ind/>
        <w:rPr>
          <w:rFonts w:ascii="Arial" w:eastAsia="Arial" w:hAnsi="Arial" w:cs="Arial"/>
        </w:rPr>
      </w:pPr>
      <w:r>
        <w:rPr>
          <w:rFonts w:ascii="Arial" w:eastAsia="Arial" w:hAnsi="Arial" w:cs="Arial"/>
          <w:i/>
          <w:iCs/>
        </w:rPr>
        <w:t xml:space="preserve">69. sastavnice okoliša</w:t>
      </w:r>
      <w:r>
        <w:rPr>
          <w:rFonts w:ascii="Arial" w:eastAsia="Arial" w:hAnsi="Arial" w:cs="Arial"/>
        </w:rPr>
        <w:t xml:space="preserve"> su zrak, vode, more, tlo, krajobraz, bioraznolikost te zemljina kamena kora</w:t>
      </w:r>
    </w:p>
    <w:p>
      <w:pPr>
        <w:pBdr/>
        <w:pStyle w:val="Normal"/>
        <w:spacing/>
        <w:ind/>
        <w:rPr>
          <w:rFonts w:ascii="Arial" w:eastAsia="Arial" w:hAnsi="Arial" w:cs="Arial"/>
        </w:rPr>
      </w:pPr>
      <w:r>
        <w:rPr>
          <w:rFonts w:ascii="Arial" w:eastAsia="Arial" w:hAnsi="Arial" w:cs="Arial"/>
          <w:i/>
          <w:iCs/>
        </w:rPr>
        <w:t xml:space="preserve">70. skladištenje opasnih tvari</w:t>
      </w:r>
      <w:r>
        <w:rPr>
          <w:rFonts w:ascii="Arial" w:eastAsia="Arial" w:hAnsi="Arial" w:cs="Arial"/>
        </w:rPr>
        <w:t xml:space="preserve"> se odnosi na prisutnost određene količine opasne tvari za potrebe skladištenja, pohranjivanja na sigurnom ili čuvanja na zalihama</w:t>
      </w:r>
    </w:p>
    <w:p>
      <w:pPr>
        <w:pBdr/>
        <w:pStyle w:val="Normal"/>
        <w:spacing/>
        <w:ind/>
        <w:rPr>
          <w:rFonts w:ascii="Arial" w:eastAsia="Arial" w:hAnsi="Arial" w:cs="Arial"/>
        </w:rPr>
      </w:pPr>
      <w:r>
        <w:rPr>
          <w:rFonts w:ascii="Arial" w:eastAsia="Arial" w:hAnsi="Arial" w:cs="Arial"/>
          <w:i/>
          <w:iCs/>
        </w:rPr>
        <w:t xml:space="preserve">71. standard kakvoće okoliša</w:t>
      </w:r>
      <w:r>
        <w:rPr>
          <w:rFonts w:ascii="Arial" w:eastAsia="Arial" w:hAnsi="Arial" w:cs="Arial"/>
        </w:rPr>
        <w:t xml:space="preserve"> je skup zahtjeva koje određeni okoliš ili njegov pojedini dio moraju ispuniti u određenom trenutku, kako je utvrđeno u zakonodavstvu Europske unije</w:t>
      </w:r>
    </w:p>
    <w:p>
      <w:pPr>
        <w:pBdr/>
        <w:pStyle w:val="Normal"/>
        <w:spacing/>
        <w:ind/>
        <w:rPr>
          <w:rFonts w:ascii="Arial" w:eastAsia="Arial" w:hAnsi="Arial" w:cs="Arial"/>
        </w:rPr>
      </w:pPr>
      <w:r>
        <w:rPr>
          <w:rFonts w:ascii="Arial" w:eastAsia="Arial" w:hAnsi="Arial" w:cs="Arial"/>
          <w:i/>
          <w:iCs/>
        </w:rPr>
        <w:t xml:space="preserve">72. stanje morskog okoliša</w:t>
      </w:r>
      <w:r>
        <w:rPr>
          <w:rFonts w:ascii="Arial" w:eastAsia="Arial" w:hAnsi="Arial" w:cs="Arial"/>
        </w:rPr>
        <w:t xml:space="preserve"> je sveukupno stanje okoliša u morskim vodama uzimajući u obzir strukturu, funkcije i procese sastavnica morskog okoliša zajedno s prirodnim fiziografskim, geografskim i klimatskim faktorima, kao i fizičkim, kemijskim i biološkim uvjetima, uključujući one koji su rezultat ljudske aktivnosti</w:t>
      </w:r>
    </w:p>
    <w:p>
      <w:pPr>
        <w:pBdr/>
        <w:pStyle w:val="Normal"/>
        <w:spacing/>
        <w:ind/>
        <w:rPr>
          <w:rFonts w:ascii="Arial" w:eastAsia="Arial" w:hAnsi="Arial" w:cs="Arial"/>
        </w:rPr>
      </w:pPr>
      <w:r>
        <w:rPr>
          <w:rFonts w:ascii="Arial" w:eastAsia="Arial" w:hAnsi="Arial" w:cs="Arial"/>
          <w:i/>
          <w:iCs/>
        </w:rPr>
        <w:t xml:space="preserve">73. stočna jedinica</w:t>
      </w:r>
      <w:r>
        <w:rPr>
          <w:rFonts w:ascii="Arial" w:eastAsia="Arial" w:hAnsi="Arial" w:cs="Arial"/>
        </w:rPr>
        <w:t xml:space="preserve"> je standardna mjerna jedinica koja omogućuje objedinjavanje različitih kategorija stoke radi međusobne usporedbe te se izračunava primjenom koeficijenata za pojedinačne kategorije stoke navedene u Dodatku IV. ovoga Zakona</w:t>
      </w:r>
    </w:p>
    <w:p>
      <w:pPr>
        <w:pBdr/>
        <w:pStyle w:val="Normal"/>
        <w:spacing/>
        <w:ind/>
        <w:rPr>
          <w:rFonts w:ascii="Arial" w:eastAsia="Arial" w:hAnsi="Arial" w:cs="Arial"/>
        </w:rPr>
      </w:pPr>
      <w:r>
        <w:rPr>
          <w:rFonts w:ascii="Arial" w:eastAsia="Arial" w:hAnsi="Arial" w:cs="Arial"/>
          <w:i/>
        </w:rPr>
        <w:t xml:space="preserve">74. strategija, plan i program</w:t>
      </w:r>
      <w:r>
        <w:rPr>
          <w:rFonts w:ascii="Arial" w:eastAsia="Arial" w:hAnsi="Arial" w:cs="Arial"/>
          <w:iCs/>
        </w:rPr>
        <w:t xml:space="preserve"> su dokumenti određeni propisom kojim se uređuje strateško planiranje i upravljanje razvojem Republike Hrvatske i drugim posebnim propisima</w:t>
      </w:r>
    </w:p>
    <w:p>
      <w:pPr>
        <w:pBdr/>
        <w:pStyle w:val="Normal"/>
        <w:spacing/>
        <w:ind/>
        <w:rPr>
          <w:rFonts w:ascii="Arial" w:eastAsia="Arial" w:hAnsi="Arial" w:cs="Arial"/>
        </w:rPr>
      </w:pPr>
      <w:r>
        <w:rPr>
          <w:rFonts w:ascii="Arial" w:eastAsia="Arial" w:hAnsi="Arial" w:cs="Arial"/>
          <w:i/>
          <w:iCs/>
          <w:color w:val="000000"/>
        </w:rPr>
        <w:t xml:space="preserve">75. susjedno područje postrojenja </w:t>
      </w:r>
      <w:r>
        <w:rPr>
          <w:rFonts w:ascii="Arial" w:eastAsia="Arial" w:hAnsi="Arial" w:cs="Arial"/>
          <w:color w:val="000000"/>
        </w:rPr>
        <w:t xml:space="preserve">je područje postrojenja koje se nalazi u takvoj blizini drugog područja postrojenja da povećava rizik ili posljedice velike nesreće</w:t>
      </w:r>
    </w:p>
    <w:p>
      <w:pPr>
        <w:pBdr/>
        <w:pStyle w:val="Normal"/>
        <w:spacing/>
        <w:ind/>
        <w:rPr>
          <w:rFonts w:ascii="Arial" w:eastAsia="Arial" w:hAnsi="Arial" w:cs="Arial"/>
        </w:rPr>
      </w:pPr>
      <w:r>
        <w:rPr>
          <w:rFonts w:ascii="Arial" w:eastAsia="Arial" w:hAnsi="Arial" w:cs="Arial"/>
          <w:i/>
          <w:iCs/>
        </w:rPr>
        <w:t xml:space="preserve">76. svinja</w:t>
      </w:r>
      <w:r>
        <w:rPr>
          <w:rFonts w:ascii="Arial" w:eastAsia="Arial" w:hAnsi="Arial" w:cs="Arial"/>
        </w:rPr>
        <w:t xml:space="preserve"> je pojam definiran u članku 2. Direktive Vijeća 2008/120/EZ od 18. prosinca 2008. o utvrđivanju minimalnih uvjeta za zaštitu svinja (SL L 47, 18.2.2009., str. 5.)</w:t>
      </w:r>
    </w:p>
    <w:p>
      <w:pPr>
        <w:pBdr/>
        <w:pStyle w:val="Normal"/>
        <w:spacing/>
        <w:ind/>
        <w:rPr>
          <w:rFonts w:ascii="Arial" w:eastAsia="Arial" w:hAnsi="Arial" w:cs="Arial"/>
        </w:rPr>
      </w:pPr>
      <w:r>
        <w:rPr>
          <w:rFonts w:ascii="Arial" w:eastAsia="Arial" w:hAnsi="Arial" w:cs="Arial"/>
          <w:i/>
        </w:rPr>
        <w:t xml:space="preserve">77. tvari</w:t>
      </w:r>
      <w:r>
        <w:rPr>
          <w:rFonts w:ascii="Arial" w:eastAsia="Arial" w:hAnsi="Arial" w:cs="Arial"/>
          <w:iCs/>
        </w:rPr>
        <w:t xml:space="preserve"> su kemijski elementi i njihovi spojevi u prirodnom stanju ili dobiveni proizvodnim postupkom, uključujući i dodatke (aditive) nužne za održavanje njihove stabilnosti, nečistoće koje proizlaze iz proizvodnog postupka, radioaktivne tvari, genetski modificirane mikroorganizme i genetski modificirane organizme, pri čemu se u </w:t>
      </w:r>
      <w:r>
        <w:rPr>
          <w:rFonts w:ascii="Arial" w:eastAsia="Arial" w:hAnsi="Arial" w:cs="Arial"/>
          <w:iCs/>
        </w:rPr>
        <w:t xml:space="preserve">odredbama ovoga Zakona koje se odnose na okolišnu dozvolu i registraciju postrojenja za uzgoj životinja tvarima smatraju kemijski elementi i njihovi spojevi, osim:</w:t>
      </w:r>
    </w:p>
    <w:p>
      <w:pPr>
        <w:pBdr/>
        <w:pStyle w:val="Normal"/>
        <w:spacing/>
        <w:ind/>
        <w:rPr>
          <w:rFonts w:ascii="Arial" w:eastAsia="Arial" w:hAnsi="Arial" w:cs="Arial"/>
        </w:rPr>
      </w:pPr>
      <w:r>
        <w:rPr>
          <w:rFonts w:ascii="Arial" w:eastAsia="Arial" w:hAnsi="Arial" w:cs="Arial"/>
        </w:rPr>
        <w:t xml:space="preserve">- radioaktivnih tvari određenih posebnim propisom kojim se utvrđuju osnovne sigurnosne norme za zaštitu zdravlja radnika i šire javnosti od opasnosti od ionizirajućeg zračenja</w:t>
      </w:r>
    </w:p>
    <w:p>
      <w:pPr>
        <w:pBdr/>
        <w:pStyle w:val="Normal"/>
        <w:spacing/>
        <w:ind/>
        <w:rPr>
          <w:rFonts w:ascii="Arial" w:eastAsia="Arial" w:hAnsi="Arial" w:cs="Arial"/>
        </w:rPr>
      </w:pPr>
      <w:r>
        <w:rPr>
          <w:rFonts w:ascii="Arial" w:eastAsia="Arial" w:hAnsi="Arial" w:cs="Arial"/>
        </w:rPr>
        <w:t xml:space="preserve">- genetski modificiranih mikroorganizama koji su određeni posebnim propisom o kontroliranoj upotrebi genetski modificiranih mikroorganizama</w:t>
      </w:r>
    </w:p>
    <w:p>
      <w:pPr>
        <w:pBdr/>
        <w:pStyle w:val="Normal"/>
        <w:spacing/>
        <w:ind/>
        <w:rPr>
          <w:rFonts w:ascii="Arial" w:eastAsia="Arial" w:hAnsi="Arial" w:cs="Arial"/>
        </w:rPr>
      </w:pPr>
      <w:r>
        <w:rPr>
          <w:rFonts w:ascii="Arial" w:eastAsia="Arial" w:hAnsi="Arial" w:cs="Arial"/>
        </w:rPr>
        <w:t xml:space="preserve">- genetski modificiranih organizama koji su određeni posebnim propisom kojim se uređuje namjerno ispuštanje genetski modificiranih organizama u okoliš</w:t>
      </w:r>
    </w:p>
    <w:p>
      <w:pPr>
        <w:pBdr/>
        <w:pStyle w:val="Normal"/>
        <w:spacing/>
        <w:ind/>
        <w:rPr>
          <w:rFonts w:ascii="Arial" w:eastAsia="Arial" w:hAnsi="Arial" w:cs="Arial"/>
        </w:rPr>
      </w:pPr>
      <w:r>
        <w:rPr>
          <w:rFonts w:ascii="Arial" w:eastAsia="Arial" w:hAnsi="Arial" w:cs="Arial"/>
          <w:i/>
          <w:iCs/>
        </w:rPr>
        <w:t xml:space="preserve">78. tehnika u nastajanju</w:t>
      </w:r>
      <w:r>
        <w:rPr>
          <w:rFonts w:ascii="Arial" w:eastAsia="Arial" w:hAnsi="Arial" w:cs="Arial"/>
        </w:rPr>
        <w:t xml:space="preserve"> je nova tehnika za industrijsku djelatnost koja bi, ako se komercijalno razvije, mogla pružiti višu opću razinu zaštite zdravlja ljudi i okoliša ili barem jednaku razinu zaštite zdravlja ljudi i okoliša uz veće uštede od postojećih NRT-</w:t>
      </w:r>
      <w:r>
        <w:rPr>
          <w:rFonts w:ascii="Arial" w:eastAsia="Arial" w:hAnsi="Arial" w:cs="Arial"/>
        </w:rPr>
        <w:t xml:space="preserve">a</w:t>
      </w:r>
    </w:p>
    <w:p>
      <w:pPr>
        <w:pBdr/>
        <w:pStyle w:val="Normal"/>
        <w:spacing/>
        <w:ind/>
        <w:rPr>
          <w:rFonts w:ascii="Arial" w:eastAsia="Arial" w:hAnsi="Arial" w:cs="Arial"/>
        </w:rPr>
      </w:pPr>
      <w:r>
        <w:rPr>
          <w:rFonts w:ascii="Arial" w:eastAsia="Arial" w:hAnsi="Arial" w:cs="Arial"/>
          <w:i/>
          <w:iCs/>
        </w:rPr>
        <w:t xml:space="preserve">79. temeljno izvješće</w:t>
      </w:r>
      <w:r>
        <w:rPr>
          <w:rFonts w:ascii="Arial" w:eastAsia="Arial" w:hAnsi="Arial" w:cs="Arial"/>
        </w:rPr>
        <w:t xml:space="preserve"> je izvješće koje sadržava podatke o stanju onečišćenosti tla i podzemnih voda opasnim tvarima</w:t>
      </w:r>
    </w:p>
    <w:p>
      <w:pPr>
        <w:pBdr/>
        <w:pStyle w:val="Normal"/>
        <w:spacing/>
        <w:ind/>
        <w:rPr>
          <w:rFonts w:ascii="Arial" w:eastAsia="Arial" w:hAnsi="Arial" w:cs="Arial"/>
        </w:rPr>
      </w:pPr>
      <w:r>
        <w:rPr>
          <w:rFonts w:ascii="Arial" w:eastAsia="Arial" w:hAnsi="Arial" w:cs="Arial"/>
          <w:i/>
          <w:iCs/>
        </w:rPr>
        <w:t xml:space="preserve">80. temeljita industrijska preobrazba</w:t>
      </w:r>
      <w:r>
        <w:rPr>
          <w:rFonts w:ascii="Arial" w:eastAsia="Arial" w:hAnsi="Arial" w:cs="Arial"/>
        </w:rPr>
        <w:t xml:space="preserve"> je primjena tehnike u nastajanju ili NRT-</w:t>
      </w:r>
      <w:r>
        <w:rPr>
          <w:rFonts w:ascii="Arial" w:eastAsia="Arial" w:hAnsi="Arial" w:cs="Arial"/>
        </w:rPr>
        <w:t xml:space="preserve">a koju provode industrijski operateri, a koja uključuje opsežnu promjenu dizajna ili tehnologije cijelog postrojenja ili njegova dijela odnosno zamjenu postojećeg postrojenja novim postrojenjem, čime se omogućuje iznimno veliko smanjenje emisija stakleničkih plinova u skladu s ciljem klimatske neutralnosti i optimiziraju posredne koristi za okoliš najmanje do razina koje se mogu postići tehnikama utvrđenima u primjenjivim Zaključcima o NRT-</w:t>
      </w:r>
      <w:r>
        <w:rPr>
          <w:rFonts w:ascii="Arial" w:eastAsia="Arial" w:hAnsi="Arial" w:cs="Arial"/>
        </w:rPr>
        <w:t xml:space="preserve">ovima, uzimajući u obzir učinke prijenosa onečišćenja s jedne sastavnice okoliša na drugu</w:t>
      </w:r>
    </w:p>
    <w:p>
      <w:pPr>
        <w:pBdr/>
        <w:pStyle w:val="Normal"/>
        <w:spacing/>
        <w:ind/>
        <w:rPr>
          <w:rFonts w:ascii="Arial" w:eastAsia="Arial" w:hAnsi="Arial" w:cs="Arial"/>
        </w:rPr>
      </w:pPr>
      <w:r>
        <w:rPr>
          <w:rFonts w:ascii="Arial" w:eastAsia="Arial" w:hAnsi="Arial" w:cs="Arial"/>
          <w:i/>
          <w:iCs/>
        </w:rPr>
        <w:t xml:space="preserve">81. tijelo javne vlasti</w:t>
      </w:r>
      <w:r>
        <w:rPr>
          <w:rFonts w:ascii="Arial" w:eastAsia="Arial" w:hAnsi="Arial" w:cs="Arial"/>
        </w:rPr>
        <w:t xml:space="preserve"> je tijelo državne uprave, jedinica lokalne i područne (regionalne) samouprave, pravne osobe čiji osnivač je Republika Hrvatska ili jedinica lokalne ili područne (regionalne) samouprave i pravne osobe s javnim ovlastima koje obavljaju djelatnosti u vezi s okolišem</w:t>
      </w:r>
    </w:p>
    <w:p>
      <w:pPr>
        <w:pBdr/>
        <w:pStyle w:val="Normal"/>
        <w:spacing/>
        <w:ind/>
        <w:rPr>
          <w:rFonts w:ascii="Arial" w:eastAsia="Arial" w:hAnsi="Arial" w:cs="Arial"/>
        </w:rPr>
      </w:pPr>
      <w:r>
        <w:rPr>
          <w:rFonts w:ascii="Arial" w:eastAsia="Arial" w:hAnsi="Arial" w:cs="Arial"/>
          <w:i/>
          <w:iCs/>
        </w:rPr>
        <w:t xml:space="preserve">82. trajno zatvaranje područja postrojenja</w:t>
      </w:r>
      <w:r>
        <w:rPr>
          <w:rFonts w:ascii="Arial" w:eastAsia="Arial" w:hAnsi="Arial" w:cs="Arial"/>
        </w:rPr>
        <w:t xml:space="preserve"> je potpuno uklanjanje područja postrojenja ili trajno uklanjanje dijela područja postrojenja odnosno  stavljanje u stanje koje trajno onemogućuje bilo kakvo buduće korištenje opasnih tvari, uključujući rastavljanje i trajnu konzervaciju spremnika, cjevovoda i opreme na način koji isključuje rizik od curenja, korozije i/ili neovlaštenog pristupa čime područje postrojenja trajno ne ispunjava uvjete za razvrstavanje u postrojenje višeg ili nižeg razreda</w:t>
      </w:r>
    </w:p>
    <w:p>
      <w:pPr>
        <w:pBdr/>
        <w:pStyle w:val="Normal"/>
        <w:spacing/>
        <w:ind/>
        <w:rPr>
          <w:rFonts w:ascii="Arial" w:eastAsia="Arial" w:hAnsi="Arial" w:cs="Arial"/>
        </w:rPr>
      </w:pPr>
      <w:r>
        <w:rPr>
          <w:rFonts w:ascii="Arial" w:eastAsia="Arial" w:hAnsi="Arial" w:cs="Arial"/>
          <w:i/>
          <w:iCs/>
        </w:rPr>
        <w:t xml:space="preserve">83. troškovi </w:t>
      </w:r>
      <w:r>
        <w:rPr>
          <w:rFonts w:ascii="Arial" w:eastAsia="Arial" w:hAnsi="Arial" w:cs="Arial"/>
        </w:rPr>
        <w:t xml:space="preserve">su troškovi opravdani potrebom osiguranja valjane i djelotvorne provedbe ovoga Zakona povezani s odgovornošću za štete u okolišu, uključujući troškove procjene štete u okolišu, prijeteće opasnosti od štete i alternativnih mjera, administrativne troškove, troškove izvršenja, troškove prikupljanja podataka, praćenja i nadzora te druge opće troškove</w:t>
      </w:r>
    </w:p>
    <w:p>
      <w:pPr>
        <w:pBdr/>
        <w:pStyle w:val="Normal"/>
        <w:spacing/>
        <w:ind/>
        <w:rPr>
          <w:rFonts w:ascii="Arial" w:eastAsia="Arial" w:hAnsi="Arial" w:cs="Arial"/>
        </w:rPr>
      </w:pPr>
      <w:r>
        <w:rPr>
          <w:rFonts w:ascii="Arial" w:eastAsia="Arial" w:hAnsi="Arial" w:cs="Arial"/>
          <w:i/>
          <w:iCs/>
        </w:rPr>
        <w:t xml:space="preserve">84. unutarnji plan </w:t>
      </w:r>
      <w:r>
        <w:rPr>
          <w:rFonts w:ascii="Arial" w:eastAsia="Arial" w:hAnsi="Arial" w:cs="Arial"/>
        </w:rPr>
        <w:t xml:space="preserve">je plan za postupanje unutar postrojenja višeg razreda koji donosi operater, a izrađuje se uz savjetovanje sa zaposlenim osobljem i važnim kooperantima čije se osoblje često nalazi na području postrojenja radi upravljanja rizicima i unutarnjim posljedicama iznenadnih događaja koje uključuju opasne tvari te obuhvaća postupke za aktiviranje vanjskog plana</w:t>
      </w:r>
    </w:p>
    <w:p>
      <w:pPr>
        <w:pBdr/>
        <w:pStyle w:val="Normal"/>
        <w:spacing/>
        <w:ind/>
        <w:rPr>
          <w:rFonts w:ascii="Arial" w:eastAsia="Arial" w:hAnsi="Arial" w:cs="Arial"/>
        </w:rPr>
      </w:pPr>
      <w:r>
        <w:rPr>
          <w:rFonts w:ascii="Arial" w:eastAsia="Arial" w:hAnsi="Arial" w:cs="Arial"/>
          <w:i/>
          <w:iCs/>
        </w:rPr>
        <w:t xml:space="preserve">85. uređaj </w:t>
      </w:r>
      <w:r>
        <w:rPr>
          <w:rFonts w:ascii="Arial" w:eastAsia="Arial" w:hAnsi="Arial" w:cs="Arial"/>
        </w:rPr>
        <w:t xml:space="preserve">je oprema ili dio opreme postrojenja koji podrazumijeva: strojeve, oruđa/alate, električne provodnike, cjevovode, željezničke kolosijeke i iskrcajne dokove u sklopu postrojenja, uključujući i skladišta te brane i sl. nužne za obavljanje djelatnosti operatera</w:t>
      </w:r>
    </w:p>
    <w:p>
      <w:pPr>
        <w:pBdr/>
        <w:pStyle w:val="Normal"/>
        <w:spacing/>
        <w:ind/>
        <w:rPr>
          <w:rFonts w:ascii="Arial" w:eastAsia="Arial" w:hAnsi="Arial" w:cs="Arial"/>
        </w:rPr>
      </w:pPr>
      <w:r>
        <w:rPr>
          <w:rFonts w:ascii="Arial" w:eastAsia="Arial" w:hAnsi="Arial" w:cs="Arial"/>
          <w:i/>
          <w:iCs/>
        </w:rPr>
        <w:t xml:space="preserve">86. umjetno stvaranje uvjeta</w:t>
      </w:r>
      <w:r>
        <w:rPr>
          <w:rFonts w:ascii="Arial" w:eastAsia="Arial" w:hAnsi="Arial" w:cs="Arial"/>
        </w:rPr>
        <w:t xml:space="preserve"> je svako djelovanje kojim se manipulira podacima, dokumentacijom ili prikazom stanja okoliša radi prikazivanja zahvata prihvatljivim za okoliš, uključujući prikrivanje kumulativnih utjecaja, iskrivljavanje početnog stanja okoliša </w:t>
      </w:r>
      <w:r>
        <w:rPr>
          <w:rFonts w:ascii="Arial" w:eastAsia="Arial" w:hAnsi="Arial" w:cs="Arial"/>
        </w:rPr>
        <w:t xml:space="preserve">te razdvajanje zahvata na više dijelova radi izbjegavanja primjene propisanih pragova ili procjene značajnih negativnih utjecaja na okoliš</w:t>
      </w:r>
    </w:p>
    <w:p>
      <w:pPr>
        <w:pBdr/>
        <w:pStyle w:val="Normal"/>
        <w:spacing/>
        <w:ind/>
        <w:rPr>
          <w:rFonts w:ascii="Arial" w:eastAsia="Arial" w:hAnsi="Arial" w:cs="Arial"/>
        </w:rPr>
      </w:pPr>
      <w:r>
        <w:rPr>
          <w:rFonts w:ascii="Arial" w:eastAsia="Arial" w:hAnsi="Arial" w:cs="Arial"/>
          <w:i/>
          <w:iCs/>
        </w:rPr>
        <w:t xml:space="preserve">87. uređaj za loženje</w:t>
      </w:r>
      <w:r>
        <w:rPr>
          <w:rFonts w:ascii="Arial" w:eastAsia="Arial" w:hAnsi="Arial" w:cs="Arial"/>
        </w:rPr>
        <w:t xml:space="preserve"> je svaki tehnički uređaj u kojem goriva oksidiraju kako bi se iskoristila na taj način dobivena toplina</w:t>
      </w:r>
    </w:p>
    <w:p>
      <w:pPr>
        <w:pBdr/>
        <w:pStyle w:val="Normal"/>
        <w:spacing/>
        <w:ind/>
        <w:rPr>
          <w:rFonts w:ascii="Arial" w:eastAsia="Arial" w:hAnsi="Arial" w:cs="Arial"/>
        </w:rPr>
      </w:pPr>
      <w:r>
        <w:rPr>
          <w:rFonts w:ascii="Arial" w:eastAsia="Arial" w:hAnsi="Arial" w:cs="Arial"/>
          <w:i/>
        </w:rPr>
        <w:t xml:space="preserve">88. velika nesreća</w:t>
      </w:r>
      <w:r>
        <w:rPr>
          <w:rFonts w:ascii="Arial" w:eastAsia="Arial" w:hAnsi="Arial" w:cs="Arial"/>
          <w:iCs/>
        </w:rPr>
        <w:t xml:space="preserve"> je događaj, odnosno nekontrolirana pojava izazvana velikom emisijom, požarom ili eksplozijom i sl. koji su uzrokovani nekontroliranim razvitkom događanja tijekom djelovanja u području postrojenja u kojem su prisutne opasne tvari te jedna ili više tih opasnih tvari i/ili njihovih spojeva nastalih zbog događaja, odnosno nekontrolirane pojave koji dovode u ozbiljnu trenutačnu ili odgođenu – naknadnu opasnost za ljudsko zdravlje i život, materijalna dobra i/ili okoliš unutar područja postrojenja i/ili izvan područja postrojenja</w:t>
      </w:r>
    </w:p>
    <w:p>
      <w:pPr>
        <w:pBdr/>
        <w:pStyle w:val="Normal"/>
        <w:spacing/>
        <w:ind/>
        <w:rPr>
          <w:rFonts w:ascii="Arial" w:eastAsia="Arial" w:hAnsi="Arial" w:cs="Arial"/>
        </w:rPr>
      </w:pPr>
      <w:r>
        <w:rPr>
          <w:rFonts w:ascii="Arial" w:eastAsia="Arial" w:hAnsi="Arial" w:cs="Arial"/>
          <w:i/>
        </w:rPr>
        <w:t xml:space="preserve">89. veliki grad</w:t>
      </w:r>
      <w:r>
        <w:rPr>
          <w:rFonts w:ascii="Arial" w:eastAsia="Arial" w:hAnsi="Arial" w:cs="Arial"/>
          <w:iCs/>
        </w:rPr>
        <w:t xml:space="preserve"> je jedinica lokalne samouprave sukladno propisima kojima se uređuje lokalna i područna (regionalna) samouprava</w:t>
      </w:r>
    </w:p>
    <w:p>
      <w:pPr>
        <w:pBdr/>
        <w:pStyle w:val="Normal"/>
        <w:spacing/>
        <w:ind/>
        <w:rPr>
          <w:rFonts w:ascii="Arial" w:eastAsia="Arial" w:hAnsi="Arial" w:cs="Arial"/>
        </w:rPr>
      </w:pPr>
      <w:r>
        <w:rPr>
          <w:rFonts w:ascii="Arial" w:eastAsia="Arial" w:hAnsi="Arial" w:cs="Arial"/>
          <w:i/>
        </w:rPr>
        <w:t xml:space="preserve">90. verifikacija</w:t>
      </w:r>
      <w:r>
        <w:rPr>
          <w:rFonts w:ascii="Arial" w:eastAsia="Arial" w:hAnsi="Arial" w:cs="Arial"/>
          <w:iCs/>
        </w:rPr>
        <w:t xml:space="preserve"> je standardizirani postupak kojim se osigurava pouzdanost, točnost i vjerodostojnost izvješća o emisijama u okoliš te njegova usklađenost s propisanim uputama o praćenju i izvješćivanju</w:t>
      </w:r>
    </w:p>
    <w:p>
      <w:pPr>
        <w:pBdr/>
        <w:pStyle w:val="Normal"/>
        <w:spacing/>
        <w:ind/>
        <w:rPr>
          <w:rFonts w:ascii="Arial" w:eastAsia="Arial" w:hAnsi="Arial" w:cs="Arial"/>
        </w:rPr>
      </w:pPr>
      <w:r>
        <w:rPr>
          <w:rFonts w:ascii="Arial" w:eastAsia="Arial" w:hAnsi="Arial" w:cs="Arial"/>
          <w:i/>
          <w:iCs/>
        </w:rPr>
        <w:t xml:space="preserve">91. vode</w:t>
      </w:r>
      <w:r>
        <w:rPr>
          <w:rFonts w:ascii="Arial" w:eastAsia="Arial" w:hAnsi="Arial" w:cs="Arial"/>
        </w:rPr>
        <w:t xml:space="preserve"> su sve vode sukladno propisima koji uređuju područje vodnoga gospodarstva</w:t>
      </w:r>
    </w:p>
    <w:p>
      <w:pPr>
        <w:pBdr/>
        <w:pStyle w:val="Normal"/>
        <w:spacing/>
        <w:ind/>
        <w:rPr>
          <w:rFonts w:ascii="Arial" w:eastAsia="Arial" w:hAnsi="Arial" w:cs="Arial"/>
        </w:rPr>
      </w:pPr>
      <w:r>
        <w:rPr>
          <w:rFonts w:ascii="Arial" w:eastAsia="Arial" w:hAnsi="Arial" w:cs="Arial"/>
          <w:i/>
          <w:iCs/>
        </w:rPr>
        <w:t xml:space="preserve">92. zahvat</w:t>
      </w:r>
      <w:r>
        <w:rPr>
          <w:rFonts w:ascii="Arial" w:eastAsia="Arial" w:hAnsi="Arial" w:cs="Arial"/>
        </w:rPr>
        <w:t xml:space="preserve"> je privremeno ili trajno djelovanje čovjeka koje može utjecati na okoliš i za čiju je provedbu potrebno ishoditi odgovarajuće odobrenje, pri čemu se izgradnja ili dodavanje pojedinačnih tehnoloških ili proizvodnih jedinica unutar prostornog obuhvata postojećeg zahvata ili u neposrednoj funkcionalnoj povezanosti s njim smatra izmjenom postojećeg zahvata, a ne novim samostalnim zahvatom, neovisno o tome je li nositelj izmjene druga pravna ili fizička osoba u odnosu na nositelja postojećeg zahvata.</w:t>
      </w:r>
    </w:p>
    <w:p>
      <w:pPr>
        <w:pBdr/>
        <w:pStyle w:val="Normal"/>
        <w:spacing/>
        <w:ind/>
        <w:rPr>
          <w:rFonts w:ascii="Arial" w:eastAsia="Arial" w:hAnsi="Arial" w:cs="Arial"/>
        </w:rPr>
      </w:pPr>
      <w:r>
        <w:rPr>
          <w:rFonts w:ascii="Arial" w:eastAsia="Arial" w:hAnsi="Arial" w:cs="Arial"/>
          <w:i/>
          <w:iCs/>
        </w:rPr>
        <w:t xml:space="preserve">93. zaključci o NRT-</w:t>
      </w:r>
      <w:r>
        <w:rPr>
          <w:rFonts w:ascii="Arial" w:eastAsia="Arial" w:hAnsi="Arial" w:cs="Arial"/>
          <w:i/>
          <w:iCs/>
        </w:rPr>
        <w:t xml:space="preserve">u</w:t>
      </w:r>
      <w:r>
        <w:rPr>
          <w:rFonts w:ascii="Arial" w:eastAsia="Arial" w:hAnsi="Arial" w:cs="Arial"/>
        </w:rPr>
        <w:t xml:space="preserve"> su dokument koji sadržava dijelove RDNRT-</w:t>
      </w:r>
      <w:r>
        <w:rPr>
          <w:rFonts w:ascii="Arial" w:eastAsia="Arial" w:hAnsi="Arial" w:cs="Arial"/>
        </w:rPr>
        <w:t xml:space="preserve">a kojima se utvrđuju zaključci o NRT-</w:t>
      </w:r>
      <w:r>
        <w:rPr>
          <w:rFonts w:ascii="Arial" w:eastAsia="Arial" w:hAnsi="Arial" w:cs="Arial"/>
        </w:rPr>
        <w:t xml:space="preserve">u i tehnikama u nastajanju, njihov opis, informacije za procjenu njihove primjenjivosti, razine emisije i okolišne učinkovitosti povezane s tim tehnikama, sadržaj sustava upravljanja okolišem, uključujući referentne vrijednosti, povezano praćenje, povezane razine potrošnje, te prema potrebi, odgovarajuće mjere za oporavak lokacije</w:t>
      </w:r>
    </w:p>
    <w:p>
      <w:pPr>
        <w:pBdr/>
        <w:pStyle w:val="Normal"/>
        <w:spacing/>
        <w:ind/>
        <w:rPr>
          <w:rFonts w:ascii="Arial" w:eastAsia="Arial" w:hAnsi="Arial" w:cs="Arial"/>
        </w:rPr>
      </w:pPr>
      <w:r>
        <w:rPr>
          <w:rFonts w:ascii="Arial" w:eastAsia="Arial" w:hAnsi="Arial" w:cs="Arial"/>
          <w:i/>
          <w:iCs/>
        </w:rPr>
        <w:t xml:space="preserve">94. zainteresirana javnost</w:t>
      </w:r>
      <w:r>
        <w:rPr>
          <w:rFonts w:ascii="Arial" w:eastAsia="Arial" w:hAnsi="Arial" w:cs="Arial"/>
        </w:rPr>
        <w:t xml:space="preserve"> je javnost na koju utječe ili bi moglo utjecati odlučivanje o okolišu, ili ima interes u odlučivanju o okolišu; udruge koje djeluju na području zaštite zdravlja ljudi i/ili okoliša i ispunjavaju sve uvjete sukladno odredbama ovoga Zakona</w:t>
      </w:r>
    </w:p>
    <w:p>
      <w:pPr>
        <w:pBdr/>
        <w:pStyle w:val="Normal"/>
        <w:spacing/>
        <w:ind/>
        <w:rPr>
          <w:rFonts w:ascii="Arial" w:eastAsia="Arial" w:hAnsi="Arial" w:cs="Arial"/>
        </w:rPr>
      </w:pPr>
      <w:r>
        <w:rPr>
          <w:rFonts w:ascii="Arial" w:eastAsia="Arial" w:hAnsi="Arial" w:cs="Arial"/>
          <w:i/>
          <w:iCs/>
        </w:rPr>
        <w:t xml:space="preserve">95. zaštita okoliša</w:t>
      </w:r>
      <w:r>
        <w:rPr>
          <w:rFonts w:ascii="Arial" w:eastAsia="Arial" w:hAnsi="Arial" w:cs="Arial"/>
        </w:rPr>
        <w:t xml:space="preserve"> obuhvaća poduzimanje odgovarajućih aktivnosti i mjera radi sprječavanja opasnosti za okoliš, sprječavanja nastanka šteta i onečišćavanja okoliša, smanjenja i uklanjanja nastale štete te vraćanja okoliša u stanje prije nastanka štete i njegova očuvanja u tom stanju</w:t>
      </w:r>
    </w:p>
    <w:p>
      <w:pPr>
        <w:pBdr/>
        <w:pStyle w:val="Normal"/>
        <w:spacing/>
        <w:ind/>
        <w:rPr>
          <w:rFonts w:ascii="Arial" w:eastAsia="Arial" w:hAnsi="Arial" w:cs="Arial"/>
        </w:rPr>
      </w:pPr>
      <w:r>
        <w:rPr>
          <w:rFonts w:ascii="Arial" w:eastAsia="Arial" w:hAnsi="Arial" w:cs="Arial"/>
          <w:i/>
          <w:iCs/>
        </w:rPr>
        <w:t xml:space="preserve">96.</w:t>
      </w:r>
      <w:r>
        <w:rPr>
          <w:rFonts w:ascii="Arial" w:eastAsia="Arial" w:hAnsi="Arial" w:cs="Arial"/>
        </w:rPr>
        <w:t xml:space="preserve"> </w:t>
      </w:r>
      <w:r>
        <w:rPr>
          <w:rFonts w:ascii="Arial" w:eastAsia="Arial" w:hAnsi="Arial" w:cs="Arial"/>
          <w:i/>
          <w:iCs/>
        </w:rPr>
        <w:t xml:space="preserve">zaštićene vrste</w:t>
      </w:r>
      <w:r>
        <w:rPr>
          <w:rFonts w:ascii="Arial" w:eastAsia="Arial" w:hAnsi="Arial" w:cs="Arial"/>
        </w:rPr>
        <w:t xml:space="preserve"> su strogo zaštićene vrste sukladno posebnim propisima kojima se uređuje zaštita prirode</w:t>
      </w:r>
    </w:p>
    <w:p>
      <w:pPr>
        <w:pBdr/>
        <w:pStyle w:val="Normal"/>
        <w:spacing/>
        <w:ind/>
        <w:rPr>
          <w:rFonts w:ascii="Arial" w:eastAsia="Arial" w:hAnsi="Arial" w:cs="Arial"/>
        </w:rPr>
      </w:pPr>
      <w:r>
        <w:rPr>
          <w:rFonts w:ascii="Arial" w:eastAsia="Arial" w:hAnsi="Arial" w:cs="Arial"/>
          <w:i/>
          <w:iCs/>
        </w:rPr>
        <w:t xml:space="preserve">97.</w:t>
      </w:r>
      <w:r>
        <w:rPr>
          <w:rFonts w:ascii="Arial" w:eastAsia="Arial" w:hAnsi="Arial" w:cs="Arial"/>
        </w:rPr>
        <w:t xml:space="preserve"> </w:t>
      </w:r>
      <w:r>
        <w:rPr>
          <w:rFonts w:ascii="Arial" w:eastAsia="Arial" w:hAnsi="Arial" w:cs="Arial"/>
          <w:i/>
          <w:iCs/>
        </w:rPr>
        <w:t xml:space="preserve">značajna promjena</w:t>
      </w:r>
      <w:r>
        <w:rPr>
          <w:rFonts w:ascii="Arial" w:eastAsia="Arial" w:hAnsi="Arial" w:cs="Arial"/>
        </w:rPr>
        <w:t xml:space="preserve"> je promjena u karakteristikama ili funkcioniranju postrojenja, proširenje postrojenja ili uređaja za loženje, postrojenja za spaljivanje otpada ili postrojenja za suspaljivanje otpada, koja može imati značajne negativne učinke na zdravlje ljudi ili na okoliš</w:t>
      </w:r>
    </w:p>
    <w:p>
      <w:pPr>
        <w:pBdr/>
        <w:pStyle w:val="Normal"/>
        <w:spacing/>
        <w:ind/>
        <w:rPr>
          <w:rFonts w:ascii="Arial" w:eastAsia="Arial" w:hAnsi="Arial" w:cs="Arial"/>
        </w:rPr>
      </w:pPr>
      <w:r>
        <w:rPr>
          <w:rFonts w:ascii="Arial" w:eastAsia="Arial" w:hAnsi="Arial" w:cs="Arial"/>
          <w:i/>
          <w:iCs/>
          <w:color w:val="000000"/>
        </w:rPr>
        <w:t xml:space="preserve">98.</w:t>
      </w:r>
      <w:r>
        <w:rPr>
          <w:rFonts w:ascii="Arial" w:eastAsia="Arial" w:hAnsi="Arial" w:cs="Arial"/>
          <w:color w:val="000000"/>
        </w:rPr>
        <w:t xml:space="preserve"> </w:t>
      </w:r>
      <w:r>
        <w:rPr>
          <w:rFonts w:ascii="Arial" w:eastAsia="Arial" w:hAnsi="Arial" w:cs="Arial"/>
          <w:i/>
          <w:iCs/>
          <w:color w:val="000000"/>
        </w:rPr>
        <w:t xml:space="preserve">značajna izmjena u području postrojenja</w:t>
      </w:r>
      <w:r>
        <w:rPr>
          <w:rFonts w:ascii="Arial" w:eastAsia="Arial" w:hAnsi="Arial" w:cs="Arial"/>
          <w:color w:val="000000"/>
        </w:rPr>
        <w:t xml:space="preserve"> je svaka izmjena na području postrojenja, koja može povećati količinu opasnih tvari i/ili izmijeniti prirodu i/ili agregatno stanje opasne tvari ili dovesti do bilo kakve izmjene procesa koji obuhvaćaju opasne tvari ili dovesti do promjene načina rada, a koja bi mogla imati ozbiljne posljedice po opasnost od nastanka velikih nesreća</w:t>
      </w:r>
    </w:p>
    <w:p>
      <w:pPr>
        <w:pBdr/>
        <w:pStyle w:val="Normal"/>
        <w:spacing/>
        <w:ind/>
        <w:rPr>
          <w:rFonts w:ascii="Arial" w:eastAsia="Arial" w:hAnsi="Arial" w:cs="Arial"/>
        </w:rPr>
      </w:pPr>
      <w:r>
        <w:rPr>
          <w:rFonts w:ascii="Arial" w:eastAsia="Arial" w:hAnsi="Arial" w:cs="Arial"/>
          <w:i/>
          <w:color w:val="000000"/>
        </w:rPr>
        <w:t xml:space="preserve">99. zemljište</w:t>
      </w:r>
      <w:r>
        <w:rPr>
          <w:rFonts w:ascii="Arial" w:eastAsia="Arial" w:hAnsi="Arial" w:cs="Arial"/>
          <w:color w:val="000000"/>
        </w:rPr>
        <w:t xml:space="preserve"> je čestica zemljine površine koja nije redovito prekrivena vodnim tijelima.</w:t>
      </w:r>
    </w:p>
    <w:p>
      <w:pPr>
        <w:pBdr/>
        <w:pStyle w:val="Normal"/>
        <w:spacing/>
        <w:ind/>
        <w:rPr>
          <w:rFonts w:ascii="Arial" w:eastAsia="Arial" w:hAnsi="Arial" w:cs="Arial"/>
          <w:color w:val="000000"/>
        </w:rPr>
      </w:pPr>
      <w:r>
        <w:rPr>
          <w:rFonts w:ascii="Arial" w:eastAsia="Arial" w:hAnsi="Arial" w:cs="Arial"/>
          <w:i/>
          <w:iCs/>
        </w:rPr>
        <w:t xml:space="preserve">100.</w:t>
      </w:r>
      <w:r>
        <w:rPr>
          <w:rFonts w:ascii="Arial" w:eastAsia="Arial" w:hAnsi="Arial" w:cs="Arial"/>
        </w:rPr>
        <w:t xml:space="preserve"> </w:t>
      </w:r>
      <w:r>
        <w:rPr>
          <w:rFonts w:ascii="Arial" w:eastAsia="Arial" w:hAnsi="Arial" w:cs="Arial"/>
          <w:i/>
          <w:iCs/>
        </w:rPr>
        <w:t xml:space="preserve">Zavod</w:t>
      </w:r>
      <w:r>
        <w:rPr>
          <w:rFonts w:ascii="Arial" w:eastAsia="Arial" w:hAnsi="Arial" w:cs="Arial"/>
        </w:rPr>
        <w:t xml:space="preserve"> </w:t>
      </w:r>
      <w:r>
        <w:rPr>
          <w:rFonts w:ascii="Arial" w:eastAsia="Arial" w:hAnsi="Arial" w:cs="Arial"/>
          <w:color w:val="000000"/>
        </w:rPr>
        <w:t xml:space="preserve">obavlja stručne i analitičke poslove u vezi sa zaštitom okoliša i prirode.</w:t>
      </w:r>
    </w:p>
    <w:p>
      <w:pPr>
        <w:pBdr/>
        <w:pStyle w:val="Normal"/>
        <w:spacing/>
        <w:ind/>
        <w:rPr>
          <w:rFonts w:ascii="Arial" w:eastAsia="Arial" w:hAnsi="Arial" w:cs="Arial"/>
          <w:color w:val="000000"/>
        </w:rPr>
      </w:pPr>
      <w:r>
        <w:rPr>
          <w:rFonts w:ascii="Arial" w:eastAsia="Arial" w:hAnsi="Arial" w:cs="Arial"/>
        </w:rPr>
        <w:t xml:space="preserve">(2) Ministarstvo je ministarstvo nadležno za zaštitu okoliša, a ministar je ministar nadležan za zaštitu okoliša.</w:t>
      </w:r>
    </w:p>
    <w:p>
      <w:pPr>
        <w:pBdr/>
        <w:pStyle w:val="Normal"/>
        <w:spacing/>
        <w:ind/>
        <w:rPr>
          <w:rFonts w:ascii="Arial" w:eastAsia="Arial" w:hAnsi="Arial" w:cs="Arial"/>
          <w:color w:val="000000"/>
        </w:rPr>
      </w:pPr>
      <w:r>
        <w:rPr>
          <w:rFonts w:ascii="Arial" w:eastAsia="Arial" w:hAnsi="Arial" w:cs="Arial"/>
        </w:rPr>
        <w:t xml:space="preserve">(3) Nadležno upravno tijelo je tijelo županije, Grada Zagreba, odnosno velikog grada, koje, prema nadležnostima propisanim ovim Zakonom, obavlja poslove u području zaštite okoliša.</w:t>
      </w:r>
    </w:p>
    <w:p>
      <w:pPr>
        <w:pBdr/>
        <w:pStyle w:val="Normal"/>
        <w:spacing/>
        <w:ind/>
        <w:rPr>
          <w:rFonts w:ascii="Arial" w:eastAsia="Arial" w:hAnsi="Arial" w:cs="Arial"/>
          <w:color w:val="000000"/>
        </w:rPr>
      </w:pPr>
      <w:r>
        <w:rPr>
          <w:rFonts w:ascii="Arial" w:eastAsia="Arial" w:hAnsi="Arial" w:cs="Arial"/>
        </w:rPr>
        <w:t xml:space="preserve">(4) Tijelo i/ili pravna osoba određena posebnim propisom je tijelo državne uprave i/ili pravna osoba s javnim ovlastima, koje na temelju posebnih propisa svojim aktima te posebnim uvjetima i potvrdama sudjeluju u postupcima: strateške procjene, procjene utjecaja zahvata na okoliš, ocjene o potrebi procjene utjecaja zahvata na okoliš, davanja upute o sadržaju studije o utjecaju zahvata na okoliš te izdavanja okolišne dozvole.</w:t>
      </w:r>
    </w:p>
    <w:p>
      <w:pPr>
        <w:pBdr/>
        <w:pStyle w:val="Normal"/>
        <w:spacing/>
        <w:ind/>
        <w:rPr>
          <w:rFonts w:ascii="Arial" w:eastAsia="Arial" w:hAnsi="Arial" w:cs="Arial"/>
        </w:rPr>
      </w:pPr>
    </w:p>
    <w:p>
      <w:pPr>
        <w:pBdr/>
        <w:pStyle w:val="Heading 2"/>
        <w:spacing/>
        <w:ind/>
        <w:rPr/>
      </w:pPr>
      <w:r>
        <w:rPr/>
        <w:t xml:space="preserve">Rodna neutralnost izraza</w:t>
      </w:r>
    </w:p>
    <w:p>
      <w:pPr>
        <w:pBdr/>
        <w:pStyle w:val="Heading 2"/>
        <w:spacing/>
        <w:ind/>
        <w:rPr/>
      </w:pPr>
      <w:r>
        <w:rPr/>
        <w:t xml:space="preserve">Članak 4.</w:t>
      </w:r>
    </w:p>
    <w:p>
      <w:pPr>
        <w:pBdr/>
        <w:pStyle w:val="Normal"/>
        <w:spacing/>
        <w:ind/>
        <w:rPr>
          <w:rFonts w:ascii="Arial" w:eastAsia="Arial" w:hAnsi="Arial" w:cs="Arial"/>
        </w:rPr>
      </w:pPr>
      <w:r>
        <w:rPr>
          <w:rFonts w:ascii="Arial" w:eastAsia="Arial" w:hAnsi="Arial" w:cs="Arial"/>
        </w:rPr>
        <w:t xml:space="preserve">Izrazi koji se koriste u ovom Zakonu, a imaju rodno značenje, koriste se neutralno i odnose se jednako na muški i ženski rod.</w:t>
      </w:r>
    </w:p>
    <w:p>
      <w:pPr>
        <w:pBdr/>
        <w:pStyle w:val="Normal"/>
        <w:spacing/>
        <w:ind/>
        <w:rPr>
          <w:rFonts w:ascii="Arial" w:eastAsia="Arial" w:hAnsi="Arial" w:cs="Arial"/>
        </w:rPr>
      </w:pPr>
    </w:p>
    <w:p>
      <w:pPr>
        <w:pBdr/>
        <w:pStyle w:val="Heading 2"/>
        <w:spacing/>
        <w:ind/>
        <w:rPr/>
      </w:pPr>
      <w:r>
        <w:rPr/>
        <w:t xml:space="preserve">Odnos prema drugim propisima</w:t>
      </w:r>
    </w:p>
    <w:p>
      <w:pPr>
        <w:pBdr/>
        <w:pStyle w:val="Heading 2"/>
        <w:spacing/>
        <w:ind/>
        <w:rPr/>
      </w:pPr>
      <w:r>
        <w:rPr/>
        <w:t xml:space="preserve">Članak 5.</w:t>
      </w:r>
    </w:p>
    <w:p>
      <w:pPr>
        <w:pBdr/>
        <w:pStyle w:val="Normal"/>
        <w:spacing/>
        <w:ind/>
        <w:rPr>
          <w:rFonts w:ascii="Arial" w:eastAsia="Arial" w:hAnsi="Arial" w:cs="Arial"/>
        </w:rPr>
      </w:pPr>
      <w:r>
        <w:rPr>
          <w:rFonts w:ascii="Arial" w:eastAsia="Arial" w:hAnsi="Arial" w:cs="Arial"/>
        </w:rPr>
        <w:t xml:space="preserve">(1) Na pitanja uređena ovim Zakonom primjenjuju se i posebni propisi kojima se uređuje zaštita pojedinih sastavnica okoliša i zaštita od pojedinih opterećenja, ako ovim Zakonom nije drukčije propisano.</w:t>
      </w:r>
    </w:p>
    <w:p>
      <w:pPr>
        <w:pBdr/>
        <w:pStyle w:val="Normal"/>
        <w:spacing/>
        <w:ind/>
        <w:rPr>
          <w:rFonts w:ascii="Arial" w:eastAsia="Arial" w:hAnsi="Arial" w:cs="Arial"/>
        </w:rPr>
      </w:pPr>
      <w:r>
        <w:rPr>
          <w:rFonts w:ascii="Arial" w:eastAsia="Arial" w:hAnsi="Arial" w:cs="Arial"/>
        </w:rPr>
        <w:t xml:space="preserve">(2) Na pitanja pristupa informacijama i podacima u ostalim postupcima koja nisu uređena ovim Zakonom primjenjuju se odredbe zakona kojim se uređuje pravo na pristup informacijama.</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04" w:id="1"/>
      <w:r>
        <w:rPr>
          <w:rFonts w:ascii="Arial" w:eastAsia="Arial" w:hAnsi="Arial" w:cs="Arial"/>
          <w:szCs w:val="24"/>
        </w:rPr>
        <w:t xml:space="preserve">DIO DRUGI NAČELA I CILJEVI ZAŠTITE OKOLIŠA</w:t>
      </w:r>
      <w:bookmarkEnd w:id="1"/>
    </w:p>
    <w:p>
      <w:pPr>
        <w:pBdr/>
        <w:pStyle w:val="Heading 2"/>
        <w:spacing/>
        <w:ind/>
        <w:rPr/>
      </w:pPr>
      <w:r>
        <w:rPr/>
        <w:t xml:space="preserve">Načelo predostrožnosti i visoke razine zaštite</w:t>
      </w:r>
    </w:p>
    <w:p>
      <w:pPr>
        <w:pBdr/>
        <w:pStyle w:val="Heading 2"/>
        <w:spacing/>
        <w:ind/>
        <w:rPr/>
      </w:pPr>
      <w:r>
        <w:rPr/>
        <w:t xml:space="preserve">Članak 6.</w:t>
      </w:r>
    </w:p>
    <w:p>
      <w:pPr>
        <w:pBdr/>
        <w:pStyle w:val="Normal"/>
        <w:spacing/>
        <w:ind/>
        <w:rPr>
          <w:rFonts w:ascii="Arial" w:eastAsia="Arial" w:hAnsi="Arial" w:cs="Arial"/>
        </w:rPr>
      </w:pPr>
      <w:r>
        <w:rPr>
          <w:rFonts w:ascii="Arial" w:eastAsia="Arial" w:hAnsi="Arial" w:cs="Arial"/>
        </w:rPr>
        <w:t xml:space="preserve">Pri korištenju okoliša i planiranju zahvata u okolišu poduzimaju se preventivne i zaštitne mjere, primjenjuju se najbolje raspoložive tehnike te se osigurava visoka razina zaštite okoliša i zdravlja ljudi, i u slučaju kada rizik od znatne ili nepovratne štete nije u potpunosti znanstveno utvrđen. </w:t>
      </w:r>
    </w:p>
    <w:p>
      <w:pPr>
        <w:pBdr/>
        <w:pStyle w:val="Normal"/>
        <w:spacing/>
        <w:ind/>
        <w:rPr>
          <w:rFonts w:ascii="Arial" w:eastAsia="Arial" w:hAnsi="Arial" w:cs="Arial"/>
        </w:rPr>
      </w:pPr>
    </w:p>
    <w:p>
      <w:pPr>
        <w:pBdr/>
        <w:pStyle w:val="Heading 2"/>
        <w:spacing/>
        <w:ind/>
        <w:rPr/>
      </w:pPr>
      <w:r>
        <w:rPr/>
        <w:t xml:space="preserve">Načelo suradnje</w:t>
      </w:r>
    </w:p>
    <w:p>
      <w:pPr>
        <w:pBdr/>
        <w:pStyle w:val="Heading 2"/>
        <w:spacing/>
        <w:ind/>
        <w:rPr/>
      </w:pPr>
      <w:r>
        <w:rPr/>
        <w:t xml:space="preserve">Članak 7.</w:t>
      </w:r>
    </w:p>
    <w:p>
      <w:pPr>
        <w:pBdr/>
        <w:pStyle w:val="Normal"/>
        <w:spacing/>
        <w:ind/>
        <w:rPr>
          <w:rFonts w:ascii="Arial" w:eastAsia="Arial" w:hAnsi="Arial" w:cs="Arial"/>
        </w:rPr>
      </w:pPr>
      <w:r>
        <w:rPr>
          <w:rFonts w:ascii="Arial" w:eastAsia="Arial" w:hAnsi="Arial" w:cs="Arial"/>
        </w:rPr>
        <w:t xml:space="preserve">Tijela javne vlasti, jedinice lokalne i područne (regionalne) samouprave, gospodarski subjekti i javnost dužni su međusobno surađivati i usklađeno djelovati radi osiguranja učinkovite zaštite okoliša.</w:t>
      </w:r>
    </w:p>
    <w:p>
      <w:pPr>
        <w:pBdr/>
        <w:pStyle w:val="Normal"/>
        <w:spacing/>
        <w:ind/>
        <w:rPr>
          <w:rFonts w:ascii="Arial" w:eastAsia="Arial" w:hAnsi="Arial" w:cs="Arial"/>
        </w:rPr>
      </w:pPr>
    </w:p>
    <w:p>
      <w:pPr>
        <w:pBdr/>
        <w:pStyle w:val="Heading 2"/>
        <w:spacing/>
        <w:ind/>
        <w:rPr/>
      </w:pPr>
      <w:r>
        <w:rPr/>
        <w:t xml:space="preserve">Načelo preventivnog djelovanja</w:t>
      </w:r>
    </w:p>
    <w:p>
      <w:pPr>
        <w:pBdr/>
        <w:pStyle w:val="Heading 2"/>
        <w:spacing/>
        <w:ind/>
        <w:rPr/>
      </w:pPr>
      <w:r>
        <w:rPr/>
        <w:t xml:space="preserve">Članak 8.</w:t>
      </w:r>
    </w:p>
    <w:p>
      <w:pPr>
        <w:pBdr/>
        <w:pStyle w:val="Normal"/>
        <w:spacing/>
        <w:ind/>
        <w:rPr>
          <w:rFonts w:ascii="Arial" w:eastAsia="Arial" w:hAnsi="Arial" w:cs="Arial"/>
        </w:rPr>
      </w:pPr>
      <w:r>
        <w:rPr>
          <w:rFonts w:ascii="Arial" w:eastAsia="Arial" w:hAnsi="Arial" w:cs="Arial"/>
        </w:rPr>
        <w:t xml:space="preserve">Radi sprječavanja onečišćenja i nastanka štete u okolišu, mjere zaštite poduzimaju se pravodobno, osobito u fazi planiranja i provedbe zahvata, uz primjenu propisanih standarda i NRT-</w:t>
      </w:r>
      <w:r>
        <w:rPr>
          <w:rFonts w:ascii="Arial" w:eastAsia="Arial" w:hAnsi="Arial" w:cs="Arial"/>
        </w:rPr>
        <w:t xml:space="preserve">a.</w:t>
      </w:r>
    </w:p>
    <w:p>
      <w:pPr>
        <w:pBdr/>
        <w:pStyle w:val="Normal"/>
        <w:spacing/>
        <w:ind/>
        <w:rPr>
          <w:rFonts w:ascii="Arial" w:eastAsia="Arial" w:hAnsi="Arial" w:cs="Arial"/>
        </w:rPr>
      </w:pPr>
    </w:p>
    <w:p>
      <w:pPr>
        <w:pBdr/>
        <w:pStyle w:val="Heading 2"/>
        <w:spacing/>
        <w:ind/>
        <w:rPr/>
      </w:pPr>
      <w:r>
        <w:rPr/>
        <w:t xml:space="preserve">Načelo cjelovitog pristupa</w:t>
      </w:r>
    </w:p>
    <w:p>
      <w:pPr>
        <w:pBdr/>
        <w:pStyle w:val="Heading 2"/>
        <w:spacing/>
        <w:ind/>
        <w:rPr/>
      </w:pPr>
      <w:r>
        <w:rPr/>
        <w:t xml:space="preserve">Članak 9.</w:t>
      </w:r>
    </w:p>
    <w:p>
      <w:pPr>
        <w:pBdr/>
        <w:pStyle w:val="Normal"/>
        <w:spacing/>
        <w:ind/>
        <w:rPr>
          <w:rFonts w:ascii="Arial" w:eastAsia="Arial" w:hAnsi="Arial" w:cs="Arial"/>
        </w:rPr>
      </w:pPr>
      <w:r>
        <w:rPr>
          <w:rFonts w:ascii="Arial" w:eastAsia="Arial" w:hAnsi="Arial" w:cs="Arial"/>
        </w:rPr>
        <w:t xml:space="preserve">Zahtjevi zaštite okoliša integriraju se u izradu i provedbu politika, strategija, planova, programa i zahvata radi postizanja održivog razvoja.</w:t>
      </w:r>
    </w:p>
    <w:p>
      <w:pPr>
        <w:pBdr/>
        <w:pStyle w:val="Normal"/>
        <w:spacing/>
        <w:ind/>
        <w:rPr>
          <w:rFonts w:ascii="Arial" w:eastAsia="Arial" w:hAnsi="Arial" w:cs="Arial"/>
          <w:i/>
          <w:iCs/>
        </w:rPr>
      </w:pPr>
    </w:p>
    <w:p>
      <w:pPr>
        <w:pBdr/>
        <w:pStyle w:val="Heading 2"/>
        <w:spacing/>
        <w:ind/>
        <w:rPr/>
      </w:pPr>
      <w:r>
        <w:rPr/>
        <w:t xml:space="preserve">Načelo onečišćivač plaća</w:t>
      </w:r>
    </w:p>
    <w:p>
      <w:pPr>
        <w:pBdr/>
        <w:pStyle w:val="Heading 2"/>
        <w:spacing/>
        <w:ind/>
        <w:rPr/>
      </w:pPr>
      <w:r>
        <w:rPr/>
        <w:t xml:space="preserve">Članak 10.</w:t>
      </w:r>
    </w:p>
    <w:p>
      <w:pPr>
        <w:pBdr/>
        <w:pStyle w:val="Normal"/>
        <w:spacing/>
        <w:ind/>
        <w:rPr>
          <w:rFonts w:ascii="Arial" w:eastAsia="Arial" w:hAnsi="Arial" w:cs="Arial"/>
        </w:rPr>
      </w:pPr>
      <w:r>
        <w:rPr>
          <w:rFonts w:ascii="Arial" w:eastAsia="Arial" w:hAnsi="Arial" w:cs="Arial"/>
        </w:rPr>
        <w:t xml:space="preserve">Onečišćivač snosi troškove mjera sprječavanja, nadzora i uklanjanja onečišćenja te troškove sanacije štete u okolišu koju je prouzročio svojim djelovanjem ili propuštanjem.</w:t>
      </w:r>
    </w:p>
    <w:p>
      <w:pPr>
        <w:pBdr/>
        <w:pStyle w:val="Normal"/>
        <w:spacing/>
        <w:ind/>
        <w:rPr>
          <w:rFonts w:ascii="Arial" w:eastAsia="Arial" w:hAnsi="Arial" w:cs="Arial"/>
        </w:rPr>
      </w:pPr>
    </w:p>
    <w:p>
      <w:pPr>
        <w:pBdr/>
        <w:pStyle w:val="Heading 2"/>
        <w:spacing/>
        <w:ind/>
        <w:rPr/>
      </w:pPr>
      <w:r>
        <w:rPr/>
        <w:t xml:space="preserve">Načelo pristupa informacijama i pravosuđu</w:t>
      </w:r>
    </w:p>
    <w:p>
      <w:pPr>
        <w:pBdr/>
        <w:pStyle w:val="Heading 2"/>
        <w:spacing/>
        <w:ind/>
        <w:rPr/>
      </w:pPr>
      <w:r>
        <w:rPr/>
        <w:t xml:space="preserve">Članak 11.</w:t>
      </w:r>
    </w:p>
    <w:p>
      <w:pPr>
        <w:pBdr/>
        <w:pStyle w:val="Normal"/>
        <w:spacing/>
        <w:ind/>
        <w:rPr>
          <w:rFonts w:ascii="Arial" w:eastAsia="Arial" w:hAnsi="Arial" w:cs="Arial"/>
        </w:rPr>
      </w:pPr>
      <w:r>
        <w:rPr>
          <w:rFonts w:ascii="Arial" w:eastAsia="Arial" w:hAnsi="Arial" w:cs="Arial"/>
        </w:rPr>
        <w:t xml:space="preserve">Javnosti se osigurava pravo na pristup informacijama o okolišu, sudjelovanje u postupcima donošenja odluka te pristup pravnoj zaštiti u pitanjima okoliša.</w:t>
      </w:r>
    </w:p>
    <w:p>
      <w:pPr>
        <w:pBdr/>
        <w:pStyle w:val="Normal"/>
        <w:spacing/>
        <w:ind/>
        <w:rPr>
          <w:rFonts w:ascii="Arial" w:eastAsia="Arial" w:hAnsi="Arial" w:cs="Arial"/>
        </w:rPr>
      </w:pPr>
    </w:p>
    <w:p>
      <w:pPr>
        <w:pBdr/>
        <w:pStyle w:val="Heading 2"/>
        <w:spacing/>
        <w:ind/>
        <w:rPr/>
      </w:pPr>
      <w:r>
        <w:rPr/>
        <w:t xml:space="preserve">Načelo integriranog sprječavanja i kontrole onečišćenja</w:t>
      </w:r>
    </w:p>
    <w:p>
      <w:pPr>
        <w:pBdr/>
        <w:pStyle w:val="Heading 2"/>
        <w:spacing/>
        <w:ind/>
        <w:rPr/>
      </w:pPr>
      <w:r>
        <w:rPr/>
        <w:t xml:space="preserve">Članak 12.</w:t>
      </w:r>
    </w:p>
    <w:p>
      <w:pPr>
        <w:pBdr/>
        <w:pStyle w:val="Normal"/>
        <w:spacing/>
        <w:ind/>
        <w:rPr>
          <w:rFonts w:ascii="Arial" w:eastAsia="Arial" w:hAnsi="Arial" w:cs="Arial"/>
        </w:rPr>
      </w:pPr>
      <w:r>
        <w:rPr>
          <w:rFonts w:ascii="Arial" w:eastAsia="Arial" w:hAnsi="Arial" w:cs="Arial"/>
        </w:rPr>
        <w:t xml:space="preserve">Radi postizanja visoke razine zaštite okoliša u cjelini, onečišćenje se sprječava na samom izvoru nastanka emisija ili smanjuje na najmanju moguću mjeru cjelovitim sagledavanjem emisija u okoliš te primjenom NRT-</w:t>
      </w:r>
      <w:r>
        <w:rPr>
          <w:rFonts w:ascii="Arial" w:eastAsia="Arial" w:hAnsi="Arial" w:cs="Arial"/>
        </w:rPr>
        <w:t xml:space="preserve">a kako bi se spriječilo prenošenje onečišćenja iz jedne sastavnice okoliša u drugu.</w:t>
      </w:r>
    </w:p>
    <w:p>
      <w:pPr>
        <w:pBdr/>
        <w:pStyle w:val="Normal"/>
        <w:spacing/>
        <w:ind/>
        <w:rPr>
          <w:rFonts w:ascii="Arial" w:eastAsia="Arial" w:hAnsi="Arial" w:cs="Arial"/>
        </w:rPr>
      </w:pPr>
    </w:p>
    <w:p>
      <w:pPr>
        <w:pBdr/>
        <w:pStyle w:val="Heading 2"/>
        <w:spacing/>
        <w:ind/>
        <w:rPr/>
      </w:pPr>
      <w:r>
        <w:rPr/>
        <w:t xml:space="preserve">Ciljevi zaštite okoliša</w:t>
      </w:r>
    </w:p>
    <w:p>
      <w:pPr>
        <w:pBdr/>
        <w:pStyle w:val="Heading 2"/>
        <w:spacing/>
        <w:ind/>
        <w:rPr/>
      </w:pPr>
      <w:r>
        <w:rPr/>
        <w:t xml:space="preserve">Članak 13.</w:t>
      </w:r>
    </w:p>
    <w:p>
      <w:pPr>
        <w:pBdr/>
        <w:pStyle w:val="Normal"/>
        <w:spacing/>
        <w:ind/>
        <w:rPr>
          <w:rFonts w:ascii="Arial" w:eastAsia="Arial" w:hAnsi="Arial" w:cs="Arial"/>
        </w:rPr>
      </w:pPr>
      <w:r>
        <w:rPr>
          <w:rFonts w:ascii="Arial" w:eastAsia="Arial" w:hAnsi="Arial" w:cs="Arial"/>
        </w:rPr>
        <w:t xml:space="preserve">(1) Ciljevi zaštite okoliša u svrhu održivog razvoja jesu:</w:t>
      </w:r>
    </w:p>
    <w:p>
      <w:pPr>
        <w:pBdr/>
        <w:pStyle w:val="Normal"/>
        <w:spacing/>
        <w:ind/>
        <w:rPr>
          <w:rFonts w:ascii="Arial" w:eastAsia="Arial" w:hAnsi="Arial" w:cs="Arial"/>
        </w:rPr>
      </w:pPr>
      <w:r>
        <w:rPr>
          <w:rFonts w:ascii="Arial" w:eastAsia="Arial" w:hAnsi="Arial" w:cs="Arial"/>
        </w:rPr>
        <w:t xml:space="preserve">- zaštita života i zdravlja ljudi</w:t>
      </w:r>
    </w:p>
    <w:p>
      <w:pPr>
        <w:pBdr/>
        <w:pStyle w:val="Normal"/>
        <w:spacing/>
        <w:ind/>
        <w:rPr>
          <w:rFonts w:ascii="Arial" w:eastAsia="Arial" w:hAnsi="Arial" w:cs="Arial"/>
        </w:rPr>
      </w:pPr>
      <w:r>
        <w:rPr>
          <w:rFonts w:ascii="Arial" w:eastAsia="Arial" w:hAnsi="Arial" w:cs="Arial"/>
        </w:rPr>
        <w:t xml:space="preserve">- osiguranje zdravog okoliša</w:t>
      </w:r>
    </w:p>
    <w:p>
      <w:pPr>
        <w:pBdr/>
        <w:pStyle w:val="Normal"/>
        <w:spacing/>
        <w:ind/>
        <w:rPr>
          <w:rFonts w:ascii="Arial" w:eastAsia="Arial" w:hAnsi="Arial" w:cs="Arial"/>
        </w:rPr>
      </w:pPr>
      <w:r>
        <w:rPr>
          <w:rFonts w:ascii="Arial" w:eastAsia="Arial" w:hAnsi="Arial" w:cs="Arial"/>
        </w:rPr>
        <w:t xml:space="preserve">- očuvanje bioraznolikosti i georaznolikosti</w:t>
      </w:r>
    </w:p>
    <w:p>
      <w:pPr>
        <w:pBdr/>
        <w:pStyle w:val="Normal"/>
        <w:spacing/>
        <w:ind/>
        <w:rPr>
          <w:rFonts w:ascii="Arial" w:eastAsia="Arial" w:hAnsi="Arial" w:cs="Arial"/>
        </w:rPr>
      </w:pPr>
      <w:r>
        <w:rPr>
          <w:rFonts w:ascii="Arial" w:eastAsia="Arial" w:hAnsi="Arial" w:cs="Arial"/>
        </w:rPr>
        <w:t xml:space="preserve">- očuvanje ekološke stabilnosti</w:t>
      </w:r>
    </w:p>
    <w:p>
      <w:pPr>
        <w:pBdr/>
        <w:pStyle w:val="Normal"/>
        <w:spacing/>
        <w:ind/>
        <w:rPr>
          <w:rFonts w:ascii="Arial" w:eastAsia="Arial" w:hAnsi="Arial" w:cs="Arial"/>
        </w:rPr>
      </w:pPr>
      <w:r>
        <w:rPr>
          <w:rFonts w:ascii="Arial" w:eastAsia="Arial" w:hAnsi="Arial" w:cs="Arial"/>
        </w:rPr>
        <w:t xml:space="preserve">- zaštita i poboljšanje stanja sastavnica okoliša</w:t>
      </w:r>
    </w:p>
    <w:p>
      <w:pPr>
        <w:pBdr/>
        <w:pStyle w:val="Normal"/>
        <w:spacing/>
        <w:ind/>
        <w:rPr>
          <w:rFonts w:ascii="Arial" w:eastAsia="Arial" w:hAnsi="Arial" w:cs="Arial"/>
        </w:rPr>
      </w:pPr>
      <w:r>
        <w:rPr>
          <w:rFonts w:ascii="Arial" w:eastAsia="Arial" w:hAnsi="Arial" w:cs="Arial"/>
        </w:rPr>
        <w:t xml:space="preserve">- zaštita ozonskog omotača</w:t>
      </w:r>
    </w:p>
    <w:p>
      <w:pPr>
        <w:pBdr/>
        <w:pStyle w:val="Normal"/>
        <w:spacing/>
        <w:ind/>
        <w:rPr>
          <w:rFonts w:ascii="Arial" w:eastAsia="Arial" w:hAnsi="Arial" w:cs="Arial"/>
        </w:rPr>
      </w:pPr>
      <w:r>
        <w:rPr>
          <w:rFonts w:ascii="Arial" w:eastAsia="Arial" w:hAnsi="Arial" w:cs="Arial"/>
        </w:rPr>
        <w:t xml:space="preserve">- ublažavanje i prilagodba klimatskim promjenama</w:t>
      </w:r>
    </w:p>
    <w:p>
      <w:pPr>
        <w:pBdr/>
        <w:pStyle w:val="Normal"/>
        <w:spacing/>
        <w:ind/>
        <w:rPr>
          <w:rFonts w:ascii="Arial" w:eastAsia="Arial" w:hAnsi="Arial" w:cs="Arial"/>
        </w:rPr>
      </w:pPr>
      <w:r>
        <w:rPr>
          <w:rFonts w:ascii="Arial" w:eastAsia="Arial" w:hAnsi="Arial" w:cs="Arial"/>
        </w:rPr>
        <w:t xml:space="preserve">- zaštita i obnova krajobraza</w:t>
      </w:r>
    </w:p>
    <w:p>
      <w:pPr>
        <w:pBdr/>
        <w:pStyle w:val="Normal"/>
        <w:spacing/>
        <w:ind/>
        <w:rPr>
          <w:rFonts w:ascii="Arial" w:eastAsia="Arial" w:hAnsi="Arial" w:cs="Arial"/>
        </w:rPr>
      </w:pPr>
      <w:r>
        <w:rPr>
          <w:rFonts w:ascii="Arial" w:eastAsia="Arial" w:hAnsi="Arial" w:cs="Arial"/>
        </w:rPr>
        <w:t xml:space="preserve">- sprječavanje i smanjenje onečišćenja</w:t>
      </w:r>
    </w:p>
    <w:p>
      <w:pPr>
        <w:pBdr/>
        <w:pStyle w:val="Normal"/>
        <w:spacing/>
        <w:ind/>
        <w:rPr>
          <w:rFonts w:ascii="Arial" w:eastAsia="Arial" w:hAnsi="Arial" w:cs="Arial"/>
        </w:rPr>
      </w:pPr>
      <w:r>
        <w:rPr>
          <w:rFonts w:ascii="Arial" w:eastAsia="Arial" w:hAnsi="Arial" w:cs="Arial"/>
        </w:rPr>
        <w:t xml:space="preserve">- sprječavanje velikih nesreća s opasnim tvarima</w:t>
      </w:r>
    </w:p>
    <w:p>
      <w:pPr>
        <w:pBdr/>
        <w:pStyle w:val="Normal"/>
        <w:spacing/>
        <w:ind/>
        <w:rPr>
          <w:rFonts w:ascii="Arial" w:eastAsia="Arial" w:hAnsi="Arial" w:cs="Arial"/>
        </w:rPr>
      </w:pPr>
      <w:r>
        <w:rPr>
          <w:rFonts w:ascii="Arial" w:eastAsia="Arial" w:hAnsi="Arial" w:cs="Arial"/>
        </w:rPr>
        <w:t xml:space="preserve">- racionalno korištenje energije i poticanje obnovljivih izvora</w:t>
      </w:r>
    </w:p>
    <w:p>
      <w:pPr>
        <w:pBdr/>
        <w:pStyle w:val="Normal"/>
        <w:spacing/>
        <w:ind/>
        <w:rPr>
          <w:rFonts w:ascii="Arial" w:eastAsia="Arial" w:hAnsi="Arial" w:cs="Arial"/>
        </w:rPr>
      </w:pPr>
      <w:r>
        <w:rPr>
          <w:rFonts w:ascii="Arial" w:eastAsia="Arial" w:hAnsi="Arial" w:cs="Arial"/>
        </w:rPr>
        <w:t xml:space="preserve">- uklanjanje posljedica onečišćenja</w:t>
      </w:r>
    </w:p>
    <w:p>
      <w:pPr>
        <w:pBdr/>
        <w:pStyle w:val="Normal"/>
        <w:spacing/>
        <w:ind/>
        <w:rPr>
          <w:rFonts w:ascii="Arial" w:eastAsia="Arial" w:hAnsi="Arial" w:cs="Arial"/>
        </w:rPr>
      </w:pPr>
      <w:r>
        <w:rPr>
          <w:rFonts w:ascii="Arial" w:eastAsia="Arial" w:hAnsi="Arial" w:cs="Arial"/>
        </w:rPr>
        <w:t xml:space="preserve">- obnova narušene prirodne ravnoteže</w:t>
      </w:r>
    </w:p>
    <w:p>
      <w:pPr>
        <w:pBdr/>
        <w:pStyle w:val="Normal"/>
        <w:spacing/>
        <w:ind/>
        <w:rPr>
          <w:rFonts w:ascii="Arial" w:eastAsia="Arial" w:hAnsi="Arial" w:cs="Arial"/>
        </w:rPr>
      </w:pPr>
      <w:r>
        <w:rPr>
          <w:rFonts w:ascii="Arial" w:eastAsia="Arial" w:hAnsi="Arial" w:cs="Arial"/>
        </w:rPr>
        <w:t xml:space="preserve">- održiva proizvodnja i potrošnja</w:t>
      </w:r>
    </w:p>
    <w:p>
      <w:pPr>
        <w:pBdr/>
        <w:pStyle w:val="Normal"/>
        <w:spacing/>
        <w:ind/>
        <w:rPr>
          <w:rFonts w:ascii="Arial" w:eastAsia="Arial" w:hAnsi="Arial" w:cs="Arial"/>
        </w:rPr>
      </w:pPr>
      <w:r>
        <w:rPr>
          <w:rFonts w:ascii="Arial" w:eastAsia="Arial" w:hAnsi="Arial" w:cs="Arial"/>
        </w:rPr>
        <w:t xml:space="preserve">- zamjena opasnih tvari manje štetnima</w:t>
      </w:r>
    </w:p>
    <w:p>
      <w:pPr>
        <w:pBdr/>
        <w:pStyle w:val="Normal"/>
        <w:spacing/>
        <w:ind/>
        <w:rPr>
          <w:rFonts w:ascii="Arial" w:eastAsia="Arial" w:hAnsi="Arial" w:cs="Arial"/>
        </w:rPr>
      </w:pPr>
      <w:r>
        <w:rPr>
          <w:rFonts w:ascii="Arial" w:eastAsia="Arial" w:hAnsi="Arial" w:cs="Arial"/>
        </w:rPr>
        <w:t xml:space="preserve">- održivo korištenje prirodnih dobara</w:t>
      </w:r>
    </w:p>
    <w:p>
      <w:pPr>
        <w:pBdr/>
        <w:pStyle w:val="Normal"/>
        <w:spacing/>
        <w:ind/>
        <w:rPr>
          <w:rFonts w:ascii="Arial" w:eastAsia="Arial" w:hAnsi="Arial" w:cs="Arial"/>
        </w:rPr>
      </w:pPr>
      <w:r>
        <w:rPr>
          <w:rFonts w:ascii="Arial" w:eastAsia="Arial" w:hAnsi="Arial" w:cs="Arial"/>
        </w:rPr>
        <w:t xml:space="preserve">- unaprjeđenje kvalitete okoliša.</w:t>
      </w:r>
    </w:p>
    <w:p>
      <w:pPr>
        <w:pBdr/>
        <w:pStyle w:val="Normal"/>
        <w:spacing/>
        <w:ind/>
        <w:rPr>
          <w:rFonts w:ascii="Arial" w:eastAsia="Arial" w:hAnsi="Arial" w:cs="Arial"/>
        </w:rPr>
      </w:pPr>
      <w:r>
        <w:rPr>
          <w:rFonts w:ascii="Arial" w:eastAsia="Arial" w:hAnsi="Arial" w:cs="Arial"/>
        </w:rPr>
        <w:t xml:space="preserve">(2) Ciljevi iz stavka 1. ovoga članka ostvaruju se primjenom načela zaštite okoliša, instrumenata zaštite okoliša te drugim mjerama utvrđenima ovim Zakonom i propisima kojima se uređuje zaštita okoliša i srodna područja.</w:t>
      </w:r>
    </w:p>
    <w:p>
      <w:pPr>
        <w:pBdr/>
        <w:pStyle w:val="Normal"/>
        <w:spacing/>
        <w:ind/>
        <w:rPr>
          <w:rFonts w:ascii="Arial" w:eastAsia="Arial" w:hAnsi="Arial" w:cs="Arial"/>
        </w:rPr>
      </w:pPr>
    </w:p>
    <w:p>
      <w:pPr>
        <w:pBdr/>
        <w:pStyle w:val="Heading 2"/>
        <w:spacing/>
        <w:ind/>
        <w:rPr/>
      </w:pPr>
      <w:r>
        <w:rPr/>
        <w:t xml:space="preserve">Zaštita sastavnica okoliša i opterećenja</w:t>
      </w:r>
    </w:p>
    <w:p>
      <w:pPr>
        <w:pBdr/>
        <w:pStyle w:val="Heading 2"/>
        <w:spacing/>
        <w:ind/>
        <w:rPr/>
      </w:pPr>
      <w:r>
        <w:rPr/>
        <w:t xml:space="preserve">Članak 14.</w:t>
      </w:r>
    </w:p>
    <w:p>
      <w:pPr>
        <w:pBdr/>
        <w:pStyle w:val="Normal"/>
        <w:spacing/>
        <w:ind/>
        <w:rPr>
          <w:rFonts w:ascii="Arial" w:eastAsia="Arial" w:hAnsi="Arial" w:cs="Arial"/>
        </w:rPr>
      </w:pPr>
      <w:r>
        <w:rPr>
          <w:rFonts w:ascii="Arial" w:eastAsia="Arial" w:hAnsi="Arial" w:cs="Arial"/>
        </w:rPr>
        <w:t xml:space="preserve">(1) Sastavnice okoliša štite se od onečišćenja pojedinačno i u njihovoj međusobnoj povezanosti, uzimajući u obzir njihove interakcije te kumulativne i sinergijske učinke.</w:t>
      </w:r>
    </w:p>
    <w:p>
      <w:pPr>
        <w:pBdr/>
        <w:pStyle w:val="Normal"/>
        <w:spacing/>
        <w:ind/>
        <w:rPr>
          <w:rFonts w:ascii="Arial" w:eastAsia="Arial" w:hAnsi="Arial" w:cs="Arial"/>
        </w:rPr>
      </w:pPr>
      <w:r>
        <w:rPr>
          <w:rFonts w:ascii="Arial" w:eastAsia="Arial" w:hAnsi="Arial" w:cs="Arial"/>
        </w:rPr>
        <w:t xml:space="preserve">(2) Utjecaji opterećenja na okoliš procjenjuju se i sprječavaju uzimajući u obzir pojedinačne, kumulativne i dugoročne učinke.</w:t>
      </w:r>
    </w:p>
    <w:p>
      <w:pPr>
        <w:pBdr/>
        <w:pStyle w:val="Normal"/>
        <w:spacing/>
        <w:ind/>
        <w:rPr>
          <w:rFonts w:ascii="Arial" w:eastAsia="Arial" w:hAnsi="Arial" w:cs="Arial"/>
        </w:rPr>
      </w:pPr>
      <w:r>
        <w:rPr>
          <w:rFonts w:ascii="Arial" w:eastAsia="Arial" w:hAnsi="Arial" w:cs="Arial"/>
        </w:rPr>
        <w:t xml:space="preserve">(3) Zaštita sastavnica okoliša i opterećenja uređuje se ovim Zakonom te posebnim propisima iz područja voda, zraka, šuma, zaštite prirode, genetski modificiranih organizama, buke, ionizirajućeg zračenja i nuklearne sigurnosti, kemikalija, svjetlosnog onečišćenja, klimatskih promjena i gospodarenja otpadom.</w:t>
      </w:r>
    </w:p>
    <w:p>
      <w:pPr>
        <w:pBdr/>
        <w:pStyle w:val="Normal"/>
        <w:spacing/>
        <w:ind/>
        <w:rPr>
          <w:rFonts w:ascii="Arial" w:eastAsia="Arial" w:hAnsi="Arial" w:cs="Arial"/>
        </w:rPr>
      </w:pPr>
      <w:r>
        <w:rPr>
          <w:rFonts w:ascii="Arial" w:eastAsia="Arial" w:hAnsi="Arial" w:cs="Arial"/>
        </w:rPr>
        <w:t xml:space="preserve">(4) Zaštita tla obuhvaća očuvanje njegovih funkcija, sprječavanje degradacije, praćenje stanja te sanaciju i obnovu onečišćenih i oštećenih područja, pri čemu se onečišćenje ili oštećenje tla smatra štetnim utjecajem na okoliš, a granične vrijednosti kakvoće tla utvrđuju se posebnim propisima iz područja zaštite tla.</w:t>
      </w:r>
    </w:p>
    <w:p>
      <w:pPr>
        <w:pBdr/>
        <w:pStyle w:val="Normal"/>
        <w:spacing/>
        <w:ind/>
        <w:rPr>
          <w:rFonts w:ascii="Arial" w:eastAsia="Arial" w:hAnsi="Arial" w:cs="Arial"/>
        </w:rPr>
      </w:pPr>
      <w:r>
        <w:rPr>
          <w:rFonts w:ascii="Arial" w:eastAsia="Arial" w:hAnsi="Arial" w:cs="Arial"/>
        </w:rPr>
        <w:t xml:space="preserve">(5) Zaštita geološke podloge obuhvaća održivo korištenje mineralnih sirovina, očuvanje georaznolikosti te zaštitu geološki vrijednih pojava, objekata i struktura.</w:t>
      </w:r>
    </w:p>
    <w:p>
      <w:pPr>
        <w:pBdr/>
        <w:pStyle w:val="Normal"/>
        <w:spacing/>
        <w:ind/>
        <w:rPr>
          <w:rFonts w:ascii="Arial" w:eastAsia="Arial" w:hAnsi="Arial" w:cs="Arial"/>
        </w:rPr>
      </w:pPr>
      <w:r>
        <w:rPr>
          <w:rFonts w:ascii="Arial" w:eastAsia="Arial" w:hAnsi="Arial" w:cs="Arial"/>
        </w:rPr>
        <w:t xml:space="preserve">(6) Zaštita mora i obalnog područja temelji se na ekosustavnom pristupu te obuhvaća upravljanje morskim vodama i obalnim prostorom kao jedinstvenim ekološkim sustavom, sustavno praćenje i promatranje morskih i obalnih ekosustava, sprječavanje, smanjenje i/ili uklanjanje izvora opterećenja i onečišćenja u morskom i obalnom okolišu te zaštitu, očuvanje, unaprjeđenje i obnovu morskih i obalnih ekosustava, resursa i ekološki značajnih područja. </w:t>
      </w:r>
    </w:p>
    <w:p>
      <w:pPr>
        <w:pBdr/>
        <w:pStyle w:val="Normal"/>
        <w:spacing/>
        <w:ind/>
        <w:rPr>
          <w:rFonts w:ascii="Arial" w:eastAsia="Arial" w:hAnsi="Arial" w:cs="Arial"/>
        </w:rPr>
      </w:pPr>
      <w:r>
        <w:rPr>
          <w:rFonts w:ascii="Arial" w:eastAsia="Arial" w:hAnsi="Arial" w:cs="Arial"/>
        </w:rPr>
        <w:t xml:space="preserve">(7)  Zaštita mora obuhvaća održivo korištenje prirodnih resursa te sprječavanje onečišćenja iz kopnenih, morskih i zračnih izvora, uključujući sprječavanje štetnih zahvata s negativnim posljedicama na morski ekosustav imajući u vidu njihovo kumulativno i sinergijsko djelovanje, sprječavanje onečišćenja mora uslijed pomorskih aktivnosti uključujući i onečišćenje prouzročeno odbacivanjem s pomorskih objekata ili iz zrakoplova sa svrhom potapanja ili spaljivanjem na moru, sprječavanje prekograničnog onečišćenja, kao i sprječavanje i ograničavanje onečišćenja uslijed velikih nesreća i izvanrednih događaja, kao i sanaciju njihovih posljedica.</w:t>
      </w:r>
    </w:p>
    <w:p>
      <w:pPr>
        <w:pBdr/>
        <w:pStyle w:val="Normal"/>
        <w:spacing/>
        <w:ind/>
        <w:rPr>
          <w:rFonts w:ascii="Arial" w:eastAsia="Arial" w:hAnsi="Arial" w:cs="Arial"/>
        </w:rPr>
      </w:pPr>
      <w:r>
        <w:rPr>
          <w:rFonts w:ascii="Arial" w:eastAsia="Arial" w:hAnsi="Arial" w:cs="Arial"/>
        </w:rPr>
        <w:t xml:space="preserve">(8) Zaštita i upravljanje obalnim područjem obuhvaća očuvanje obalnih ekosustava te integrirano upravljanje koje osigurava usklađeno djelovanje nadležnih tijela i sektora.</w:t>
      </w:r>
    </w:p>
    <w:p>
      <w:pPr>
        <w:pBdr/>
        <w:pStyle w:val="Normal"/>
        <w:spacing/>
        <w:ind/>
        <w:rPr>
          <w:rFonts w:ascii="Arial" w:eastAsia="Arial" w:hAnsi="Arial" w:cs="Arial"/>
        </w:rPr>
      </w:pPr>
      <w:r>
        <w:rPr>
          <w:rFonts w:ascii="Arial" w:eastAsia="Arial" w:hAnsi="Arial" w:cs="Arial"/>
        </w:rPr>
        <w:t xml:space="preserve">(9) Radi postizanja i očuvanja dobrog stanja morskog okoliša i obalnog područja te postizanja ciljeva upravljanja morskim okolišem i obalnim područjem  donose se dokumenti zaštite okoliša u skladu s ovim Zakonom. </w:t>
      </w:r>
    </w:p>
    <w:p>
      <w:pPr>
        <w:pBdr/>
        <w:pStyle w:val="Normal"/>
        <w:spacing/>
        <w:ind/>
        <w:rPr>
          <w:rFonts w:ascii="Arial" w:eastAsia="Arial" w:hAnsi="Arial" w:cs="Arial"/>
        </w:rPr>
      </w:pPr>
      <w:r>
        <w:rPr>
          <w:rFonts w:ascii="Arial" w:eastAsia="Arial" w:hAnsi="Arial" w:cs="Arial"/>
        </w:rPr>
        <w:t xml:space="preserve">(10) Kriterije za procjenu onečišćenja tla za potrebe provedbe ovoga Zakona pobliže uređuje Vlada uredbom.</w:t>
      </w:r>
    </w:p>
    <w:p>
      <w:pPr>
        <w:pBdr/>
        <w:pStyle w:val="Normal"/>
        <w:spacing/>
        <w:ind/>
        <w:rPr>
          <w:rFonts w:ascii="Arial" w:eastAsia="Arial" w:hAnsi="Arial" w:cs="Arial"/>
          <w:i/>
          <w:iCs/>
        </w:rPr>
      </w:pPr>
    </w:p>
    <w:p>
      <w:pPr>
        <w:pBdr/>
        <w:pStyle w:val="Heading 2"/>
        <w:spacing/>
        <w:ind/>
        <w:rPr/>
      </w:pPr>
      <w:r>
        <w:rPr/>
        <w:t xml:space="preserve">Savjet za zaštitu okoliša</w:t>
      </w:r>
    </w:p>
    <w:p>
      <w:pPr>
        <w:pBdr/>
        <w:pStyle w:val="Heading 2"/>
        <w:spacing/>
        <w:ind/>
        <w:rPr/>
      </w:pPr>
      <w:r>
        <w:rPr/>
        <w:t xml:space="preserve">Članak 15.</w:t>
      </w:r>
    </w:p>
    <w:p>
      <w:pPr>
        <w:pBdr/>
        <w:pStyle w:val="Normal"/>
        <w:spacing/>
        <w:ind/>
        <w:rPr>
          <w:rFonts w:ascii="Arial" w:eastAsia="Arial" w:hAnsi="Arial" w:cs="Arial"/>
        </w:rPr>
      </w:pPr>
      <w:r>
        <w:rPr>
          <w:rFonts w:ascii="Arial" w:eastAsia="Arial" w:hAnsi="Arial" w:cs="Arial"/>
        </w:rPr>
        <w:t xml:space="preserve">(1) Vlada Republike Hrvatske (u daljnjem tekstu: Vlada) odlukom osniva Savjet za zaštitu okoliša (u daljnjem tekstu: Savjet) kao tijelo za stručnu i znanstvenu potporu provedbi politike zaštite okoliša.</w:t>
      </w:r>
    </w:p>
    <w:p>
      <w:pPr>
        <w:pBdr/>
        <w:pStyle w:val="Normal"/>
        <w:spacing/>
        <w:ind/>
        <w:rPr>
          <w:rFonts w:ascii="Arial" w:eastAsia="Arial" w:hAnsi="Arial" w:cs="Arial"/>
        </w:rPr>
      </w:pPr>
      <w:r>
        <w:rPr>
          <w:rFonts w:ascii="Arial" w:eastAsia="Arial" w:hAnsi="Arial" w:cs="Arial"/>
        </w:rPr>
        <w:t xml:space="preserve">(2) Savjet iz stavka 1. ovoga članka ima devet članova, uključujući predsjednika, koje imenuje Vlada iz redova znanstvenih, stručnih i javnih djelatnika te predstavnika tijela državne uprave i organizacija civilnog društva.</w:t>
      </w:r>
    </w:p>
    <w:p>
      <w:pPr>
        <w:pBdr/>
        <w:pStyle w:val="Normal"/>
        <w:spacing/>
        <w:ind/>
        <w:rPr>
          <w:rFonts w:ascii="Arial" w:eastAsia="Arial" w:hAnsi="Arial" w:cs="Arial"/>
        </w:rPr>
      </w:pPr>
      <w:r>
        <w:rPr>
          <w:rFonts w:ascii="Arial" w:eastAsia="Arial" w:hAnsi="Arial" w:cs="Arial"/>
        </w:rPr>
        <w:t xml:space="preserve">(3) Savjet iz stavka 1. ovoga članka daje mišljenja o strateškim dokumentima, propisima i politikama iz područja zaštite okoliša, uključujući klimatsku politiku i zaštitu ozonskog sloja, te obavlja druge poslove koje mu povjeri Vlada ili Ministarstvo.</w:t>
      </w:r>
    </w:p>
    <w:p>
      <w:pPr>
        <w:pBdr/>
        <w:pStyle w:val="Normal"/>
        <w:spacing/>
        <w:ind/>
        <w:rPr>
          <w:rFonts w:ascii="Arial" w:eastAsia="Arial" w:hAnsi="Arial" w:cs="Arial"/>
        </w:rPr>
      </w:pPr>
      <w:r>
        <w:rPr>
          <w:rFonts w:ascii="Arial" w:eastAsia="Arial" w:hAnsi="Arial" w:cs="Arial"/>
        </w:rPr>
        <w:t xml:space="preserve">(4) Savjet iz stavka 1. ovoga članka donosi poslovnik o radu.</w:t>
      </w:r>
    </w:p>
    <w:p>
      <w:pPr>
        <w:pBdr/>
        <w:pStyle w:val="Normal"/>
        <w:spacing/>
        <w:ind/>
        <w:rPr>
          <w:rFonts w:ascii="Arial" w:eastAsia="Arial" w:hAnsi="Arial" w:cs="Arial"/>
        </w:rPr>
      </w:pPr>
      <w:r>
        <w:rPr>
          <w:rFonts w:ascii="Arial" w:eastAsia="Arial" w:hAnsi="Arial" w:cs="Arial"/>
        </w:rPr>
        <w:t xml:space="preserve">(5) Članovi Savjeta iz stavka 1. ovoga članka imaju pravo na naknadu za rad čiju visinu odlukom određuje Vlada, a sredstva za rad Savjeta iz stavka 1. ovoga članka osiguravaju se u državnom proračunu.</w:t>
      </w:r>
    </w:p>
    <w:p>
      <w:pPr>
        <w:pBdr/>
        <w:pStyle w:val="Normal"/>
        <w:spacing/>
        <w:ind/>
        <w:rPr>
          <w:rFonts w:ascii="Arial" w:eastAsia="Arial" w:hAnsi="Arial" w:cs="Arial"/>
        </w:rPr>
      </w:pPr>
      <w:r>
        <w:rPr>
          <w:rFonts w:ascii="Arial" w:eastAsia="Arial" w:hAnsi="Arial" w:cs="Arial"/>
        </w:rPr>
        <w:t xml:space="preserve">(6) Uredske i druge administrativne poslove za Savjet iz stavka 1. ovoga članka obavlja Ministarstvo.</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05" w:id="2"/>
      <w:r>
        <w:rPr>
          <w:rFonts w:ascii="Arial" w:eastAsia="Arial" w:hAnsi="Arial" w:cs="Arial"/>
          <w:szCs w:val="24"/>
        </w:rPr>
        <w:t xml:space="preserve">DIO TREĆI DOKUMENTI ZAŠTITE OKOLIŠA</w:t>
      </w:r>
      <w:bookmarkEnd w:id="2"/>
    </w:p>
    <w:p>
      <w:pPr>
        <w:pBdr/>
        <w:pStyle w:val="Heading 2"/>
        <w:spacing/>
        <w:ind/>
        <w:rPr/>
      </w:pPr>
      <w:r>
        <w:rPr/>
        <w:t xml:space="preserve">Članak 16.</w:t>
      </w:r>
    </w:p>
    <w:p>
      <w:pPr>
        <w:pBdr/>
        <w:pStyle w:val="Normal"/>
        <w:spacing/>
        <w:ind/>
        <w:rPr>
          <w:rFonts w:ascii="Arial" w:eastAsia="Arial" w:hAnsi="Arial" w:cs="Arial"/>
        </w:rPr>
      </w:pPr>
      <w:r>
        <w:rPr>
          <w:rFonts w:ascii="Arial" w:eastAsia="Arial" w:hAnsi="Arial" w:cs="Arial"/>
        </w:rPr>
        <w:t xml:space="preserve">(1) Temeljni dokumenti zaštite okoliša su:</w:t>
      </w:r>
    </w:p>
    <w:p>
      <w:pPr>
        <w:pBdr/>
        <w:pStyle w:val="Normal"/>
        <w:spacing/>
        <w:ind/>
        <w:rPr>
          <w:rFonts w:ascii="Arial" w:eastAsia="Arial" w:hAnsi="Arial" w:cs="Arial"/>
        </w:rPr>
      </w:pPr>
      <w:r>
        <w:rPr>
          <w:rFonts w:ascii="Arial" w:eastAsia="Arial" w:hAnsi="Arial" w:cs="Arial"/>
          <w:color w:val="000000"/>
        </w:rPr>
        <w:t xml:space="preserve">– Plan zaštite okoliša Republike Hrvatske</w:t>
      </w:r>
    </w:p>
    <w:p>
      <w:pPr>
        <w:pBdr/>
        <w:pStyle w:val="Normal"/>
        <w:spacing/>
        <w:ind/>
        <w:rPr>
          <w:rFonts w:ascii="Arial" w:eastAsia="Arial" w:hAnsi="Arial" w:cs="Arial"/>
        </w:rPr>
      </w:pPr>
      <w:r>
        <w:rPr>
          <w:rFonts w:ascii="Arial" w:eastAsia="Arial" w:hAnsi="Arial" w:cs="Arial"/>
          <w:color w:val="000000"/>
        </w:rPr>
        <w:t xml:space="preserve">– Program zaštite okoliša</w:t>
      </w:r>
    </w:p>
    <w:p>
      <w:pPr>
        <w:pBdr/>
        <w:pStyle w:val="Normal"/>
        <w:spacing/>
        <w:ind/>
        <w:rPr>
          <w:rFonts w:ascii="Arial" w:eastAsia="Arial" w:hAnsi="Arial" w:cs="Arial"/>
        </w:rPr>
      </w:pPr>
      <w:r>
        <w:rPr>
          <w:rFonts w:ascii="Arial" w:eastAsia="Arial" w:hAnsi="Arial" w:cs="Arial"/>
        </w:rPr>
        <w:t xml:space="preserve">– Izvješće o stanju okoliša.</w:t>
      </w:r>
    </w:p>
    <w:p>
      <w:pPr>
        <w:pBdr/>
        <w:pStyle w:val="Normal"/>
        <w:spacing/>
        <w:ind/>
        <w:rPr>
          <w:rFonts w:ascii="Arial" w:eastAsia="Arial" w:hAnsi="Arial" w:cs="Arial"/>
        </w:rPr>
      </w:pPr>
      <w:r>
        <w:rPr>
          <w:rFonts w:ascii="Arial" w:eastAsia="Arial" w:hAnsi="Arial" w:cs="Arial"/>
          <w:color w:val="000000"/>
        </w:rPr>
        <w:t xml:space="preserve">(2) Pod dokumentima zaštite okoliša u širem smislu podrazumijevaju se strategije, planovi, programi i izvješća koji se donose prema posebnim propisima u pojedinim sektorima za pojedine sastavnice okoliša i opterećenja.</w:t>
      </w:r>
    </w:p>
    <w:p>
      <w:pPr>
        <w:pBdr/>
        <w:pStyle w:val="Normal"/>
        <w:spacing/>
        <w:ind/>
        <w:rPr>
          <w:rFonts w:ascii="Arial" w:eastAsia="Arial" w:hAnsi="Arial" w:cs="Arial"/>
          <w:i/>
          <w:iCs/>
          <w:color w:val="000000"/>
        </w:rPr>
      </w:pPr>
    </w:p>
    <w:p>
      <w:pPr>
        <w:pBdr/>
        <w:pStyle w:val="Heading 2"/>
        <w:spacing/>
        <w:ind/>
        <w:rPr/>
      </w:pPr>
      <w:r>
        <w:rPr/>
        <w:t xml:space="preserve">Plan zaštite okoliša Republike Hrvatske</w:t>
      </w:r>
    </w:p>
    <w:p>
      <w:pPr>
        <w:pBdr/>
        <w:pStyle w:val="Heading 2"/>
        <w:spacing/>
        <w:ind/>
        <w:rPr/>
      </w:pPr>
      <w:r>
        <w:rPr/>
        <w:t xml:space="preserve">Članak 17.</w:t>
      </w:r>
    </w:p>
    <w:p>
      <w:pPr>
        <w:pBdr/>
        <w:pStyle w:val="Normal"/>
        <w:spacing/>
        <w:ind/>
        <w:rPr>
          <w:rFonts w:ascii="Arial" w:eastAsia="Arial" w:hAnsi="Arial" w:cs="Arial"/>
          <w:color w:val="000000"/>
        </w:rPr>
      </w:pPr>
      <w:r>
        <w:rPr>
          <w:rFonts w:ascii="Arial" w:eastAsia="Arial" w:hAnsi="Arial" w:cs="Arial"/>
        </w:rPr>
        <w:t xml:space="preserve">(1) Plan zaštite okoliša Republike Hrvatske (u daljnjem tekstu: Plan) je srednjoročni planski dokument koji je usklađen s Nacionalnom razvojnom strategijom Republike Hrvatske koji se donosi za razdoblje od deset godina i objavljuje se u »Narodnim novinama«.</w:t>
      </w:r>
    </w:p>
    <w:p>
      <w:pPr>
        <w:pBdr/>
        <w:pStyle w:val="Normal"/>
        <w:spacing/>
        <w:ind/>
        <w:rPr>
          <w:rFonts w:ascii="Arial" w:eastAsia="Arial" w:hAnsi="Arial" w:cs="Arial"/>
          <w:color w:val="000000"/>
        </w:rPr>
      </w:pPr>
      <w:r>
        <w:rPr>
          <w:rFonts w:ascii="Arial" w:eastAsia="Arial" w:hAnsi="Arial" w:cs="Arial"/>
        </w:rPr>
        <w:t xml:space="preserve">(2) Plan iz stavka 1. ovoga članka sadrži viziju razvoja, analizu stanja i opis razvojnih potreba i potencijala, posebne strateške ciljeve, popis mjera i pokazatelje ishoda, a pri njegovoj izradi uzimaju se u obzir i planovi upravljanja po pojedinim sastavnicama okoliša.</w:t>
      </w:r>
    </w:p>
    <w:p>
      <w:pPr>
        <w:pBdr/>
        <w:pStyle w:val="Normal"/>
        <w:spacing/>
        <w:ind/>
        <w:rPr>
          <w:rFonts w:ascii="Arial" w:eastAsia="Arial" w:hAnsi="Arial" w:cs="Arial"/>
        </w:rPr>
      </w:pPr>
      <w:r>
        <w:rPr>
          <w:rFonts w:ascii="Arial" w:eastAsia="Arial" w:hAnsi="Arial" w:cs="Arial"/>
        </w:rPr>
        <w:t xml:space="preserve">(3) Plan iz stavka 1. ovoga članka izrađuje Ministarstvo, a na prijedlog Ministarstva odlukom donosi Vlada na temelju vrednovanja i stanja u okolišu utvrđenog Izvješćem o stanju okoliša iz članka 23. stavka 1. ovoga Zakona.</w:t>
      </w:r>
    </w:p>
    <w:p>
      <w:pPr>
        <w:pBdr/>
        <w:pStyle w:val="Normal"/>
        <w:spacing/>
        <w:ind/>
        <w:rPr>
          <w:rFonts w:ascii="Arial" w:eastAsia="Arial" w:hAnsi="Arial" w:cs="Arial"/>
          <w:color w:val="000000"/>
        </w:rPr>
      </w:pPr>
      <w:r>
        <w:rPr>
          <w:rFonts w:ascii="Arial" w:eastAsia="Arial" w:hAnsi="Arial" w:cs="Arial"/>
        </w:rPr>
        <w:t xml:space="preserve">(4) Izmjene i dopune Plana mogu se donijeti i prije isteka razdoblja za koje je Plan donesen.</w:t>
      </w:r>
    </w:p>
    <w:p>
      <w:pPr>
        <w:pBdr/>
        <w:pStyle w:val="Normal"/>
        <w:spacing/>
        <w:ind/>
        <w:rPr>
          <w:rFonts w:ascii="Arial" w:eastAsia="Arial" w:hAnsi="Arial" w:cs="Arial"/>
          <w:color w:val="000000"/>
        </w:rPr>
      </w:pPr>
      <w:r>
        <w:rPr>
          <w:rFonts w:ascii="Arial" w:eastAsia="Arial" w:hAnsi="Arial" w:cs="Arial"/>
        </w:rPr>
        <w:t xml:space="preserve">(5) Nadzor nad provedbom Plana iz stavka 1. ovoga članka provodi Ministarstvo.</w:t>
      </w:r>
    </w:p>
    <w:p>
      <w:pPr>
        <w:pBdr/>
        <w:pStyle w:val="Normal"/>
        <w:spacing/>
        <w:ind/>
        <w:rPr>
          <w:rFonts w:ascii="Arial" w:eastAsia="Arial" w:hAnsi="Arial" w:cs="Arial"/>
          <w:color w:val="000000"/>
        </w:rPr>
      </w:pPr>
    </w:p>
    <w:p>
      <w:pPr>
        <w:pBdr/>
        <w:pStyle w:val="Heading 2"/>
        <w:spacing/>
        <w:ind/>
        <w:rPr/>
      </w:pPr>
      <w:r>
        <w:rPr/>
        <w:t xml:space="preserve">Program zaštite okoliša</w:t>
      </w:r>
    </w:p>
    <w:p>
      <w:pPr>
        <w:pBdr/>
        <w:pStyle w:val="Heading 2"/>
        <w:spacing/>
        <w:ind/>
        <w:rPr/>
      </w:pPr>
      <w:r>
        <w:rPr/>
        <w:t xml:space="preserve">Članak 18.</w:t>
      </w:r>
    </w:p>
    <w:p>
      <w:pPr>
        <w:pBdr/>
        <w:pStyle w:val="Normal"/>
        <w:spacing/>
        <w:ind/>
        <w:rPr>
          <w:rFonts w:ascii="Arial" w:eastAsia="Arial" w:hAnsi="Arial" w:cs="Arial"/>
        </w:rPr>
      </w:pPr>
      <w:r>
        <w:rPr>
          <w:rFonts w:ascii="Arial" w:eastAsia="Arial" w:hAnsi="Arial" w:cs="Arial"/>
        </w:rPr>
        <w:t xml:space="preserve">(1) Programom zaštite okoliša (u daljnjem tekstu: Program) pobliže se razrađuju ciljevi Plana iz članka 17. ovoga Zakona koji se odnose na područje za koje se Program donosi, u skladu s lokalnim odnosno područnim (regionalnim) posebnostima i obilježjima toga područja. </w:t>
      </w:r>
    </w:p>
    <w:p>
      <w:pPr>
        <w:pBdr/>
        <w:pStyle w:val="Normal"/>
        <w:spacing/>
        <w:ind/>
        <w:rPr>
          <w:rFonts w:ascii="Arial" w:eastAsia="Arial" w:hAnsi="Arial" w:cs="Arial"/>
          <w:color w:val="000000"/>
        </w:rPr>
      </w:pPr>
      <w:r>
        <w:rPr>
          <w:rFonts w:ascii="Arial" w:eastAsia="Arial" w:hAnsi="Arial" w:cs="Arial"/>
        </w:rPr>
        <w:t xml:space="preserve">(2) Program iz stavka 1. ovoga članka sadrži opis stanja i izazova u zaštiti okoliša za područje za koje se donosi, odabir posebnih ciljeva ili prioriteta iz Plana iz članka 17. ovoga Zakona i drugih povezanih akata strateškog planiranja iz područja zaštite okoliša, prioritetne mjere zaštite okoliša, pokazatelje rezultata, procjenu troškova i izvore financiranja, rokove i opis okvira za praćenje provedbe te program ublažavanja klimatskih promjena, prilagodbe klimatskim promjenama i zaštite ozonskog sloja sukladno propisima kojima se uređuje područje klimatskih promjena i zaštita ozonskog sloja.</w:t>
      </w:r>
    </w:p>
    <w:p>
      <w:pPr>
        <w:pBdr/>
        <w:pStyle w:val="Normal"/>
        <w:spacing/>
        <w:ind/>
        <w:rPr>
          <w:rFonts w:ascii="Arial" w:eastAsia="Arial" w:hAnsi="Arial" w:cs="Arial"/>
        </w:rPr>
      </w:pPr>
      <w:r>
        <w:rPr>
          <w:rFonts w:ascii="Arial" w:eastAsia="Arial" w:hAnsi="Arial" w:cs="Arial"/>
        </w:rPr>
        <w:t xml:space="preserve">(3) Program iz stavka 1. ovoga članka mora biti usklađen s Planom iz članka 17. ovoga Zakona, a donosi ga odlukom predstavničko tijelo županije, Grada Zagreba odnosno velikog grada, uz prethodnu suglasnost Ministarstva, u roku od šest mjeseci od donošenja Plana i za razdoblje od četiri godine.</w:t>
      </w:r>
    </w:p>
    <w:p>
      <w:pPr>
        <w:pBdr/>
        <w:pStyle w:val="Normal"/>
        <w:spacing/>
        <w:ind/>
        <w:rPr>
          <w:rFonts w:ascii="Arial" w:eastAsia="Arial" w:hAnsi="Arial" w:cs="Arial"/>
        </w:rPr>
      </w:pPr>
      <w:r>
        <w:rPr>
          <w:rFonts w:ascii="Arial" w:eastAsia="Arial" w:hAnsi="Arial" w:cs="Arial"/>
        </w:rPr>
        <w:t xml:space="preserve">(4) Program iz stavka 1. ovoga članka objavljuje se u službenom glasilu županije, Grada Zagreba odnosno velikog grada, a jedinica područne (regionalne) samouprave, Grad Zagreb odnosno veliki grad dužni su ga dostaviti Ministarstvu u roku od mjesec dana od dana njegova donošenja radi objave u Informacijskom sustavu zaštite okoliša i prirode (u daljnjem tekstu: ISZOP).</w:t>
      </w:r>
    </w:p>
    <w:p>
      <w:pPr>
        <w:pBdr/>
        <w:pStyle w:val="Normal"/>
        <w:spacing/>
        <w:ind/>
        <w:rPr>
          <w:rFonts w:ascii="Arial" w:eastAsia="Arial" w:hAnsi="Arial" w:cs="Arial"/>
        </w:rPr>
      </w:pPr>
      <w:r>
        <w:rPr>
          <w:rFonts w:ascii="Arial" w:eastAsia="Arial" w:hAnsi="Arial" w:cs="Arial"/>
        </w:rPr>
        <w:t xml:space="preserve">(5) Program iz stavka 1. ovoga članka odnosno njegove izmjene i dopune donose se na temelju analize učinkovitosti primijenjenih mjera i stanja u okolišu utvrđenog Izvješćem o stanju okoliša iz članka 24. stavka 1. ovoga Zakona za područje županije, Grada Zagreba odnosno velikog grada, a prema potrebi predstavničko tijelo iz stavka 3. ovoga članka može ih donijeti i ranije. </w:t>
      </w:r>
    </w:p>
    <w:p>
      <w:pPr>
        <w:pBdr/>
        <w:pStyle w:val="Normal"/>
        <w:spacing/>
        <w:ind/>
        <w:rPr>
          <w:rFonts w:ascii="Arial" w:eastAsia="Arial" w:hAnsi="Arial" w:cs="Arial"/>
          <w:color w:val="000000"/>
        </w:rPr>
      </w:pPr>
    </w:p>
    <w:p>
      <w:pPr>
        <w:pBdr/>
        <w:pStyle w:val="Heading 2"/>
        <w:spacing/>
        <w:ind/>
        <w:rPr/>
      </w:pPr>
      <w:r>
        <w:rPr/>
        <w:t xml:space="preserve">Dokumenti Strategije upravljanja morskim okolišem i obalnim područjem, regionalni (županijski) planovi integralnog upravljanja obalnim područjem i Plan intervencija kod iznenadnog onečišćenja mora</w:t>
      </w:r>
    </w:p>
    <w:p>
      <w:pPr>
        <w:pBdr/>
        <w:pStyle w:val="Heading 2"/>
        <w:spacing/>
        <w:ind/>
        <w:rPr/>
      </w:pPr>
      <w:r>
        <w:rPr/>
        <w:t xml:space="preserve">Članak 19.</w:t>
      </w:r>
    </w:p>
    <w:p>
      <w:pPr>
        <w:pBdr/>
        <w:pStyle w:val="Normal"/>
        <w:spacing/>
        <w:ind/>
        <w:rPr>
          <w:rFonts w:ascii="Arial" w:eastAsia="Arial" w:hAnsi="Arial" w:cs="Arial"/>
          <w:color w:val="000000"/>
        </w:rPr>
      </w:pPr>
      <w:r>
        <w:rPr>
          <w:rFonts w:ascii="Arial" w:eastAsia="Arial" w:hAnsi="Arial" w:cs="Arial"/>
        </w:rPr>
        <w:t xml:space="preserve">U smislu članka 16. ovoga Zakona dokumentima zaštite okoliša podrazumijevaju se i:</w:t>
      </w:r>
    </w:p>
    <w:p>
      <w:pPr>
        <w:pBdr/>
        <w:pStyle w:val="Normal"/>
        <w:spacing/>
        <w:ind/>
        <w:rPr>
          <w:rFonts w:ascii="Arial" w:eastAsia="Arial" w:hAnsi="Arial" w:cs="Arial"/>
          <w:color w:val="000000"/>
        </w:rPr>
      </w:pPr>
      <w:r>
        <w:rPr>
          <w:rFonts w:ascii="Arial" w:eastAsia="Arial" w:hAnsi="Arial" w:cs="Arial"/>
        </w:rPr>
        <w:t xml:space="preserve">- Strategija upravljanja morskim okolišem i obalnim područjem</w:t>
      </w:r>
    </w:p>
    <w:p>
      <w:pPr>
        <w:pBdr/>
        <w:pStyle w:val="Normal"/>
        <w:spacing/>
        <w:ind/>
        <w:rPr>
          <w:rFonts w:ascii="Arial" w:eastAsia="Arial" w:hAnsi="Arial" w:cs="Arial"/>
          <w:color w:val="000000"/>
        </w:rPr>
      </w:pPr>
      <w:r>
        <w:rPr>
          <w:rFonts w:ascii="Arial" w:eastAsia="Arial" w:hAnsi="Arial" w:cs="Arial"/>
        </w:rPr>
        <w:t xml:space="preserve">- regionalni (županijski) planovi integralnog upravljanja obalnim područjem</w:t>
      </w:r>
    </w:p>
    <w:p>
      <w:pPr>
        <w:pBdr/>
        <w:pStyle w:val="Normal"/>
        <w:spacing/>
        <w:ind/>
        <w:rPr>
          <w:rFonts w:ascii="Arial" w:eastAsia="Arial" w:hAnsi="Arial" w:cs="Arial"/>
          <w:color w:val="000000"/>
        </w:rPr>
      </w:pPr>
      <w:r>
        <w:rPr>
          <w:rFonts w:ascii="Arial" w:eastAsia="Arial" w:hAnsi="Arial" w:cs="Arial"/>
          <w:color w:val="000000"/>
        </w:rPr>
        <w:t xml:space="preserve">- Plan intervencija kod iznenadnih onečišćenja mora.</w:t>
      </w:r>
    </w:p>
    <w:p>
      <w:pPr>
        <w:pBdr/>
        <w:pStyle w:val="Normal"/>
        <w:spacing/>
        <w:ind/>
        <w:rPr>
          <w:rFonts w:ascii="Arial" w:eastAsia="Arial" w:hAnsi="Arial" w:cs="Arial"/>
          <w:b/>
          <w:bCs/>
        </w:rPr>
      </w:pPr>
    </w:p>
    <w:p>
      <w:pPr>
        <w:pBdr/>
        <w:pStyle w:val="Heading 2"/>
        <w:spacing/>
        <w:ind/>
        <w:rPr/>
      </w:pPr>
      <w:r>
        <w:rPr/>
        <w:t xml:space="preserve">Članak 20.</w:t>
      </w:r>
    </w:p>
    <w:p>
      <w:pPr>
        <w:pBdr/>
        <w:pStyle w:val="Normal"/>
        <w:spacing/>
        <w:ind/>
        <w:rPr>
          <w:rFonts w:ascii="Arial" w:eastAsia="Arial" w:hAnsi="Arial" w:cs="Arial"/>
          <w:color w:val="000000"/>
        </w:rPr>
      </w:pPr>
      <w:r>
        <w:rPr>
          <w:rFonts w:ascii="Arial" w:eastAsia="Arial" w:hAnsi="Arial" w:cs="Arial"/>
        </w:rPr>
        <w:t xml:space="preserve">(1) Dokumentima Strategije upravljanja morskim okolišem i obalnim područjem određuju se i usmjeravaju ciljevi upravljanja morskim okolišem i obalnim područjem na načelima održivog razvoja i integralnog upravljanja obalnim područjem, primjenjujući ekosustavni </w:t>
      </w:r>
      <w:r>
        <w:rPr>
          <w:rFonts w:ascii="Arial" w:eastAsia="Arial" w:hAnsi="Arial" w:cs="Arial"/>
        </w:rPr>
        <w:t xml:space="preserve">pristup u skladu s ukupnim gospodarskim, društvenim, socijalnim i kulturnim razvojem Republike Hrvatske.</w:t>
      </w:r>
    </w:p>
    <w:p>
      <w:pPr>
        <w:pBdr/>
        <w:pStyle w:val="Normal"/>
        <w:spacing/>
        <w:ind/>
        <w:rPr>
          <w:rFonts w:ascii="Arial" w:eastAsia="Arial" w:hAnsi="Arial" w:cs="Arial"/>
        </w:rPr>
      </w:pPr>
      <w:r>
        <w:rPr>
          <w:rFonts w:ascii="Arial" w:eastAsia="Arial" w:hAnsi="Arial" w:cs="Arial"/>
        </w:rPr>
        <w:t xml:space="preserve">(2) Dokumente Strategije upravljanja morskim okolišem i obalnim područjem čine:</w:t>
      </w:r>
    </w:p>
    <w:p>
      <w:pPr>
        <w:pBdr/>
        <w:pStyle w:val="Normal"/>
        <w:spacing/>
        <w:ind/>
        <w:rPr>
          <w:rFonts w:ascii="Arial" w:eastAsia="Arial" w:hAnsi="Arial" w:cs="Arial"/>
        </w:rPr>
      </w:pPr>
      <w:r>
        <w:rPr>
          <w:rFonts w:ascii="Arial" w:eastAsia="Arial" w:hAnsi="Arial" w:cs="Arial"/>
        </w:rPr>
        <w:t xml:space="preserve">1. Pripremni dokumenti:</w:t>
      </w:r>
    </w:p>
    <w:p>
      <w:pPr>
        <w:pBdr/>
        <w:pStyle w:val="Normal"/>
        <w:spacing/>
        <w:ind/>
        <w:rPr>
          <w:rFonts w:ascii="Arial" w:eastAsia="Arial" w:hAnsi="Arial" w:cs="Arial"/>
        </w:rPr>
      </w:pPr>
      <w:r>
        <w:rPr>
          <w:rFonts w:ascii="Arial" w:eastAsia="Arial" w:hAnsi="Arial" w:cs="Arial"/>
        </w:rPr>
        <w:t xml:space="preserve">a) početna procjena ukupnog stanja</w:t>
      </w:r>
    </w:p>
    <w:p>
      <w:pPr>
        <w:pBdr/>
        <w:pStyle w:val="Normal"/>
        <w:spacing/>
        <w:ind/>
        <w:rPr>
          <w:rFonts w:ascii="Arial" w:eastAsia="Arial" w:hAnsi="Arial" w:cs="Arial"/>
        </w:rPr>
      </w:pPr>
      <w:r>
        <w:rPr>
          <w:rFonts w:ascii="Arial" w:eastAsia="Arial" w:hAnsi="Arial" w:cs="Arial"/>
        </w:rPr>
        <w:t xml:space="preserve">b) skup značajki dobrog stanja okoliša</w:t>
      </w:r>
    </w:p>
    <w:p>
      <w:pPr>
        <w:pBdr/>
        <w:pStyle w:val="Normal"/>
        <w:spacing/>
        <w:ind/>
        <w:rPr>
          <w:rFonts w:ascii="Arial" w:eastAsia="Arial" w:hAnsi="Arial" w:cs="Arial"/>
        </w:rPr>
      </w:pPr>
      <w:r>
        <w:rPr>
          <w:rFonts w:ascii="Arial" w:eastAsia="Arial" w:hAnsi="Arial" w:cs="Arial"/>
        </w:rPr>
        <w:t xml:space="preserve">c) skup ciljeva.</w:t>
      </w:r>
    </w:p>
    <w:p>
      <w:pPr>
        <w:pBdr/>
        <w:pStyle w:val="Normal"/>
        <w:spacing/>
        <w:ind/>
        <w:rPr>
          <w:rFonts w:ascii="Arial" w:eastAsia="Arial" w:hAnsi="Arial" w:cs="Arial"/>
        </w:rPr>
      </w:pPr>
      <w:r>
        <w:rPr>
          <w:rFonts w:ascii="Arial" w:eastAsia="Arial" w:hAnsi="Arial" w:cs="Arial"/>
        </w:rPr>
        <w:t xml:space="preserve">2. Akcijski programi: </w:t>
      </w:r>
    </w:p>
    <w:p>
      <w:pPr>
        <w:pBdr/>
        <w:pStyle w:val="Normal"/>
        <w:spacing/>
        <w:ind/>
        <w:rPr>
          <w:rFonts w:ascii="Arial" w:eastAsia="Arial" w:hAnsi="Arial" w:cs="Arial"/>
        </w:rPr>
      </w:pPr>
      <w:r>
        <w:rPr>
          <w:rFonts w:ascii="Arial" w:eastAsia="Arial" w:hAnsi="Arial" w:cs="Arial"/>
        </w:rPr>
        <w:t xml:space="preserve">a) sustav praćenja i promatranja morskog okoliša i obalnog područja</w:t>
      </w:r>
    </w:p>
    <w:p>
      <w:pPr>
        <w:pBdr/>
        <w:pStyle w:val="Normal"/>
        <w:spacing/>
        <w:ind/>
        <w:rPr>
          <w:rFonts w:ascii="Arial" w:eastAsia="Arial" w:hAnsi="Arial" w:cs="Arial"/>
        </w:rPr>
      </w:pPr>
      <w:r>
        <w:rPr>
          <w:rFonts w:ascii="Arial" w:eastAsia="Arial" w:hAnsi="Arial" w:cs="Arial"/>
        </w:rPr>
        <w:t xml:space="preserve">b) program mjera zaštite i upravljanja morskim okolišem i obalnim područjem. </w:t>
      </w:r>
    </w:p>
    <w:p>
      <w:pPr>
        <w:pBdr/>
        <w:pStyle w:val="Normal"/>
        <w:spacing/>
        <w:ind/>
        <w:rPr>
          <w:rFonts w:ascii="Arial" w:eastAsia="Arial" w:hAnsi="Arial" w:cs="Arial"/>
          <w:color w:val="000000"/>
        </w:rPr>
      </w:pPr>
      <w:r>
        <w:rPr>
          <w:rFonts w:ascii="Arial" w:eastAsia="Arial" w:hAnsi="Arial" w:cs="Arial"/>
          <w:color w:val="000000"/>
        </w:rPr>
        <w:t xml:space="preserve">(3) Dokumente iz stavka 2. ovoga članka izrađuje Ministarstvo u suradnji s tijelima državne uprave nadležnim za poslove prostornoga uređenja, upravljanja državnom imovinom, pomorstva, turizma, prometa, infrastrukture, regionalnog razvoja, gospodarstva, poljoprivrede, ribarstva, šumarstva, prirode, vodnoga gospodarstva, znanosti, zdravstva, vanjskih i europskih poslova, obrane, kulture, financija i uprave,</w:t>
      </w:r>
      <w:r>
        <w:rPr>
          <w:rFonts w:ascii="Arial" w:eastAsia="Arial" w:hAnsi="Arial" w:cs="Arial"/>
        </w:rPr>
        <w:t xml:space="preserve"> </w:t>
      </w:r>
      <w:r>
        <w:rPr>
          <w:rFonts w:ascii="Arial" w:eastAsia="Arial" w:hAnsi="Arial" w:cs="Arial"/>
          <w:color w:val="000000"/>
        </w:rPr>
        <w:t xml:space="preserve">a akcijske programe te njihove izmjene i dopune na prijedlog Ministarstva odlukom donosi Vlada.</w:t>
      </w:r>
    </w:p>
    <w:p>
      <w:pPr>
        <w:pBdr/>
        <w:pStyle w:val="Normal"/>
        <w:spacing/>
        <w:ind/>
        <w:rPr>
          <w:rFonts w:ascii="Arial" w:eastAsia="Arial" w:hAnsi="Arial" w:cs="Arial"/>
        </w:rPr>
      </w:pPr>
      <w:r>
        <w:rPr>
          <w:rFonts w:ascii="Arial" w:eastAsia="Arial" w:hAnsi="Arial" w:cs="Arial"/>
          <w:color w:val="000000"/>
        </w:rPr>
        <w:t xml:space="preserve">(4) Ciljeve zaštite okoliša, područje primjene i određivanje pripadnosti, plan djelovanja u pripremi dokumenata iz stavka 2. ovoga članka</w:t>
      </w:r>
      <w:r>
        <w:rPr>
          <w:rFonts w:ascii="Arial" w:eastAsia="Arial" w:hAnsi="Arial" w:cs="Arial"/>
        </w:rPr>
        <w:t xml:space="preserve"> </w:t>
      </w:r>
      <w:r>
        <w:rPr>
          <w:rFonts w:ascii="Arial" w:eastAsia="Arial" w:hAnsi="Arial" w:cs="Arial"/>
          <w:color w:val="000000"/>
        </w:rPr>
        <w:t xml:space="preserve">i vremenski raspored njihova donošenja, potrebu djelovanja, način suradnje, tijela nadležna za provedbu, način provedbe i iznimke, način izvještavanja, informiranja i sudjelovanja javnosti pobliže uređuje Vlada uredbom.</w:t>
      </w:r>
    </w:p>
    <w:p>
      <w:pPr>
        <w:pBdr/>
        <w:pStyle w:val="Normal"/>
        <w:spacing/>
        <w:ind/>
        <w:rPr>
          <w:rFonts w:ascii="Arial" w:eastAsia="Arial" w:hAnsi="Arial" w:cs="Arial"/>
          <w:color w:val="000000"/>
        </w:rPr>
      </w:pPr>
      <w:r>
        <w:rPr>
          <w:rFonts w:ascii="Arial" w:eastAsia="Arial" w:hAnsi="Arial" w:cs="Arial"/>
          <w:color w:val="000000"/>
        </w:rPr>
        <w:t xml:space="preserve">(5) Vlada odlukom osniva Povjerenstvo za koordinaciju i Stručni nacionalni odbor kao tijela zadužena za izradu i praćenje provedbe uredbe iz stavka 4. ovoga članka te određuje njihove zadaće.</w:t>
      </w:r>
    </w:p>
    <w:p>
      <w:pPr>
        <w:pBdr/>
        <w:pStyle w:val="Normal"/>
        <w:spacing/>
        <w:ind/>
        <w:rPr>
          <w:rFonts w:ascii="Arial" w:eastAsia="Arial" w:hAnsi="Arial" w:cs="Arial"/>
          <w:color w:val="000000"/>
        </w:rPr>
      </w:pPr>
      <w:r>
        <w:rPr>
          <w:rFonts w:ascii="Arial" w:eastAsia="Arial" w:hAnsi="Arial" w:cs="Arial"/>
          <w:color w:val="000000"/>
        </w:rPr>
        <w:t xml:space="preserve">(6) Povjerenstvo za koordinaciju čine predstavnici tijela iz stavka 3. ovoga članka koji se imenuju iz redova državnih dužnosnika ili rukovodećih državnih službenika, a Povjerenstvo je međuresorno tijelo zaduženo za osiguravanje uvjeta za provedbu akcijskih programa iz stavka 2. točke 2. ovoga članka i praćenje njihove provedbe.</w:t>
      </w:r>
    </w:p>
    <w:p>
      <w:pPr>
        <w:pBdr/>
        <w:pStyle w:val="Normal"/>
        <w:spacing/>
        <w:ind/>
        <w:rPr>
          <w:rFonts w:ascii="Arial" w:eastAsia="Arial" w:hAnsi="Arial" w:cs="Arial"/>
          <w:color w:val="000000"/>
        </w:rPr>
      </w:pPr>
      <w:r>
        <w:rPr>
          <w:rFonts w:ascii="Arial" w:eastAsia="Arial" w:hAnsi="Arial" w:cs="Arial"/>
          <w:color w:val="000000"/>
        </w:rPr>
        <w:t xml:space="preserve">(7) Članovi Stručnog nacionalnog odbora</w:t>
      </w:r>
      <w:r>
        <w:rPr>
          <w:rFonts w:ascii="Arial" w:eastAsia="Arial" w:hAnsi="Arial" w:cs="Arial"/>
        </w:rPr>
        <w:t xml:space="preserve"> </w:t>
      </w:r>
      <w:r>
        <w:rPr>
          <w:rFonts w:ascii="Arial" w:eastAsia="Arial" w:hAnsi="Arial" w:cs="Arial"/>
          <w:color w:val="000000"/>
        </w:rPr>
        <w:t xml:space="preserve">iz stavka 5. ovoga članka imenuju se iz redova predstavnika tijela državne uprave, pravnih osoba s javnim ovlastima, znanstvenih institucija, jedinica područne (regionalne) samouprave u jadranskom prostoru i njihovih stručnih institucija relevantnih za izradu i provedbu dokumenata iz stavka 2. ovoga članka.</w:t>
      </w:r>
    </w:p>
    <w:p>
      <w:pPr>
        <w:pBdr/>
        <w:pStyle w:val="Normal"/>
        <w:spacing/>
        <w:ind/>
        <w:rPr>
          <w:rFonts w:ascii="Arial" w:eastAsia="Arial" w:hAnsi="Arial" w:cs="Arial"/>
          <w:color w:val="000000"/>
        </w:rPr>
      </w:pPr>
    </w:p>
    <w:p>
      <w:pPr>
        <w:pBdr/>
        <w:pStyle w:val="Heading 2"/>
        <w:spacing/>
        <w:ind/>
        <w:rPr/>
      </w:pPr>
      <w:r>
        <w:rPr/>
        <w:t xml:space="preserve">Članak 21.</w:t>
      </w:r>
    </w:p>
    <w:p>
      <w:pPr>
        <w:pBdr/>
        <w:pStyle w:val="Normal"/>
        <w:spacing/>
        <w:ind/>
        <w:rPr>
          <w:rFonts w:ascii="Arial" w:eastAsia="Arial" w:hAnsi="Arial" w:cs="Arial"/>
        </w:rPr>
      </w:pPr>
      <w:r>
        <w:rPr>
          <w:rFonts w:ascii="Arial" w:eastAsia="Arial" w:hAnsi="Arial" w:cs="Arial"/>
        </w:rPr>
        <w:t xml:space="preserve">(1) Regionalni (županijski) planovi integralnog upravljanja obalnim područjem su dokumenti zaštite i održivog upravljanja i korištenja obalnog područja na razini županije koji moraju biti usklađeni s dokumentima Strategije upravljanja morskim okolišem i obalnim područjem iz članka 20. ovoga Zakona, a mogu biti zasebni dokumenti ili integrirani u Programe iz članka 18. ovoga Zakona.</w:t>
      </w:r>
    </w:p>
    <w:p>
      <w:pPr>
        <w:pBdr/>
        <w:pStyle w:val="Normal"/>
        <w:spacing/>
        <w:ind/>
        <w:rPr>
          <w:rFonts w:ascii="Arial" w:eastAsia="Arial" w:hAnsi="Arial" w:cs="Arial"/>
        </w:rPr>
      </w:pPr>
      <w:r>
        <w:rPr>
          <w:rFonts w:ascii="Arial" w:eastAsia="Arial" w:hAnsi="Arial" w:cs="Arial"/>
        </w:rPr>
        <w:t xml:space="preserve">(2) Planove iz stavka 1. ovoga članka izrađuju županije koje su nadležne za njihovu provedbu i koje za potrebe njihove izrade i provedbe osnivaju Regionalne (županijske) odbore za upravljanje morskim okolišem i obalnim područjem, a planove odlukom donose županijske skupštine.  </w:t>
      </w:r>
    </w:p>
    <w:p>
      <w:pPr>
        <w:pBdr/>
        <w:pStyle w:val="Normal"/>
        <w:spacing/>
        <w:ind/>
        <w:rPr>
          <w:rFonts w:ascii="Arial" w:eastAsia="Arial" w:hAnsi="Arial" w:cs="Arial"/>
        </w:rPr>
      </w:pPr>
      <w:r>
        <w:rPr>
          <w:rFonts w:ascii="Arial" w:eastAsia="Arial" w:hAnsi="Arial" w:cs="Arial"/>
        </w:rPr>
        <w:t xml:space="preserve">(3) Usklađenost planova iz stavka 1. ovoga članka s dokumentima Strategije iz članka 20. ovoga Zakona prati Stručni nacionalni odbor, a njihovu provedbu prati Povjerenstvo za koordinaciju, osnovani na temelju članka 20. stavka 5. ovoga Zakona. </w:t>
      </w:r>
    </w:p>
    <w:p>
      <w:pPr>
        <w:pBdr/>
        <w:pStyle w:val="Normal"/>
        <w:spacing/>
        <w:ind/>
        <w:rPr>
          <w:rFonts w:ascii="Arial" w:eastAsia="Arial" w:hAnsi="Arial" w:cs="Arial"/>
        </w:rPr>
      </w:pPr>
      <w:r>
        <w:rPr>
          <w:rFonts w:ascii="Arial" w:eastAsia="Arial" w:hAnsi="Arial" w:cs="Arial"/>
        </w:rPr>
        <w:t xml:space="preserve">(4)  Obuhvat plana iz stavka 1. ovoga članka, njegov obvezni sadržaj, metodologija izrade te druga pitanja povezana s njihovom izradom i provedbom pobliže se uređuju uredbom iz članka 20. stavka 4. ovoga Zakona.</w:t>
      </w:r>
    </w:p>
    <w:p>
      <w:pPr>
        <w:pBdr/>
        <w:pStyle w:val="Normal"/>
        <w:spacing/>
        <w:ind/>
        <w:rPr>
          <w:rFonts w:ascii="Arial" w:eastAsia="Arial" w:hAnsi="Arial" w:cs="Arial"/>
        </w:rPr>
      </w:pPr>
    </w:p>
    <w:p>
      <w:pPr>
        <w:pBdr/>
        <w:pStyle w:val="Heading 2"/>
        <w:spacing/>
        <w:ind/>
        <w:rPr/>
      </w:pPr>
      <w:r>
        <w:rPr/>
        <w:t xml:space="preserve">Plan intervencija kod iznenadnih onečišćenja mora</w:t>
      </w:r>
    </w:p>
    <w:p>
      <w:pPr>
        <w:pBdr/>
        <w:pStyle w:val="Heading 2"/>
        <w:spacing/>
        <w:ind/>
        <w:rPr/>
      </w:pPr>
      <w:r>
        <w:rPr/>
        <w:t xml:space="preserve">Članak 22.</w:t>
      </w:r>
    </w:p>
    <w:p>
      <w:pPr>
        <w:pBdr/>
        <w:pStyle w:val="Normal"/>
        <w:spacing/>
        <w:ind/>
        <w:rPr>
          <w:rFonts w:ascii="Arial" w:eastAsia="Arial" w:hAnsi="Arial" w:cs="Arial"/>
        </w:rPr>
      </w:pPr>
      <w:r>
        <w:rPr>
          <w:rFonts w:ascii="Arial" w:eastAsia="Arial" w:hAnsi="Arial" w:cs="Arial"/>
        </w:rPr>
        <w:t xml:space="preserve">(1) Planom intervencija kod iznenadnih onečišćenja mora (u daljnjem tekstu: Plan intervencija) utvrđuju se postupci i mjere za predviđanje, sprječavanje, ograničavanje, spremnost i reagiranje na iznenadna onečišćenja mora radi zaštite morskog okoliša i obalnog područja.</w:t>
      </w:r>
    </w:p>
    <w:p>
      <w:pPr>
        <w:pBdr/>
        <w:pStyle w:val="Normal"/>
        <w:spacing/>
        <w:ind/>
        <w:rPr>
          <w:rFonts w:ascii="Arial" w:eastAsia="Arial" w:hAnsi="Arial" w:cs="Arial"/>
        </w:rPr>
      </w:pPr>
      <w:r>
        <w:rPr>
          <w:rFonts w:ascii="Arial" w:eastAsia="Arial" w:hAnsi="Arial" w:cs="Arial"/>
        </w:rPr>
        <w:t xml:space="preserve">(2) Plan intervencija iz stavka 1. ovoga članka temelji se na procjeni rizika i osjetljivosti na onečišćenja mora koji se utvrđuje za razdoblje od deset godina i čiji je nositelj izrade ministarstvo nadležno za poslove pomorstva u suradnji s Ministarstvom. </w:t>
      </w:r>
    </w:p>
    <w:p>
      <w:pPr>
        <w:pBdr/>
        <w:pStyle w:val="Normal"/>
        <w:spacing/>
        <w:ind/>
        <w:rPr>
          <w:rFonts w:ascii="Arial" w:eastAsia="Arial" w:hAnsi="Arial" w:cs="Arial"/>
        </w:rPr>
      </w:pPr>
      <w:r>
        <w:rPr>
          <w:rFonts w:ascii="Arial" w:eastAsia="Arial" w:hAnsi="Arial" w:cs="Arial"/>
        </w:rPr>
        <w:t xml:space="preserve">(3) Plan intervencija iz stavka 1. ovoga članka te njegove izmjene i dopune predlaže ministarstvo nadležno za poslove pomorstva u suradnji s Ministarstvom, sukladno ovom Zakonu, propisima iz područja pomorstva te posebnom propisu o sigurnosti pri odobalnom istraživanju i eksploataciji ugljikovodika, a donosi ih odlukom Vlada.</w:t>
      </w:r>
    </w:p>
    <w:p>
      <w:pPr>
        <w:pBdr/>
        <w:pStyle w:val="Normal"/>
        <w:spacing/>
        <w:ind/>
        <w:rPr>
          <w:rFonts w:ascii="Arial" w:eastAsia="Arial" w:hAnsi="Arial" w:cs="Arial"/>
        </w:rPr>
      </w:pPr>
      <w:r>
        <w:rPr>
          <w:rFonts w:ascii="Arial" w:eastAsia="Arial" w:hAnsi="Arial" w:cs="Arial"/>
        </w:rPr>
        <w:t xml:space="preserve">(4) Plan intervencija iz stavka 1. ovoga članka objavljuje se u »Narodnim novinama« i daje se na raspolaganje Europskoj komisiji, drugim državama članicama, odnosno susjednim trećim zemljama koje bi mogle biti pogođene te javnosti.</w:t>
      </w:r>
    </w:p>
    <w:p>
      <w:pPr>
        <w:pBdr/>
        <w:pStyle w:val="Normal"/>
        <w:spacing/>
        <w:ind/>
        <w:rPr>
          <w:rFonts w:ascii="Arial" w:eastAsia="Arial" w:hAnsi="Arial" w:cs="Arial"/>
          <w:color w:val="000000"/>
        </w:rPr>
      </w:pPr>
      <w:r>
        <w:rPr>
          <w:rFonts w:ascii="Arial" w:eastAsia="Arial" w:hAnsi="Arial" w:cs="Arial"/>
        </w:rPr>
        <w:t xml:space="preserve">(5) Republika Hrvatska sukladno ovom Zakonu i Zakonu o potvrđivanju Sporazuma o Subregionalnom planu intervencija za sprječavanje, spremnost za i reagiranje na iznenadna onečišćenja Jadranskog mora većih razmjera (»Narodne novine« – Međunarodni ugovori, broj 7/08), kojim je uspostavljen mehanizam suradnje država članica, odnosno trećih zemalja, redovito ispituje svoju pripravnost za učinkovito djelovanje u suradnji s državama članicama koje bi mogle biti pogođene, relevantnim agencijama Europske unije te na temelju uzajamnosti s trećim zemljama koje bi mogle biti pogođene</w:t>
      </w:r>
      <w:r>
        <w:rPr>
          <w:rFonts w:ascii="Arial" w:eastAsia="Arial" w:hAnsi="Arial" w:cs="Arial"/>
          <w:color w:val="000000"/>
        </w:rPr>
        <w:t xml:space="preserve">.</w:t>
      </w:r>
    </w:p>
    <w:p>
      <w:pPr>
        <w:pBdr/>
        <w:pStyle w:val="Normal"/>
        <w:spacing/>
        <w:ind/>
        <w:rPr>
          <w:rFonts w:ascii="Arial" w:eastAsia="Arial" w:hAnsi="Arial" w:cs="Arial"/>
          <w:color w:val="000000"/>
        </w:rPr>
      </w:pPr>
    </w:p>
    <w:p>
      <w:pPr>
        <w:pBdr/>
        <w:pStyle w:val="Heading 2"/>
        <w:spacing/>
        <w:ind/>
        <w:rPr/>
      </w:pPr>
      <w:r>
        <w:rPr/>
        <w:t xml:space="preserve">Izvješće o stanju okoliša</w:t>
      </w:r>
    </w:p>
    <w:p>
      <w:pPr>
        <w:pBdr/>
        <w:pStyle w:val="Heading 2"/>
        <w:spacing/>
        <w:ind/>
        <w:rPr/>
      </w:pPr>
      <w:r>
        <w:rPr/>
        <w:t xml:space="preserve">Članak 23.</w:t>
      </w:r>
    </w:p>
    <w:p>
      <w:pPr>
        <w:pBdr/>
        <w:pStyle w:val="Normal"/>
        <w:spacing/>
        <w:ind/>
        <w:rPr>
          <w:rFonts w:ascii="Arial" w:eastAsia="Arial" w:hAnsi="Arial" w:cs="Arial"/>
          <w:color w:val="000000"/>
        </w:rPr>
      </w:pPr>
      <w:r>
        <w:rPr>
          <w:rFonts w:ascii="Arial" w:eastAsia="Arial" w:hAnsi="Arial" w:cs="Arial"/>
        </w:rPr>
        <w:t xml:space="preserve">(1) Za potrebe praćenja ostvarivanja ciljeva iz strateških, planskih i drugih dokumenata u području zaštite okoliša, zelene tranzicije i održivog razvoja, te radi cjelovitog uvida u stanje okoliša, Ministarstvo odnosno Zavod izrađuje Izvješće o stanju okoliša u Republici Hrvatskoj (u daljnjem tekstu: Izvješće).</w:t>
      </w:r>
    </w:p>
    <w:p>
      <w:pPr>
        <w:pBdr/>
        <w:pStyle w:val="Normal"/>
        <w:spacing/>
        <w:ind/>
        <w:rPr>
          <w:rFonts w:ascii="Arial" w:eastAsia="Arial" w:hAnsi="Arial" w:cs="Arial"/>
        </w:rPr>
      </w:pPr>
      <w:r>
        <w:rPr>
          <w:rFonts w:ascii="Arial" w:eastAsia="Arial" w:hAnsi="Arial" w:cs="Arial"/>
        </w:rPr>
        <w:t xml:space="preserve">(2) Izvješće iz stavka 1. ovoga članka se izrađuje za razdoblje od pet godina i osobito sadrži:</w:t>
      </w:r>
    </w:p>
    <w:p>
      <w:pPr>
        <w:pBdr/>
        <w:pStyle w:val="Normal"/>
        <w:spacing/>
        <w:ind/>
        <w:rPr>
          <w:rFonts w:ascii="Arial" w:eastAsia="Arial" w:hAnsi="Arial" w:cs="Arial"/>
        </w:rPr>
      </w:pPr>
      <w:r>
        <w:rPr>
          <w:rFonts w:ascii="Arial" w:eastAsia="Arial" w:hAnsi="Arial" w:cs="Arial"/>
        </w:rPr>
        <w:t xml:space="preserve">ostvarivanje ciljeva strateških, planskih i programskih dokumenata zaštite okoliša, zelene tranzicije i održivog razvoja</w:t>
      </w:r>
    </w:p>
    <w:p>
      <w:pPr>
        <w:pBdr/>
        <w:pStyle w:val="Normal"/>
        <w:spacing/>
        <w:ind/>
        <w:rPr>
          <w:rFonts w:ascii="Arial" w:eastAsia="Arial" w:hAnsi="Arial" w:cs="Arial"/>
        </w:rPr>
      </w:pPr>
      <w:r>
        <w:rPr>
          <w:rFonts w:ascii="Arial" w:eastAsia="Arial" w:hAnsi="Arial" w:cs="Arial"/>
        </w:rPr>
        <w:t xml:space="preserve">podatke o stanju i trendovima sastavnica okoliša i opterećenja na okoliš</w:t>
      </w:r>
    </w:p>
    <w:p>
      <w:pPr>
        <w:pBdr/>
        <w:pStyle w:val="Normal"/>
        <w:spacing/>
        <w:ind/>
        <w:rPr>
          <w:rFonts w:ascii="Arial" w:eastAsia="Arial" w:hAnsi="Arial" w:cs="Arial"/>
        </w:rPr>
      </w:pPr>
      <w:r>
        <w:rPr>
          <w:rFonts w:ascii="Arial" w:eastAsia="Arial" w:hAnsi="Arial" w:cs="Arial"/>
        </w:rPr>
        <w:t xml:space="preserve">integrirane teme i teme opće politike zaštite okoliša</w:t>
      </w:r>
    </w:p>
    <w:p>
      <w:pPr>
        <w:pBdr/>
        <w:pStyle w:val="Normal"/>
        <w:spacing/>
        <w:ind/>
        <w:rPr>
          <w:rFonts w:ascii="Arial" w:eastAsia="Arial" w:hAnsi="Arial" w:cs="Arial"/>
        </w:rPr>
      </w:pPr>
      <w:r>
        <w:rPr>
          <w:rFonts w:ascii="Arial" w:eastAsia="Arial" w:hAnsi="Arial" w:cs="Arial"/>
        </w:rPr>
        <w:t xml:space="preserve">druge podatke od značenja za zaštitu okoliša, provedbu javnih politika i praćenje međunarodnih obveza.</w:t>
      </w:r>
    </w:p>
    <w:p>
      <w:pPr>
        <w:pBdr/>
        <w:pStyle w:val="Normal"/>
        <w:spacing/>
        <w:ind/>
        <w:rPr>
          <w:rFonts w:ascii="Arial" w:eastAsia="Arial" w:hAnsi="Arial" w:cs="Arial"/>
        </w:rPr>
      </w:pPr>
      <w:r>
        <w:rPr>
          <w:rFonts w:ascii="Arial" w:eastAsia="Arial" w:hAnsi="Arial" w:cs="Arial"/>
        </w:rPr>
        <w:t xml:space="preserve">(3) Ministarstvo podnosi Vladi izvješće jednom u pet godina, a Vlada izvješće podnosi Hrvatskom saboru.</w:t>
      </w:r>
    </w:p>
    <w:p>
      <w:pPr>
        <w:pBdr/>
        <w:pStyle w:val="Normal"/>
        <w:spacing/>
        <w:ind/>
        <w:rPr>
          <w:rFonts w:ascii="Arial" w:eastAsia="Arial" w:hAnsi="Arial" w:cs="Arial"/>
        </w:rPr>
      </w:pPr>
    </w:p>
    <w:p>
      <w:pPr>
        <w:pBdr/>
        <w:pStyle w:val="Heading 2"/>
        <w:spacing/>
        <w:ind/>
        <w:rPr/>
      </w:pPr>
      <w:r>
        <w:rPr/>
        <w:t xml:space="preserve">Članak 24.</w:t>
      </w:r>
    </w:p>
    <w:p>
      <w:pPr>
        <w:pBdr/>
        <w:pStyle w:val="Normal"/>
        <w:spacing/>
        <w:ind/>
        <w:rPr>
          <w:rFonts w:ascii="Arial" w:eastAsia="Arial" w:hAnsi="Arial" w:cs="Arial"/>
        </w:rPr>
      </w:pPr>
      <w:r>
        <w:rPr>
          <w:rFonts w:ascii="Arial" w:eastAsia="Arial" w:hAnsi="Arial" w:cs="Arial"/>
        </w:rPr>
        <w:t xml:space="preserve">(1) Predstavničko tijelo županije, Grada Zagreba, odnosno velikog grada razmatra izvješće o stanju okoliša za razdoblje od četiri godine radi praćenja ostvarivanja ciljeva iz Programa iz članka 18. stavka 1. ovoga Zakona i programskih i planskih dokumenata koji se odnose na pojedine sastavnice okoliša i opterećenja te drugih dokumenata zaštite okoliša, kao i radi cjelovitog uvida u stanje okoliša na svojem području.</w:t>
      </w:r>
    </w:p>
    <w:p>
      <w:pPr>
        <w:pBdr/>
        <w:pStyle w:val="Normal"/>
        <w:spacing/>
        <w:ind/>
        <w:rPr>
          <w:rFonts w:ascii="Arial" w:eastAsia="Arial" w:hAnsi="Arial" w:cs="Arial"/>
          <w:color w:val="000000"/>
        </w:rPr>
      </w:pPr>
      <w:r>
        <w:rPr>
          <w:rFonts w:ascii="Arial" w:eastAsia="Arial" w:hAnsi="Arial" w:cs="Arial"/>
          <w:color w:val="000000"/>
        </w:rPr>
        <w:t xml:space="preserve">(2) Izvješće iz stavka 1. ovoga članka izrađuje nadležno upravno tijelo županije, Grada Zagreba, odnosno velikog grada putem ovlaštenika,  a sadrži odgovarajuće podatke iz članka 23. stavka 2. ovoga Zakona i druge podatke potrebne za njegovu izradu, ovisno o posebnim značajkama područja na koje se odnosi.</w:t>
      </w:r>
    </w:p>
    <w:p>
      <w:pPr>
        <w:pBdr/>
        <w:pStyle w:val="Normal"/>
        <w:spacing/>
        <w:ind/>
        <w:rPr>
          <w:rFonts w:ascii="Arial" w:eastAsia="Arial" w:hAnsi="Arial" w:cs="Arial"/>
          <w:color w:val="000000"/>
        </w:rPr>
      </w:pPr>
      <w:r>
        <w:rPr>
          <w:rFonts w:ascii="Arial" w:eastAsia="Arial" w:hAnsi="Arial" w:cs="Arial"/>
          <w:color w:val="000000"/>
        </w:rPr>
        <w:t xml:space="preserve">(3) Izvješće iz stavka 1. ovoga članka predstavničkom tijelu županije, Grada Zagreba odnosno velikog grada podnosi izvršno tijelo te jedinice.</w:t>
      </w:r>
    </w:p>
    <w:p>
      <w:pPr>
        <w:pBdr/>
        <w:pStyle w:val="Normal"/>
        <w:spacing/>
        <w:ind/>
        <w:rPr>
          <w:rFonts w:ascii="Arial" w:eastAsia="Arial" w:hAnsi="Arial" w:cs="Arial"/>
          <w:color w:val="000000"/>
        </w:rPr>
      </w:pPr>
      <w:r>
        <w:rPr>
          <w:rFonts w:ascii="Arial" w:eastAsia="Arial" w:hAnsi="Arial" w:cs="Arial"/>
          <w:color w:val="000000"/>
        </w:rPr>
        <w:t xml:space="preserve">(4) Izvješće iz stavka 1. ovoga članka dostavlja se Ministarstvu u roku od mjesec dana od dana prihvaćanja na sjednici predstavničkog tijela županije, Grada Zagreba odnosno velikog grada.</w:t>
      </w:r>
    </w:p>
    <w:p>
      <w:pPr>
        <w:pBdr/>
        <w:pStyle w:val="Normal"/>
        <w:spacing/>
        <w:ind/>
        <w:rPr>
          <w:rFonts w:ascii="Arial" w:eastAsia="Arial" w:hAnsi="Arial" w:cs="Arial"/>
          <w:color w:val="000000"/>
        </w:rPr>
      </w:pPr>
    </w:p>
    <w:p>
      <w:pPr>
        <w:pBdr/>
        <w:pStyle w:val="Heading 2"/>
        <w:spacing/>
        <w:ind/>
        <w:rPr/>
      </w:pPr>
      <w:r>
        <w:rPr/>
        <w:t xml:space="preserve">Planovi operatera i drugih pravnih i fizičkih osoba koje obavljaju djelatnosti vezano za područje zaštite okoliša</w:t>
      </w:r>
    </w:p>
    <w:p>
      <w:pPr>
        <w:pBdr/>
        <w:pStyle w:val="Heading 2"/>
        <w:spacing/>
        <w:ind/>
        <w:rPr/>
      </w:pPr>
      <w:r>
        <w:rPr/>
        <w:t xml:space="preserve">Članak 25.</w:t>
      </w:r>
    </w:p>
    <w:p>
      <w:pPr>
        <w:pBdr/>
        <w:pStyle w:val="Normal"/>
        <w:spacing/>
        <w:ind/>
        <w:rPr>
          <w:rFonts w:ascii="Arial" w:eastAsia="Arial" w:hAnsi="Arial" w:cs="Arial"/>
        </w:rPr>
      </w:pPr>
      <w:r>
        <w:rPr>
          <w:rFonts w:ascii="Arial" w:eastAsia="Arial" w:hAnsi="Arial" w:cs="Arial"/>
        </w:rPr>
        <w:t xml:space="preserve">(1) Operater je obvezan izraditi Plan usklađivanja postrojenja s tehničkim standardima zaštite okoliša uređenim ovim Zakonom te s propisanim mjerama iz potvrđenih međunarodnih ugovora.</w:t>
      </w:r>
    </w:p>
    <w:p>
      <w:pPr>
        <w:pBdr/>
        <w:pStyle w:val="Normal"/>
        <w:spacing/>
        <w:ind/>
        <w:rPr>
          <w:rFonts w:ascii="Arial" w:eastAsia="Arial" w:hAnsi="Arial" w:cs="Arial"/>
        </w:rPr>
      </w:pPr>
      <w:r>
        <w:rPr>
          <w:rFonts w:ascii="Arial" w:eastAsia="Arial" w:hAnsi="Arial" w:cs="Arial"/>
        </w:rPr>
        <w:t xml:space="preserve">(2) Pri izradi Plana iz stavka 1. ovoga članka operater je obvezan poštivati ovim Zakonom određene tehničke standarde i rokove prilagodbe postrojenja te se pridržavati utvrđenih tehničkih standarda i rokova prilikom provedbe toga Plana.</w:t>
      </w:r>
    </w:p>
    <w:p>
      <w:pPr>
        <w:pBdr/>
        <w:pStyle w:val="Normal"/>
        <w:spacing/>
        <w:ind/>
        <w:rPr>
          <w:rFonts w:ascii="Arial" w:eastAsia="Arial" w:hAnsi="Arial" w:cs="Arial"/>
        </w:rPr>
      </w:pPr>
      <w:r>
        <w:rPr>
          <w:rFonts w:ascii="Arial" w:eastAsia="Arial" w:hAnsi="Arial" w:cs="Arial"/>
        </w:rPr>
        <w:t xml:space="preserve">(3) Pravne i fizičke osobe - obrtnici koje obavljaju djelatnosti u području zaštite okoliša, odnosno djelatnosti koje se odnose na pojedine sastavnice okoliša i/ili opterećenje sukladno posebnim propisima, u svrhu zaštite okoliša izrađuju odgovarajuće planske dokumente u vezi s djelatnošću koju obavljaju, ako je njihova izrada propisana posebnim propisima.</w:t>
      </w:r>
    </w:p>
    <w:p>
      <w:pPr>
        <w:pBdr/>
        <w:pStyle w:val="Normal"/>
        <w:spacing/>
        <w:ind/>
        <w:rPr>
          <w:rFonts w:ascii="Arial" w:eastAsia="Arial" w:hAnsi="Arial" w:cs="Arial"/>
        </w:rPr>
      </w:pPr>
      <w:r>
        <w:rPr>
          <w:rFonts w:ascii="Arial" w:eastAsia="Arial" w:hAnsi="Arial" w:cs="Arial"/>
        </w:rPr>
        <w:t xml:space="preserve">(4) Kada obveza iz stavka 3. ovoga članka nije propisana, pravne i fizičke osobe - obrtnici mogu za svoje potrebe izraditi planski dokument u vezi sa zaštitom okoliša i obavljanjem svoje djelatnosti.</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06" w:id="3"/>
      <w:r>
        <w:rPr>
          <w:rFonts w:ascii="Arial" w:eastAsia="Arial" w:hAnsi="Arial" w:cs="Arial"/>
          <w:szCs w:val="24"/>
        </w:rPr>
        <w:t xml:space="preserve">DIO ČETVRTI OSOBE OVLAŠTENE ZA STRUČNE POSLOVE ZAŠTITE OKOLIŠA I PRIRODE</w:t>
      </w:r>
      <w:bookmarkEnd w:id="3"/>
    </w:p>
    <w:p>
      <w:pPr>
        <w:pBdr/>
        <w:pStyle w:val="Heading 2"/>
        <w:spacing/>
        <w:ind/>
        <w:rPr/>
      </w:pPr>
      <w:r>
        <w:rPr/>
        <w:t xml:space="preserve">Članak 26.</w:t>
      </w:r>
    </w:p>
    <w:p>
      <w:pPr>
        <w:pBdr/>
        <w:pStyle w:val="Normal"/>
        <w:spacing/>
        <w:ind/>
        <w:rPr>
          <w:rFonts w:ascii="Arial" w:eastAsia="Arial" w:hAnsi="Arial" w:cs="Arial"/>
        </w:rPr>
      </w:pPr>
      <w:r>
        <w:rPr>
          <w:rFonts w:ascii="Arial" w:eastAsia="Arial" w:hAnsi="Arial" w:cs="Arial"/>
        </w:rPr>
        <w:t xml:space="preserve">(1) Stručne poslove zaštite okoliša i prirode pod uvjetima propisanim ovim Zakonom, obavljaju ovlaštenik i Ministarstvo odnosno Zavod. </w:t>
      </w:r>
    </w:p>
    <w:p>
      <w:pPr>
        <w:pBdr/>
        <w:pStyle w:val="Normal"/>
        <w:spacing/>
        <w:ind/>
        <w:rPr>
          <w:rFonts w:ascii="Arial" w:eastAsia="Arial" w:hAnsi="Arial" w:cs="Arial"/>
        </w:rPr>
      </w:pPr>
      <w:r>
        <w:rPr>
          <w:rFonts w:ascii="Arial" w:eastAsia="Arial" w:hAnsi="Arial" w:cs="Arial"/>
        </w:rPr>
        <w:t xml:space="preserve">(2) Ovlaštenik iz stavka 1. ovoga članka pod uvjetima određenim ovim Zakonom može obavljati sljedeće stručne poslove:</w:t>
      </w:r>
    </w:p>
    <w:p>
      <w:pPr>
        <w:pBdr/>
        <w:pStyle w:val="Normal"/>
        <w:spacing/>
        <w:ind/>
        <w:rPr>
          <w:rFonts w:ascii="Arial" w:eastAsia="Arial" w:hAnsi="Arial" w:cs="Arial"/>
        </w:rPr>
      </w:pPr>
      <w:r>
        <w:rPr>
          <w:rFonts w:ascii="Arial" w:eastAsia="Arial" w:hAnsi="Arial" w:cs="Arial"/>
        </w:rPr>
        <w:t xml:space="preserve">1. izrada strateških studija</w:t>
      </w:r>
    </w:p>
    <w:p>
      <w:pPr>
        <w:pBdr/>
        <w:pStyle w:val="Normal"/>
        <w:spacing/>
        <w:ind/>
        <w:rPr>
          <w:rFonts w:ascii="Arial" w:eastAsia="Arial" w:hAnsi="Arial" w:cs="Arial"/>
        </w:rPr>
      </w:pPr>
      <w:r>
        <w:rPr>
          <w:rFonts w:ascii="Arial" w:eastAsia="Arial" w:hAnsi="Arial" w:cs="Arial"/>
        </w:rPr>
        <w:t xml:space="preserve">2. izrada studija o utjecaju zahvata na okoliš, uključujući i dokumentaciju za provedbu postupka ocjene o potrebi procjene utjecaja zahvata na okoliš, dokumentacije za određivanje sadržaja studije o utjecaju zahvata na okoliš i dokumentacije o usklađenosti glavnog projekta s mjerama zaštite okoliša i programom praćenja stanja okoliša</w:t>
      </w:r>
    </w:p>
    <w:p>
      <w:pPr>
        <w:pBdr/>
        <w:pStyle w:val="Normal"/>
        <w:spacing/>
        <w:ind/>
        <w:rPr>
          <w:rFonts w:ascii="Arial" w:eastAsia="Arial" w:hAnsi="Arial" w:cs="Arial"/>
        </w:rPr>
      </w:pPr>
      <w:r>
        <w:rPr>
          <w:rFonts w:ascii="Arial" w:eastAsia="Arial" w:hAnsi="Arial" w:cs="Arial"/>
        </w:rPr>
        <w:t xml:space="preserve">3. izrada poglavlja i studija glavne ocjene prihvatljivosti strategije, plana ili programa za ekološku mrežu</w:t>
      </w:r>
    </w:p>
    <w:p>
      <w:pPr>
        <w:pBdr/>
        <w:pStyle w:val="Normal"/>
        <w:spacing/>
        <w:ind/>
        <w:rPr>
          <w:rFonts w:ascii="Arial" w:eastAsia="Arial" w:hAnsi="Arial" w:cs="Arial"/>
        </w:rPr>
      </w:pPr>
      <w:r>
        <w:rPr>
          <w:rFonts w:ascii="Arial" w:eastAsia="Arial" w:hAnsi="Arial" w:cs="Arial"/>
        </w:rPr>
        <w:t xml:space="preserve">4. izrada poglavlja i studija glavne ocjene prihvatljivosti za ekološku mrežu</w:t>
      </w:r>
    </w:p>
    <w:p>
      <w:pPr>
        <w:pBdr/>
        <w:pStyle w:val="Normal"/>
        <w:spacing/>
        <w:ind/>
        <w:rPr>
          <w:rFonts w:ascii="Arial" w:eastAsia="Arial" w:hAnsi="Arial" w:cs="Arial"/>
        </w:rPr>
      </w:pPr>
      <w:r>
        <w:rPr>
          <w:rFonts w:ascii="Arial" w:eastAsia="Arial" w:hAnsi="Arial" w:cs="Arial"/>
        </w:rPr>
        <w:t xml:space="preserve">5. izrada dokumentacije za utvrđivanje prevladavajućeg javnog interesa i odobravanje zahvata uz kompenzacijske uvjete</w:t>
      </w:r>
    </w:p>
    <w:p>
      <w:pPr>
        <w:pBdr/>
        <w:pStyle w:val="Normal"/>
        <w:spacing/>
        <w:ind/>
        <w:rPr>
          <w:rFonts w:ascii="Arial" w:eastAsia="Arial" w:hAnsi="Arial" w:cs="Arial"/>
        </w:rPr>
      </w:pPr>
      <w:r>
        <w:rPr>
          <w:rFonts w:ascii="Arial" w:eastAsia="Arial" w:hAnsi="Arial" w:cs="Arial"/>
        </w:rPr>
        <w:t xml:space="preserve">6. izrada procjene rizika i osjetljivosti za sastavnice okoliša</w:t>
      </w:r>
    </w:p>
    <w:p>
      <w:pPr>
        <w:pBdr/>
        <w:pStyle w:val="Normal"/>
        <w:spacing/>
        <w:ind/>
        <w:rPr>
          <w:rFonts w:ascii="Arial" w:eastAsia="Arial" w:hAnsi="Arial" w:cs="Arial"/>
        </w:rPr>
      </w:pPr>
      <w:r>
        <w:rPr>
          <w:rFonts w:ascii="Arial" w:eastAsia="Arial" w:hAnsi="Arial" w:cs="Arial"/>
        </w:rPr>
        <w:t xml:space="preserve">7. izrada programa zaštite okoliša</w:t>
      </w:r>
    </w:p>
    <w:p>
      <w:pPr>
        <w:pBdr/>
        <w:pStyle w:val="Normal"/>
        <w:spacing/>
        <w:ind/>
        <w:rPr>
          <w:rFonts w:ascii="Arial" w:eastAsia="Arial" w:hAnsi="Arial" w:cs="Arial"/>
        </w:rPr>
      </w:pPr>
      <w:r>
        <w:rPr>
          <w:rFonts w:ascii="Arial" w:eastAsia="Arial" w:hAnsi="Arial" w:cs="Arial"/>
        </w:rPr>
        <w:t xml:space="preserve">8. izrada izvješća o stanju okoliša iz članka 24. stavka 1. ovoga Zakona</w:t>
      </w:r>
    </w:p>
    <w:p>
      <w:pPr>
        <w:pBdr/>
        <w:pStyle w:val="Normal"/>
        <w:spacing/>
        <w:ind/>
        <w:rPr>
          <w:rFonts w:ascii="Arial" w:eastAsia="Arial" w:hAnsi="Arial" w:cs="Arial"/>
        </w:rPr>
      </w:pPr>
      <w:r>
        <w:rPr>
          <w:rFonts w:ascii="Arial" w:eastAsia="Arial" w:hAnsi="Arial" w:cs="Arial"/>
        </w:rPr>
        <w:t xml:space="preserve">9. praćenje stanja okoliša</w:t>
      </w:r>
    </w:p>
    <w:p>
      <w:pPr>
        <w:pBdr/>
        <w:pStyle w:val="Normal"/>
        <w:spacing/>
        <w:ind/>
        <w:rPr>
          <w:rFonts w:ascii="Arial" w:eastAsia="Arial" w:hAnsi="Arial" w:cs="Arial"/>
        </w:rPr>
      </w:pPr>
      <w:r>
        <w:rPr>
          <w:rFonts w:ascii="Arial" w:eastAsia="Arial" w:hAnsi="Arial" w:cs="Arial"/>
        </w:rPr>
        <w:t xml:space="preserve">10. izrada temeljnog izvješća, uključujući analizu mogućnosti onečišćenja tla i podzemnih voda, izrada izvješća o stanju lokacije te izrada sustavne procjene rizika od onečišćenja tla i podzemnih voda </w:t>
      </w:r>
    </w:p>
    <w:p>
      <w:pPr>
        <w:pBdr/>
        <w:pStyle w:val="Normal"/>
        <w:spacing/>
        <w:ind/>
        <w:rPr>
          <w:rFonts w:ascii="Arial" w:eastAsia="Arial" w:hAnsi="Arial" w:cs="Arial"/>
        </w:rPr>
      </w:pPr>
      <w:r>
        <w:rPr>
          <w:rFonts w:ascii="Arial" w:eastAsia="Arial" w:hAnsi="Arial" w:cs="Arial"/>
        </w:rPr>
        <w:t xml:space="preserve">11. izrada sanacijskih programa </w:t>
      </w:r>
    </w:p>
    <w:p>
      <w:pPr>
        <w:pBdr/>
        <w:pStyle w:val="Normal"/>
        <w:spacing/>
        <w:ind/>
        <w:rPr>
          <w:rFonts w:ascii="Arial" w:eastAsia="Arial" w:hAnsi="Arial" w:cs="Arial"/>
        </w:rPr>
      </w:pPr>
      <w:r>
        <w:rPr>
          <w:rFonts w:ascii="Arial" w:eastAsia="Arial" w:hAnsi="Arial" w:cs="Arial"/>
        </w:rPr>
        <w:t xml:space="preserve">12. izrada projekcija i izvješća o projekcijama emisija staklenički plinova, izvješća o provedbi politike i mjera smanjenja emisija, nacionalnog izvješća o promjeni klime, dvogodišnjeg izvješća o transparentnosti</w:t>
      </w:r>
    </w:p>
    <w:p>
      <w:pPr>
        <w:pBdr/>
        <w:pStyle w:val="Normal"/>
        <w:spacing/>
        <w:ind/>
        <w:rPr>
          <w:rFonts w:ascii="Arial" w:eastAsia="Arial" w:hAnsi="Arial" w:cs="Arial"/>
        </w:rPr>
      </w:pPr>
      <w:r>
        <w:rPr>
          <w:rFonts w:ascii="Arial" w:eastAsia="Arial" w:hAnsi="Arial" w:cs="Arial"/>
        </w:rPr>
        <w:t xml:space="preserve">13. izrada proračuna i izvješća o proračunu (inventaru) emisija stakleničkih plinova</w:t>
      </w:r>
    </w:p>
    <w:p>
      <w:pPr>
        <w:pBdr/>
        <w:pStyle w:val="Normal"/>
        <w:spacing/>
        <w:ind/>
        <w:rPr>
          <w:rFonts w:ascii="Arial" w:eastAsia="Arial" w:hAnsi="Arial" w:cs="Arial"/>
        </w:rPr>
      </w:pPr>
      <w:r>
        <w:rPr>
          <w:rFonts w:ascii="Arial" w:eastAsia="Arial" w:hAnsi="Arial" w:cs="Arial"/>
        </w:rPr>
        <w:t xml:space="preserve">14. izrada proračuna i izvješća o proračunu (inventaru) emisija onečišćujućih tvari u zrak</w:t>
      </w:r>
    </w:p>
    <w:p>
      <w:pPr>
        <w:pBdr/>
        <w:pStyle w:val="Normal"/>
        <w:spacing/>
        <w:ind/>
        <w:rPr>
          <w:rFonts w:ascii="Arial" w:eastAsia="Arial" w:hAnsi="Arial" w:cs="Arial"/>
        </w:rPr>
      </w:pPr>
      <w:r>
        <w:rPr>
          <w:rFonts w:ascii="Arial" w:eastAsia="Arial" w:hAnsi="Arial" w:cs="Arial"/>
        </w:rPr>
        <w:t xml:space="preserve">15. izrada projekcija emisija onečišćujućih tvari u zrak</w:t>
      </w:r>
    </w:p>
    <w:p>
      <w:pPr>
        <w:pBdr/>
        <w:pStyle w:val="Normal"/>
        <w:spacing/>
        <w:ind/>
        <w:rPr>
          <w:rFonts w:ascii="Arial" w:eastAsia="Arial" w:hAnsi="Arial" w:cs="Arial"/>
        </w:rPr>
      </w:pPr>
      <w:r>
        <w:rPr>
          <w:rFonts w:ascii="Arial" w:eastAsia="Arial" w:hAnsi="Arial" w:cs="Arial"/>
        </w:rPr>
        <w:t xml:space="preserve">16. izrada prostorne raspodjele emisija onečišćujućih tvari u zrak</w:t>
      </w:r>
    </w:p>
    <w:p>
      <w:pPr>
        <w:pBdr/>
        <w:pStyle w:val="Normal"/>
        <w:spacing/>
        <w:ind/>
        <w:rPr>
          <w:rFonts w:ascii="Arial" w:eastAsia="Arial" w:hAnsi="Arial" w:cs="Arial"/>
        </w:rPr>
      </w:pPr>
      <w:r>
        <w:rPr>
          <w:rFonts w:ascii="Arial" w:eastAsia="Arial" w:hAnsi="Arial" w:cs="Arial"/>
        </w:rPr>
        <w:t xml:space="preserve">17. izrada posebnih elaborata, proračuna i projekcija za potrebe sastavnica okoliša</w:t>
      </w:r>
    </w:p>
    <w:p>
      <w:pPr>
        <w:pBdr/>
        <w:pStyle w:val="Normal"/>
        <w:spacing/>
        <w:ind/>
        <w:rPr>
          <w:rFonts w:ascii="Arial" w:eastAsia="Arial" w:hAnsi="Arial" w:cs="Arial"/>
        </w:rPr>
      </w:pPr>
      <w:r>
        <w:rPr>
          <w:rFonts w:ascii="Arial" w:eastAsia="Arial" w:hAnsi="Arial" w:cs="Arial"/>
        </w:rPr>
        <w:t xml:space="preserve">18. izrada elaborata o zaštiti okoliša koji se odnose na zahvate za koje nije propisana obveza procjene utjecaja zahvata na okoliš, niti ocjene o potrebi procjene utjecaja zahvata na okoliš</w:t>
      </w:r>
    </w:p>
    <w:p>
      <w:pPr>
        <w:pBdr/>
        <w:pStyle w:val="Normal"/>
        <w:spacing/>
        <w:ind/>
        <w:rPr>
          <w:rFonts w:ascii="Arial" w:eastAsia="Arial" w:hAnsi="Arial" w:cs="Arial"/>
        </w:rPr>
      </w:pPr>
      <w:r>
        <w:rPr>
          <w:rFonts w:ascii="Arial" w:eastAsia="Arial" w:hAnsi="Arial" w:cs="Arial"/>
        </w:rPr>
        <w:t xml:space="preserve">19. izrada elaborata o usklađenosti proizvoda s mjerilima u postupku ishođenja znaka zaštite okoliša EU Ecolabel.</w:t>
      </w:r>
    </w:p>
    <w:p>
      <w:pPr>
        <w:pBdr/>
        <w:pStyle w:val="Normal"/>
        <w:spacing/>
        <w:ind/>
        <w:rPr>
          <w:rFonts w:ascii="Arial" w:eastAsia="Arial" w:hAnsi="Arial" w:cs="Arial"/>
        </w:rPr>
      </w:pPr>
      <w:r>
        <w:rPr>
          <w:rFonts w:ascii="Arial" w:eastAsia="Arial" w:hAnsi="Arial" w:cs="Arial"/>
        </w:rPr>
        <w:t xml:space="preserve">(3) Ministarstvo odnosno Zavod obavlja stručne poslove iz stavka 2. točke 9. ovoga članka. </w:t>
      </w:r>
    </w:p>
    <w:p>
      <w:pPr>
        <w:pBdr/>
        <w:pStyle w:val="Normal"/>
        <w:spacing/>
        <w:ind/>
        <w:rPr>
          <w:rFonts w:ascii="Arial" w:eastAsia="Arial" w:hAnsi="Arial" w:cs="Arial"/>
        </w:rPr>
      </w:pPr>
      <w:r>
        <w:rPr>
          <w:rFonts w:ascii="Arial" w:eastAsia="Arial" w:hAnsi="Arial" w:cs="Arial"/>
        </w:rPr>
        <w:t xml:space="preserve">(4) Ovlaštenik iz stavka 1. ovoga članka prije početka obavljanja stručnih poslova iz stavka 2. ovoga članka mora ishoditi suglasnost Ministarstva, a Ministarstvo vodi evidenciju izdanih suglasnosti i objavljuje je na svojoj mrežnoj stranici.</w:t>
      </w:r>
    </w:p>
    <w:p>
      <w:pPr>
        <w:pBdr/>
        <w:pStyle w:val="Normal"/>
        <w:spacing/>
        <w:ind/>
        <w:rPr>
          <w:rFonts w:ascii="Arial" w:eastAsia="Arial" w:hAnsi="Arial" w:cs="Arial"/>
        </w:rPr>
      </w:pPr>
      <w:r>
        <w:rPr>
          <w:rFonts w:ascii="Arial" w:eastAsia="Arial" w:hAnsi="Arial" w:cs="Arial"/>
          <w:color w:val="242424"/>
        </w:rPr>
        <w:t xml:space="preserve">(5) Ovlaštenik iz stavka 1. ovoga članka odgovoran je za istinitost, točnost, stručnu utemeljenost i udovoljavanje propisanim zahtjevima u vezi s izradom i sadržajem dokumenata za čiju izradu ima ovlaštenje.</w:t>
      </w:r>
      <w:r>
        <w:rPr>
          <w:rFonts w:ascii="Arial" w:eastAsia="Arial" w:hAnsi="Arial" w:cs="Arial"/>
        </w:rPr>
        <w:t xml:space="preserve"> </w:t>
      </w:r>
    </w:p>
    <w:p>
      <w:pPr>
        <w:pBdr/>
        <w:pStyle w:val="Normal"/>
        <w:spacing/>
        <w:ind/>
        <w:rPr>
          <w:rFonts w:ascii="Arial" w:eastAsia="Arial" w:hAnsi="Arial" w:cs="Arial"/>
        </w:rPr>
      </w:pPr>
      <w:r>
        <w:rPr>
          <w:rFonts w:ascii="Arial" w:eastAsia="Arial" w:hAnsi="Arial" w:cs="Arial"/>
        </w:rPr>
        <w:t xml:space="preserve">(6) Stručne poslove zaštite okoliša i prirode u postupku koji se vodi na temelju ovoga Zakona ne može kao ovlaštenik obavljati osoba koja u tom postupku sudjeluje kao nositelj zahvata, operater, izrađivač strategije, plana ili programa odnosno projektant.</w:t>
      </w:r>
    </w:p>
    <w:p>
      <w:pPr>
        <w:pBdr/>
        <w:pStyle w:val="Normal"/>
        <w:spacing/>
        <w:ind/>
        <w:rPr>
          <w:rFonts w:ascii="Arial" w:eastAsia="Arial" w:hAnsi="Arial" w:cs="Arial"/>
        </w:rPr>
      </w:pPr>
    </w:p>
    <w:p>
      <w:pPr>
        <w:pBdr/>
        <w:pStyle w:val="Heading 2"/>
        <w:spacing/>
        <w:ind/>
        <w:rPr/>
      </w:pPr>
      <w:r>
        <w:rPr/>
        <w:t xml:space="preserve">Uvjeti</w:t>
      </w:r>
    </w:p>
    <w:p>
      <w:pPr>
        <w:pBdr/>
        <w:pStyle w:val="Heading 2"/>
        <w:spacing/>
        <w:ind/>
        <w:rPr/>
      </w:pPr>
      <w:r>
        <w:rPr/>
        <w:t xml:space="preserve">Članak 27.</w:t>
      </w:r>
    </w:p>
    <w:p>
      <w:pPr>
        <w:pBdr/>
        <w:pStyle w:val="Normal"/>
        <w:spacing/>
        <w:ind/>
        <w:rPr>
          <w:rFonts w:ascii="Arial" w:eastAsia="Arial" w:hAnsi="Arial" w:cs="Arial"/>
        </w:rPr>
      </w:pPr>
      <w:r>
        <w:rPr>
          <w:rFonts w:ascii="Arial" w:eastAsia="Arial" w:hAnsi="Arial" w:cs="Arial"/>
        </w:rPr>
        <w:t xml:space="preserve">(1) Uz zahtjev za izdavanje suglasnosti iz članka 26. stavka 4. ovoga Zakona pravna osoba, odnosno fizička osoba – obrtnik dužna je priložiti dokaze o ispunjavanju sljedećih uvjeta:</w:t>
      </w:r>
    </w:p>
    <w:p>
      <w:pPr>
        <w:pBdr/>
        <w:pStyle w:val="Normal"/>
        <w:spacing/>
        <w:ind/>
        <w:rPr>
          <w:rFonts w:ascii="Arial" w:eastAsia="Arial" w:hAnsi="Arial" w:cs="Arial"/>
        </w:rPr>
      </w:pPr>
      <w:r>
        <w:rPr>
          <w:rFonts w:ascii="Arial" w:eastAsia="Arial" w:hAnsi="Arial" w:cs="Arial"/>
        </w:rPr>
        <w:t xml:space="preserve">1. da je registrirana za obavljanje stručnih poslova zaštite okoliša i/ili prirode</w:t>
      </w:r>
    </w:p>
    <w:p>
      <w:pPr>
        <w:pBdr/>
        <w:pStyle w:val="Normal"/>
        <w:spacing/>
        <w:ind/>
        <w:rPr>
          <w:rFonts w:ascii="Arial" w:eastAsia="Arial" w:hAnsi="Arial" w:cs="Arial"/>
        </w:rPr>
      </w:pPr>
      <w:r>
        <w:rPr>
          <w:rFonts w:ascii="Arial" w:eastAsia="Arial" w:hAnsi="Arial" w:cs="Arial"/>
        </w:rPr>
        <w:t xml:space="preserve">2. da ima u radnom odnosu zaposlene stručne osobe za obavljanje stručnih poslova za koje traži suglasnost</w:t>
      </w:r>
    </w:p>
    <w:p>
      <w:pPr>
        <w:pBdr/>
        <w:pStyle w:val="Normal"/>
        <w:spacing/>
        <w:ind/>
        <w:rPr>
          <w:rFonts w:ascii="Arial" w:eastAsia="Arial" w:hAnsi="Arial" w:cs="Arial"/>
        </w:rPr>
      </w:pPr>
      <w:r>
        <w:rPr>
          <w:rFonts w:ascii="Arial" w:eastAsia="Arial" w:hAnsi="Arial" w:cs="Arial"/>
        </w:rPr>
        <w:t xml:space="preserve">3. da ima najmanje jednog voditelja stručnih poslova i dva stručna suradnika u stalnom radnom odnosu zaposlene na puno radno vrijeme</w:t>
      </w:r>
    </w:p>
    <w:p>
      <w:pPr>
        <w:pBdr/>
        <w:pStyle w:val="Normal"/>
        <w:spacing/>
        <w:ind/>
        <w:rPr>
          <w:rFonts w:ascii="Arial" w:eastAsia="Arial" w:hAnsi="Arial" w:cs="Arial"/>
        </w:rPr>
      </w:pPr>
      <w:r>
        <w:rPr>
          <w:rFonts w:ascii="Arial" w:eastAsia="Arial" w:hAnsi="Arial" w:cs="Arial"/>
        </w:rPr>
        <w:t xml:space="preserve">4. da voditelj stručnih poslova ima najmanje pet godina radnog iskustva na stručnim poslovima zaštite okoliša i/ili prirode</w:t>
      </w:r>
    </w:p>
    <w:p>
      <w:pPr>
        <w:pBdr/>
        <w:pStyle w:val="Normal"/>
        <w:spacing/>
        <w:ind/>
        <w:rPr>
          <w:rFonts w:ascii="Arial" w:eastAsia="Arial" w:hAnsi="Arial" w:cs="Arial"/>
        </w:rPr>
      </w:pPr>
      <w:r>
        <w:rPr>
          <w:rFonts w:ascii="Arial" w:eastAsia="Arial" w:hAnsi="Arial" w:cs="Arial"/>
        </w:rPr>
        <w:t xml:space="preserve">5. da stručni suradnik ima najmanje tri godine radnog iskustva na stručnim poslovima zaštite okoliša i/ili prirode.</w:t>
      </w:r>
    </w:p>
    <w:p>
      <w:pPr>
        <w:pBdr/>
        <w:pStyle w:val="Normal"/>
        <w:spacing/>
        <w:ind/>
        <w:rPr>
          <w:rFonts w:ascii="Arial" w:eastAsia="Arial" w:hAnsi="Arial" w:cs="Arial"/>
        </w:rPr>
      </w:pPr>
      <w:r>
        <w:rPr>
          <w:rFonts w:ascii="Arial" w:eastAsia="Arial" w:hAnsi="Arial" w:cs="Arial"/>
        </w:rPr>
        <w:t xml:space="preserve">(2) Ovisno o vrsti stručnih poslova iz članka 26. stavka 2. ovoga Zakona, ovlaštenik mora osigurati odgovarajuću stručnu osposobljenost voditelja stručnih poslova i stručnih suradnika, i to:</w:t>
      </w:r>
    </w:p>
    <w:p>
      <w:pPr>
        <w:pBdr/>
        <w:pStyle w:val="Normal"/>
        <w:spacing/>
        <w:ind/>
        <w:rPr>
          <w:rFonts w:ascii="Arial" w:eastAsia="Arial" w:hAnsi="Arial" w:cs="Arial"/>
        </w:rPr>
      </w:pPr>
      <w:r>
        <w:rPr>
          <w:rFonts w:ascii="Arial" w:eastAsia="Arial" w:hAnsi="Arial" w:cs="Arial"/>
        </w:rPr>
        <w:t xml:space="preserve">1. za poslove iz članka 26. stavka 2. točaka 1., 2., 6., 7., 8., 9., 17., 18. i 19. iz područja prirodnih, tehničkih, biotehničkih, društvenih ili humanističkih znanosti te biomedicine i zdravstva </w:t>
      </w:r>
    </w:p>
    <w:p>
      <w:pPr>
        <w:pBdr/>
        <w:pStyle w:val="Normal"/>
        <w:spacing/>
        <w:ind/>
        <w:rPr>
          <w:rFonts w:ascii="Arial" w:eastAsia="Arial" w:hAnsi="Arial" w:cs="Arial"/>
        </w:rPr>
      </w:pPr>
      <w:r>
        <w:rPr>
          <w:rFonts w:ascii="Arial" w:eastAsia="Arial" w:hAnsi="Arial" w:cs="Arial"/>
        </w:rPr>
        <w:t xml:space="preserve">2. za poslove iz članka 26. stavka 2. točaka 3., 4. i 5. iz područja prirodnih znanosti (biologija, interdisciplinarne prirodne znanosti ili geografija) ili biotehničkih znanosti (poljoprivreda ili  šumarstvo)</w:t>
      </w:r>
    </w:p>
    <w:p>
      <w:pPr>
        <w:pBdr/>
        <w:pStyle w:val="Normal"/>
        <w:spacing/>
        <w:ind/>
        <w:rPr>
          <w:rFonts w:ascii="Arial" w:eastAsia="Arial" w:hAnsi="Arial" w:cs="Arial"/>
        </w:rPr>
      </w:pPr>
      <w:r>
        <w:rPr>
          <w:rFonts w:ascii="Arial" w:eastAsia="Arial" w:hAnsi="Arial" w:cs="Arial"/>
        </w:rPr>
        <w:t xml:space="preserve">3. za poslove iz članka 26. stavka 2. točke 10. iz područja prirodnih znanosti (kemija i geologija), područja tehničkih znanosti (građevinarstvo i geološko inženjerstvo) te biomedicine i zdravstva</w:t>
      </w:r>
    </w:p>
    <w:p>
      <w:pPr>
        <w:pBdr/>
        <w:pStyle w:val="Normal"/>
        <w:spacing/>
        <w:ind/>
        <w:rPr>
          <w:rFonts w:ascii="Arial" w:eastAsia="Arial" w:hAnsi="Arial" w:cs="Arial"/>
        </w:rPr>
      </w:pPr>
      <w:r>
        <w:rPr>
          <w:rFonts w:ascii="Arial" w:eastAsia="Arial" w:hAnsi="Arial" w:cs="Arial"/>
        </w:rPr>
        <w:t xml:space="preserve">4. za poslove iz članka 26. stavka 2. točke 11. iz područja prirodnih, tehničkih, društvenih znanosti te biomedicine i zdravstva</w:t>
      </w:r>
    </w:p>
    <w:p>
      <w:pPr>
        <w:pBdr/>
        <w:pStyle w:val="Normal"/>
        <w:spacing/>
        <w:ind/>
        <w:rPr>
          <w:rFonts w:ascii="Arial" w:eastAsia="Arial" w:hAnsi="Arial" w:cs="Arial"/>
        </w:rPr>
      </w:pPr>
      <w:r>
        <w:rPr>
          <w:rFonts w:ascii="Arial" w:eastAsia="Arial" w:hAnsi="Arial" w:cs="Arial"/>
        </w:rPr>
        <w:t xml:space="preserve">5. za poslove iz članka 26. stavka 2. točaka 12., 13., 14., 15. i 16. iz područja prirodnih, tehničkih ili biotehničkih znanosti.</w:t>
      </w:r>
    </w:p>
    <w:p>
      <w:pPr>
        <w:pBdr/>
        <w:pStyle w:val="Normal"/>
        <w:spacing/>
        <w:ind/>
        <w:rPr>
          <w:rFonts w:ascii="Arial" w:eastAsia="Arial" w:hAnsi="Arial" w:cs="Arial"/>
        </w:rPr>
      </w:pPr>
      <w:r>
        <w:rPr>
          <w:rFonts w:ascii="Arial" w:eastAsia="Arial" w:hAnsi="Arial" w:cs="Arial"/>
        </w:rPr>
        <w:t xml:space="preserve">(3) Za poslove iz članka 26. stavka 2. točke 9. ovlaštenik mora raspolagati odgovarajućom opremom te, ako se radi o praćenju emisija i kvalitete zraka, posjedovati dozvolu sukladno posebnom propisu iz područja zaštite zraka.</w:t>
      </w:r>
    </w:p>
    <w:p>
      <w:pPr>
        <w:pBdr/>
        <w:pStyle w:val="Normal"/>
        <w:spacing/>
        <w:ind/>
        <w:rPr>
          <w:rFonts w:ascii="Arial" w:eastAsia="Arial" w:hAnsi="Arial" w:cs="Arial"/>
        </w:rPr>
      </w:pPr>
      <w:r>
        <w:rPr>
          <w:rFonts w:ascii="Arial" w:eastAsia="Arial" w:hAnsi="Arial" w:cs="Arial"/>
        </w:rPr>
        <w:t xml:space="preserve">(4) Ovlaštenik iz članka 26. stavka 1. ovoga Zakona može za obavljanje pojedinih stručnih poslova za koje nema zaposlenu stručnu osobu osigurati vanjskog stručnog suradnika koji zadovoljava kvalifikacije navedene u stavku 2. ovoga članka.</w:t>
      </w:r>
    </w:p>
    <w:p>
      <w:pPr>
        <w:pBdr/>
        <w:pStyle w:val="Normal"/>
        <w:spacing/>
        <w:ind/>
        <w:rPr>
          <w:rFonts w:ascii="Arial" w:eastAsia="Arial" w:hAnsi="Arial" w:cs="Arial"/>
        </w:rPr>
      </w:pPr>
    </w:p>
    <w:p>
      <w:pPr>
        <w:pBdr/>
        <w:pStyle w:val="Heading 2"/>
        <w:spacing/>
        <w:ind/>
        <w:rPr/>
      </w:pPr>
      <w:r>
        <w:rPr/>
        <w:t xml:space="preserve">Suglasnost</w:t>
      </w:r>
    </w:p>
    <w:p>
      <w:pPr>
        <w:pBdr/>
        <w:pStyle w:val="Heading 2"/>
        <w:spacing/>
        <w:ind/>
        <w:rPr/>
      </w:pPr>
      <w:r>
        <w:rPr/>
        <w:t xml:space="preserve">Članak 28.</w:t>
      </w:r>
    </w:p>
    <w:p>
      <w:pPr>
        <w:pBdr/>
        <w:pStyle w:val="Normal"/>
        <w:spacing/>
        <w:ind/>
        <w:rPr>
          <w:rFonts w:ascii="Arial" w:eastAsia="Arial" w:hAnsi="Arial" w:cs="Arial"/>
        </w:rPr>
      </w:pPr>
      <w:r>
        <w:rPr>
          <w:rFonts w:ascii="Arial" w:eastAsia="Arial" w:hAnsi="Arial" w:cs="Arial"/>
        </w:rPr>
        <w:t xml:space="preserve"> Ovlaštenik ne može obavljati stručne poslove iz članka 26. stavka 2. ovoga Zakona bez suglasnosti Ministarstva. </w:t>
      </w:r>
    </w:p>
    <w:p>
      <w:pPr>
        <w:pBdr/>
        <w:pStyle w:val="Normal"/>
        <w:spacing/>
        <w:ind/>
        <w:rPr>
          <w:rFonts w:ascii="Arial" w:eastAsia="Arial" w:hAnsi="Arial" w:cs="Arial"/>
          <w:color w:val="000000"/>
        </w:rPr>
      </w:pPr>
      <w:r>
        <w:rPr>
          <w:rFonts w:ascii="Arial" w:eastAsia="Arial" w:hAnsi="Arial" w:cs="Arial"/>
        </w:rPr>
        <w:t xml:space="preserve"> Suglasnost za obavljanje stručnih poslova iz članka 26. stavka 4. ovoga Zakona daje se za razdoblje od pet godina.</w:t>
      </w:r>
    </w:p>
    <w:p>
      <w:pPr>
        <w:pBdr/>
        <w:pStyle w:val="Normal"/>
        <w:spacing/>
        <w:ind/>
        <w:rPr>
          <w:rFonts w:ascii="Arial" w:eastAsia="Arial" w:hAnsi="Arial" w:cs="Arial"/>
          <w:color w:val="000000"/>
        </w:rPr>
      </w:pPr>
      <w:r>
        <w:rPr>
          <w:rFonts w:ascii="Arial" w:eastAsia="Arial" w:hAnsi="Arial" w:cs="Arial"/>
          <w:color w:val="000000"/>
        </w:rPr>
        <w:t xml:space="preserve">(3) Suglasnost iz stavka 1. ovoga članka je upravni akt.</w:t>
      </w:r>
    </w:p>
    <w:p>
      <w:pPr>
        <w:pBdr/>
        <w:pStyle w:val="Normal"/>
        <w:spacing/>
        <w:ind/>
        <w:rPr>
          <w:rFonts w:ascii="Arial" w:eastAsia="Arial" w:hAnsi="Arial" w:cs="Arial"/>
        </w:rPr>
      </w:pPr>
      <w:r>
        <w:rPr>
          <w:rFonts w:ascii="Arial" w:eastAsia="Arial" w:hAnsi="Arial" w:cs="Arial"/>
        </w:rPr>
        <w:t xml:space="preserve">(4) Protiv rješenja kojim se odlučuje o zahtjevu za davanje suglasnosti iz stavka 1. ovoga članka žalba nije dopuštena, ali se može pokrenuti upravni spor. </w:t>
      </w:r>
    </w:p>
    <w:p>
      <w:pPr>
        <w:pBdr/>
        <w:pStyle w:val="Normal"/>
        <w:spacing/>
        <w:ind/>
        <w:rPr>
          <w:rFonts w:ascii="Arial" w:eastAsia="Arial" w:hAnsi="Arial" w:cs="Arial"/>
        </w:rPr>
      </w:pPr>
    </w:p>
    <w:p>
      <w:pPr>
        <w:pBdr/>
        <w:pStyle w:val="Heading 2"/>
        <w:spacing/>
        <w:ind/>
        <w:rPr/>
      </w:pPr>
      <w:r>
        <w:rPr/>
        <w:t xml:space="preserve">Zahtjev za izdavanje suglasnosti</w:t>
      </w:r>
    </w:p>
    <w:p>
      <w:pPr>
        <w:pBdr/>
        <w:pStyle w:val="Heading 2"/>
        <w:spacing/>
        <w:ind/>
        <w:rPr/>
      </w:pPr>
      <w:r>
        <w:rPr/>
        <w:t xml:space="preserve">Članak 29.</w:t>
      </w:r>
    </w:p>
    <w:p>
      <w:pPr>
        <w:pBdr/>
        <w:pStyle w:val="Normal"/>
        <w:spacing/>
        <w:ind/>
        <w:rPr>
          <w:rFonts w:ascii="Arial" w:eastAsia="Arial" w:hAnsi="Arial" w:cs="Arial"/>
        </w:rPr>
      </w:pPr>
      <w:r>
        <w:rPr>
          <w:rFonts w:ascii="Arial" w:eastAsia="Arial" w:hAnsi="Arial" w:cs="Arial"/>
        </w:rPr>
        <w:t xml:space="preserve">(1) Zahtjev za izdavanje suglasnosti iz članka 28. stavka 1. ovoga Zakona podnosi se u pisanom obliku Ministarstvu do uspostave elektroničkog sustava za provedbu postupaka u zaštiti okoliša. </w:t>
      </w:r>
    </w:p>
    <w:p>
      <w:pPr>
        <w:pBdr/>
        <w:pStyle w:val="Normal"/>
        <w:spacing/>
        <w:ind/>
        <w:rPr>
          <w:rFonts w:ascii="Arial" w:eastAsia="Arial" w:hAnsi="Arial" w:cs="Arial"/>
        </w:rPr>
      </w:pPr>
      <w:r>
        <w:rPr>
          <w:rFonts w:ascii="Arial" w:eastAsia="Arial" w:hAnsi="Arial" w:cs="Arial"/>
        </w:rPr>
        <w:t xml:space="preserve">(2) U zahtjevu iz stavka 1. ovoga članka pravna osoba, odnosno fizička osoba – obrtnik mora navesti nazive stručnih poslova iz članka 26. stavka 2. ovoga Zakona za obavljanje kojih traži izdavanje suglasnosti te prilaže sljedeće dokaze o ispunjavanju propisanih uvjeta za voditelja stručnih poslova i za stručnog suradnika: </w:t>
      </w:r>
    </w:p>
    <w:p>
      <w:pPr>
        <w:pBdr/>
        <w:pStyle w:val="Normal"/>
        <w:spacing/>
        <w:ind/>
        <w:rPr>
          <w:rFonts w:ascii="Arial" w:eastAsia="Arial" w:hAnsi="Arial" w:cs="Arial"/>
        </w:rPr>
      </w:pPr>
      <w:r>
        <w:rPr>
          <w:rFonts w:ascii="Arial" w:eastAsia="Arial" w:hAnsi="Arial" w:cs="Arial"/>
        </w:rPr>
        <w:t xml:space="preserve">- presliku diplome</w:t>
      </w:r>
    </w:p>
    <w:p>
      <w:pPr>
        <w:pBdr/>
        <w:pStyle w:val="Normal"/>
        <w:spacing/>
        <w:ind/>
        <w:rPr>
          <w:rFonts w:ascii="Arial" w:eastAsia="Arial" w:hAnsi="Arial" w:cs="Arial"/>
        </w:rPr>
      </w:pPr>
      <w:r>
        <w:rPr>
          <w:rFonts w:ascii="Arial" w:eastAsia="Arial" w:hAnsi="Arial" w:cs="Arial"/>
        </w:rPr>
        <w:t xml:space="preserve">- životopis</w:t>
      </w:r>
    </w:p>
    <w:p>
      <w:pPr>
        <w:pBdr/>
        <w:pStyle w:val="Normal"/>
        <w:spacing/>
        <w:ind/>
        <w:rPr>
          <w:rFonts w:ascii="Arial" w:eastAsia="Arial" w:hAnsi="Arial" w:cs="Arial"/>
        </w:rPr>
      </w:pPr>
      <w:r>
        <w:rPr>
          <w:rFonts w:ascii="Arial" w:eastAsia="Arial" w:hAnsi="Arial" w:cs="Arial"/>
        </w:rPr>
        <w:t xml:space="preserve">- elektronički zapis o radnopravnom statusu</w:t>
      </w:r>
    </w:p>
    <w:p>
      <w:pPr>
        <w:pBdr/>
        <w:pStyle w:val="Normal"/>
        <w:spacing/>
        <w:ind/>
        <w:rPr>
          <w:rFonts w:ascii="Arial" w:eastAsia="Arial" w:hAnsi="Arial" w:cs="Arial"/>
        </w:rPr>
      </w:pPr>
      <w:r>
        <w:rPr>
          <w:rFonts w:ascii="Arial" w:eastAsia="Arial" w:hAnsi="Arial" w:cs="Arial"/>
        </w:rPr>
        <w:t xml:space="preserve">- popis radova relevantnih za stručne poslove za koje se traži suglasnost, s naznakom svojstva sudjelovanja i dokazima.</w:t>
      </w:r>
    </w:p>
    <w:p>
      <w:pPr>
        <w:pBdr/>
        <w:pStyle w:val="Normal"/>
        <w:spacing/>
        <w:ind/>
        <w:rPr>
          <w:rFonts w:ascii="Arial" w:eastAsia="Arial" w:hAnsi="Arial" w:cs="Arial"/>
        </w:rPr>
      </w:pPr>
      <w:r>
        <w:rPr>
          <w:rFonts w:ascii="Arial" w:eastAsia="Arial" w:hAnsi="Arial" w:cs="Arial"/>
        </w:rPr>
        <w:t xml:space="preserve">(3) Inozemne obrazovne kvalifikacije koje se dokazuju svjedodžbama, diplomama ili potvrdama moraju biti priznate odnosno vrednovane u Republici Hrvatskoj u skladu s propisima kojima se uređuje priznavanje i vrednovanje inozemnih obrazovnih kvalifikacija.</w:t>
      </w:r>
    </w:p>
    <w:p>
      <w:pPr>
        <w:pBdr/>
        <w:pStyle w:val="Normal"/>
        <w:spacing/>
        <w:ind/>
        <w:rPr>
          <w:rFonts w:ascii="Arial" w:eastAsia="Arial" w:hAnsi="Arial" w:cs="Arial"/>
        </w:rPr>
      </w:pPr>
    </w:p>
    <w:p>
      <w:pPr>
        <w:pBdr/>
        <w:pStyle w:val="Heading 2"/>
        <w:spacing/>
        <w:ind/>
        <w:rPr/>
      </w:pPr>
      <w:r>
        <w:rPr/>
        <w:t xml:space="preserve">Članak 30.</w:t>
      </w:r>
    </w:p>
    <w:p>
      <w:pPr>
        <w:pBdr/>
        <w:pStyle w:val="Normal"/>
        <w:spacing/>
        <w:ind/>
        <w:rPr>
          <w:rFonts w:ascii="Arial" w:eastAsia="Arial" w:hAnsi="Arial" w:cs="Arial"/>
          <w:highlight w:val="green"/>
        </w:rPr>
      </w:pPr>
      <w:r>
        <w:rPr>
          <w:rFonts w:ascii="Arial" w:eastAsia="Arial" w:hAnsi="Arial" w:cs="Arial"/>
        </w:rPr>
        <w:t xml:space="preserve">(1) Ovlaštenik iz članka 26. stavka 1. ovoga Zakona koji je u matičnoj državi članici Europske unije stekao pravo obavljanja stručnih poslova zaštite okoliša i prirode može te poslove obavljati u Republici Hrvatskoj.</w:t>
      </w:r>
    </w:p>
    <w:p>
      <w:pPr>
        <w:pBdr/>
        <w:pStyle w:val="Normal"/>
        <w:spacing/>
        <w:ind/>
        <w:rPr>
          <w:rFonts w:ascii="Arial" w:eastAsia="Arial" w:hAnsi="Arial" w:cs="Arial"/>
        </w:rPr>
      </w:pPr>
      <w:r>
        <w:rPr>
          <w:rFonts w:ascii="Arial" w:eastAsia="Arial" w:hAnsi="Arial" w:cs="Arial"/>
        </w:rPr>
        <w:t xml:space="preserve">(2) Matična država iz stavka 1. ovoga članka je država članica Europske unije u kojoj ovlaštenik ima, prema propisima te države članice Europske unije, pravo obavljati stručne poslove zaštite okoliša i prirode.</w:t>
      </w:r>
    </w:p>
    <w:p>
      <w:pPr>
        <w:pBdr/>
        <w:pStyle w:val="Normal"/>
        <w:spacing/>
        <w:ind/>
        <w:rPr>
          <w:rFonts w:ascii="Arial" w:eastAsia="Arial" w:hAnsi="Arial" w:cs="Arial"/>
        </w:rPr>
      </w:pPr>
      <w:r>
        <w:rPr>
          <w:rFonts w:ascii="Arial" w:eastAsia="Arial" w:hAnsi="Arial" w:cs="Arial"/>
        </w:rPr>
        <w:t xml:space="preserve">(3) Ovlaštenik iz stavka 1. ovoga članka dužan je prije početka obavljanja poslova obavijestiti Ministarstvo i dokazati da u matičnoj državi ispunjava uvjete za obavljanje tih poslova.</w:t>
      </w:r>
    </w:p>
    <w:p>
      <w:pPr>
        <w:pBdr/>
        <w:pStyle w:val="Normal"/>
        <w:spacing/>
        <w:ind/>
        <w:rPr>
          <w:rFonts w:ascii="Arial" w:eastAsia="Arial" w:hAnsi="Arial" w:cs="Arial"/>
        </w:rPr>
      </w:pPr>
      <w:r>
        <w:rPr>
          <w:rFonts w:ascii="Arial" w:eastAsia="Arial" w:hAnsi="Arial" w:cs="Arial"/>
        </w:rPr>
        <w:t xml:space="preserve">(4) Ministarstvo će o ispunjavanju uvjeta iz stavka 3. ovoga članka izdati potvrdu.</w:t>
      </w:r>
    </w:p>
    <w:p>
      <w:pPr>
        <w:pBdr/>
        <w:pStyle w:val="Normal"/>
        <w:spacing/>
        <w:ind/>
        <w:rPr>
          <w:rFonts w:ascii="Arial" w:eastAsia="Arial" w:hAnsi="Arial" w:cs="Arial"/>
          <w:color w:val="000000"/>
        </w:rPr>
      </w:pPr>
    </w:p>
    <w:p>
      <w:pPr>
        <w:pBdr/>
        <w:pStyle w:val="Heading 2"/>
        <w:spacing/>
        <w:ind/>
        <w:rPr/>
      </w:pPr>
      <w:r>
        <w:rPr/>
        <w:t xml:space="preserve">Članak 31.</w:t>
      </w:r>
    </w:p>
    <w:p>
      <w:pPr>
        <w:pBdr/>
        <w:pStyle w:val="Normal"/>
        <w:spacing/>
        <w:ind/>
        <w:rPr>
          <w:rFonts w:ascii="Arial" w:eastAsia="Arial" w:hAnsi="Arial" w:cs="Arial"/>
        </w:rPr>
      </w:pPr>
      <w:r>
        <w:rPr>
          <w:rFonts w:ascii="Arial" w:eastAsia="Arial" w:hAnsi="Arial" w:cs="Arial"/>
          <w:color w:val="000000"/>
        </w:rPr>
        <w:t xml:space="preserve">(1) Ovlaštenik iz članka 26. stavka 1. ovoga Zakona je dužan o svakoj promjeni ili </w:t>
      </w:r>
      <w:r>
        <w:rPr>
          <w:rFonts w:ascii="Arial" w:eastAsia="Arial" w:hAnsi="Arial" w:cs="Arial"/>
        </w:rPr>
        <w:t xml:space="preserve">prestanku ispunjavanja uvjeta iz članka 27. ovoga Zakona obavijestiti Ministarstvo u roku od 30 dana od nastupanja promjene odnosno prestanka ispunjavanja uvjeta.</w:t>
      </w:r>
    </w:p>
    <w:p>
      <w:pPr>
        <w:pBdr/>
        <w:pStyle w:val="Normal"/>
        <w:spacing/>
        <w:ind/>
        <w:rPr>
          <w:rFonts w:ascii="Arial" w:eastAsia="Arial" w:hAnsi="Arial" w:cs="Arial"/>
        </w:rPr>
      </w:pPr>
      <w:r>
        <w:rPr>
          <w:rFonts w:ascii="Arial" w:eastAsia="Arial" w:hAnsi="Arial" w:cs="Arial"/>
        </w:rPr>
        <w:t xml:space="preserve">(2) Ako promjena iz stavka 1. ovoga članka ne utječe na ispunjavanje uvjeta iz članka 27. ovoga Zakona, ovlaštenik je dužan Ministarstvu dostaviti odgovarajuće dokaze, a Ministarstvo rješenjem mijenja izdanu suglasnost ako se promjena odnosi na podatke navedene u suglasnosti.</w:t>
      </w:r>
    </w:p>
    <w:p>
      <w:pPr>
        <w:pBdr/>
        <w:pStyle w:val="Normal"/>
        <w:spacing/>
        <w:ind/>
        <w:rPr>
          <w:rFonts w:ascii="Arial" w:eastAsia="Arial" w:hAnsi="Arial" w:cs="Arial"/>
        </w:rPr>
      </w:pPr>
      <w:r>
        <w:rPr>
          <w:rFonts w:ascii="Arial" w:eastAsia="Arial" w:hAnsi="Arial" w:cs="Arial"/>
        </w:rPr>
        <w:t xml:space="preserve">(3) Ministarstvo na temelju obavijesti iz stavka 1. ovoga članka rješenjem ukida izdanu suglasnost ako utvrdi da ovlaštenik više ne ispunjava uvjete iz članka 27. ovoga Zakona.</w:t>
      </w:r>
      <w:r>
        <w:rPr>
          <w:rFonts w:ascii="Arial" w:eastAsia="Arial" w:hAnsi="Arial" w:cs="Arial"/>
          <w:color w:val="242424"/>
        </w:rPr>
        <w:t xml:space="preserve"> </w:t>
      </w:r>
    </w:p>
    <w:p>
      <w:pPr>
        <w:pBdr/>
        <w:pStyle w:val="Normal"/>
        <w:spacing/>
        <w:ind/>
        <w:rPr>
          <w:rFonts w:ascii="Arial" w:eastAsia="Arial" w:hAnsi="Arial" w:cs="Arial"/>
        </w:rPr>
      </w:pPr>
      <w:r>
        <w:rPr>
          <w:rFonts w:ascii="Arial" w:eastAsia="Arial" w:hAnsi="Arial" w:cs="Arial"/>
          <w:color w:val="242424"/>
        </w:rPr>
        <w:t xml:space="preserve">(4) Ako ovlaštenik prestane ispunjavati uvjete iz članka 27. ovoga Zakona, pravo obavljanja stručnih poslova zaštite okoliša i prirode prestaje danom prestanka ispunjavanja uvjeta navedenim u obavijesti iz stavka 1. ovoga članka.</w:t>
      </w:r>
    </w:p>
    <w:p>
      <w:pPr>
        <w:pBdr/>
        <w:pStyle w:val="Normal"/>
        <w:spacing/>
        <w:ind/>
        <w:rPr>
          <w:rFonts w:ascii="Arial" w:eastAsia="Arial" w:hAnsi="Arial" w:cs="Arial"/>
          <w:color w:val="000000"/>
        </w:rPr>
      </w:pPr>
      <w:r>
        <w:rPr>
          <w:rFonts w:ascii="Arial" w:eastAsia="Arial" w:hAnsi="Arial" w:cs="Arial"/>
        </w:rPr>
        <w:t xml:space="preserve">(5) Protiv rješenja iz stavaka 2. i 3. ovoga članka žalba nije dopuštena, ali se može pokrenuti upravni spor</w:t>
      </w:r>
      <w:r>
        <w:rPr>
          <w:rFonts w:ascii="Arial" w:eastAsia="Arial" w:hAnsi="Arial" w:cs="Arial"/>
          <w:color w:val="000000"/>
        </w:rPr>
        <w:t xml:space="preserve">.</w:t>
      </w:r>
    </w:p>
    <w:p>
      <w:pPr>
        <w:pBdr/>
        <w:pStyle w:val="Normal"/>
        <w:spacing/>
        <w:ind/>
        <w:rPr>
          <w:rFonts w:ascii="Arial" w:eastAsia="Arial" w:hAnsi="Arial" w:cs="Arial"/>
        </w:rPr>
      </w:pPr>
    </w:p>
    <w:p>
      <w:pPr>
        <w:pBdr/>
        <w:pStyle w:val="Heading 2"/>
        <w:spacing/>
        <w:ind/>
        <w:rPr/>
      </w:pPr>
      <w:r>
        <w:rPr/>
        <w:t xml:space="preserve">Privremeno ukidanje suglasnosti</w:t>
      </w:r>
    </w:p>
    <w:p>
      <w:pPr>
        <w:pBdr/>
        <w:pStyle w:val="Heading 2"/>
        <w:spacing/>
        <w:ind/>
        <w:rPr/>
      </w:pPr>
      <w:r>
        <w:rPr/>
        <w:t xml:space="preserve">Članak 32.</w:t>
      </w:r>
    </w:p>
    <w:p>
      <w:pPr>
        <w:pBdr/>
        <w:pStyle w:val="Normal"/>
        <w:spacing/>
        <w:ind/>
        <w:rPr>
          <w:rFonts w:ascii="Arial" w:eastAsia="Arial" w:hAnsi="Arial" w:cs="Arial"/>
        </w:rPr>
      </w:pPr>
      <w:r>
        <w:rPr>
          <w:rFonts w:ascii="Arial" w:eastAsia="Arial" w:hAnsi="Arial" w:cs="Arial"/>
        </w:rPr>
        <w:t xml:space="preserve">(1) Ministarstvo po službenoj dužnosti rješenjem privremeno ukida suglasnost za obavljanje stručnih poslova iz članka 26. stavka 4. ovoga Zakona ako se u dva postupka provedena na temelju ovoga Zakona utvrdi stručna neutemeljenost ili necjelovitost izrađenih dokumenata iz članka 26. stavka 2. ovoga Zakona.</w:t>
      </w:r>
    </w:p>
    <w:p>
      <w:pPr>
        <w:pBdr/>
        <w:pStyle w:val="Normal"/>
        <w:spacing/>
        <w:ind/>
        <w:rPr>
          <w:rFonts w:ascii="Arial" w:eastAsia="Arial" w:hAnsi="Arial" w:cs="Arial"/>
        </w:rPr>
      </w:pPr>
      <w:r>
        <w:rPr>
          <w:rFonts w:ascii="Arial" w:eastAsia="Arial" w:hAnsi="Arial" w:cs="Arial"/>
        </w:rPr>
        <w:t xml:space="preserve">(2) Privremeno ukidanje suglasnosti iz stavka 1. ovoga članka traje jednu godinu od datuma donošenja rješenja, a za to vrijeme ovlaštenik ne smije obavljati stručne poslove za koje je suglasnost izdana. </w:t>
      </w:r>
    </w:p>
    <w:p>
      <w:pPr>
        <w:pBdr/>
        <w:pStyle w:val="Normal"/>
        <w:spacing/>
        <w:ind/>
        <w:rPr>
          <w:rFonts w:ascii="Arial" w:eastAsia="Arial" w:hAnsi="Arial" w:cs="Arial"/>
        </w:rPr>
      </w:pPr>
      <w:r>
        <w:rPr>
          <w:rFonts w:ascii="Arial" w:eastAsia="Arial" w:hAnsi="Arial" w:cs="Arial"/>
        </w:rPr>
        <w:t xml:space="preserve">(3) Ako se nakon isteka razdoblja privremenog ukidanja suglasnosti ponovno utvrde okolnosti iz stavka 1. ovoga članka, Ministarstvo rješenjem ukida suglasnost.</w:t>
      </w:r>
    </w:p>
    <w:p>
      <w:pPr>
        <w:pBdr/>
        <w:pStyle w:val="Normal"/>
        <w:spacing/>
        <w:ind/>
        <w:rPr>
          <w:rFonts w:ascii="Arial" w:eastAsia="Arial" w:hAnsi="Arial" w:cs="Arial"/>
        </w:rPr>
      </w:pPr>
      <w:r>
        <w:rPr>
          <w:rFonts w:ascii="Arial" w:eastAsia="Arial" w:hAnsi="Arial" w:cs="Arial"/>
        </w:rPr>
        <w:t xml:space="preserve">(4) Protiv rješenja iz stavka 1. ovoga članka žalba nije dopuštena, ali se može pokrenuti upravni spor.</w:t>
      </w:r>
    </w:p>
    <w:p>
      <w:pPr>
        <w:pBdr/>
        <w:pStyle w:val="Normal"/>
        <w:spacing/>
        <w:ind/>
        <w:rPr>
          <w:rFonts w:ascii="Arial" w:eastAsia="Arial" w:hAnsi="Arial" w:cs="Arial"/>
        </w:rPr>
      </w:pPr>
    </w:p>
    <w:p>
      <w:pPr>
        <w:pBdr/>
        <w:pStyle w:val="Heading 2"/>
        <w:spacing/>
        <w:ind/>
        <w:rPr/>
      </w:pPr>
      <w:r>
        <w:rPr/>
        <w:t xml:space="preserve">Ukidanje suglasnosti</w:t>
      </w:r>
    </w:p>
    <w:p>
      <w:pPr>
        <w:pBdr/>
        <w:pStyle w:val="Heading 2"/>
        <w:spacing/>
        <w:ind/>
        <w:rPr/>
      </w:pPr>
      <w:r>
        <w:rPr/>
        <w:t xml:space="preserve">Članak 33.</w:t>
      </w:r>
    </w:p>
    <w:p>
      <w:pPr>
        <w:pBdr/>
        <w:pStyle w:val="Normal"/>
        <w:spacing/>
        <w:ind/>
        <w:rPr>
          <w:rFonts w:ascii="Arial" w:eastAsia="Arial" w:hAnsi="Arial" w:cs="Arial"/>
        </w:rPr>
      </w:pPr>
      <w:r>
        <w:rPr>
          <w:rFonts w:ascii="Arial" w:eastAsia="Arial" w:hAnsi="Arial" w:cs="Arial"/>
          <w:color w:val="000000"/>
        </w:rPr>
        <w:t xml:space="preserve">(1) </w:t>
      </w:r>
      <w:r>
        <w:rPr>
          <w:rFonts w:ascii="Arial" w:eastAsia="Arial" w:hAnsi="Arial" w:cs="Arial"/>
        </w:rPr>
        <w:t xml:space="preserve">Ministarstvo će, po službenoj dužnosti, rješenjem ukinuti danu suglasnost za obavljanje stručnih poslova iz članka 26. stavka 4. ovoga Zakona i prije isteka roka iz članka 28. stavka 2. ovoga Zakona u sljedećim slučajevima:</w:t>
      </w:r>
    </w:p>
    <w:p>
      <w:pPr>
        <w:pBdr/>
        <w:pStyle w:val="Normal"/>
        <w:spacing/>
        <w:ind/>
        <w:rPr>
          <w:rFonts w:ascii="Arial" w:eastAsia="Arial" w:hAnsi="Arial" w:cs="Arial"/>
        </w:rPr>
      </w:pPr>
      <w:r>
        <w:rPr>
          <w:rFonts w:ascii="Arial" w:eastAsia="Arial" w:hAnsi="Arial" w:cs="Arial"/>
        </w:rPr>
        <w:t xml:space="preserve">- na pisani zahtjev ovlaštenika</w:t>
      </w:r>
    </w:p>
    <w:p>
      <w:pPr>
        <w:pBdr/>
        <w:pStyle w:val="Normal"/>
        <w:spacing/>
        <w:ind/>
        <w:rPr>
          <w:rFonts w:ascii="Arial" w:eastAsia="Arial" w:hAnsi="Arial" w:cs="Arial"/>
        </w:rPr>
      </w:pPr>
      <w:r>
        <w:rPr>
          <w:rFonts w:ascii="Arial" w:eastAsia="Arial" w:hAnsi="Arial" w:cs="Arial"/>
        </w:rPr>
        <w:t xml:space="preserve">- ako ovlaštenik prestane ispunjavati uvjete za izdavanje suglasnosti iz članka 27. stavka 1. ovoga Zakona</w:t>
      </w:r>
    </w:p>
    <w:p>
      <w:pPr>
        <w:pBdr/>
        <w:pStyle w:val="Normal"/>
        <w:spacing/>
        <w:ind/>
        <w:rPr>
          <w:rFonts w:ascii="Arial" w:eastAsia="Arial" w:hAnsi="Arial" w:cs="Arial"/>
        </w:rPr>
      </w:pPr>
      <w:r>
        <w:rPr>
          <w:rFonts w:ascii="Arial" w:eastAsia="Arial" w:hAnsi="Arial" w:cs="Arial"/>
        </w:rPr>
        <w:t xml:space="preserve">- ako ovlaštenik obavlja stručne poslove protivno odredbama ovoga Zakona, propisima donesenim na temelju ovoga Zakona ili posebnim propisima iz područja zaštite prirode, voda, zraka, gospodarenja otpadom, buke, svjetlosnog onečišćenja i dr.</w:t>
      </w:r>
    </w:p>
    <w:p>
      <w:pPr>
        <w:pBdr/>
        <w:pStyle w:val="Normal"/>
        <w:spacing/>
        <w:ind/>
        <w:rPr>
          <w:rFonts w:ascii="Arial" w:eastAsia="Arial" w:hAnsi="Arial" w:cs="Arial"/>
        </w:rPr>
      </w:pPr>
      <w:r>
        <w:rPr>
          <w:rFonts w:ascii="Arial" w:eastAsia="Arial" w:hAnsi="Arial" w:cs="Arial"/>
        </w:rPr>
        <w:t xml:space="preserve">- ako se inspekcijskim nadzorom utvrdi prestanak ispunjavanja posebnih uvjeta propisanih ovim Zakonom ili posebnim propisima iz područja zaštite prirode, voda, zraka, gospodarenja otpadom, buke, svjetlosnog onečišćenja i dr. ili </w:t>
      </w:r>
    </w:p>
    <w:p>
      <w:pPr>
        <w:pBdr/>
        <w:pStyle w:val="Normal"/>
        <w:spacing/>
        <w:ind/>
        <w:rPr>
          <w:rFonts w:ascii="Arial" w:eastAsia="Arial" w:hAnsi="Arial" w:cs="Arial"/>
        </w:rPr>
      </w:pPr>
      <w:r>
        <w:rPr>
          <w:rFonts w:ascii="Arial" w:eastAsia="Arial" w:hAnsi="Arial" w:cs="Arial"/>
        </w:rPr>
        <w:t xml:space="preserve">- ako nastupe okolnosti iz članka 32. stavka 3. ovoga Zakona.</w:t>
      </w:r>
    </w:p>
    <w:p>
      <w:pPr>
        <w:pBdr/>
        <w:pStyle w:val="Normal"/>
        <w:spacing/>
        <w:ind/>
        <w:rPr>
          <w:rFonts w:ascii="Arial" w:eastAsia="Arial" w:hAnsi="Arial" w:cs="Arial"/>
          <w:color w:val="000000"/>
        </w:rPr>
      </w:pPr>
      <w:r>
        <w:rPr>
          <w:rFonts w:ascii="Arial" w:eastAsia="Arial" w:hAnsi="Arial" w:cs="Arial"/>
          <w:color w:val="000000"/>
        </w:rPr>
        <w:t xml:space="preserve">(2) Protiv rješenja iz stavka 1. ovoga članka žalba nije dopuštena, ali se može pokrenuti upravni spor.</w:t>
      </w:r>
    </w:p>
    <w:p>
      <w:pPr>
        <w:pBdr/>
        <w:pStyle w:val="Normal"/>
        <w:spacing/>
        <w:ind/>
        <w:rPr>
          <w:rFonts w:ascii="Arial" w:eastAsia="Arial" w:hAnsi="Arial" w:cs="Arial"/>
          <w:iCs/>
          <w:color w:val="000000"/>
        </w:rPr>
      </w:pPr>
    </w:p>
    <w:p>
      <w:pPr>
        <w:pBdr/>
        <w:pStyle w:val="Heading 2"/>
        <w:spacing/>
        <w:ind/>
        <w:rPr/>
      </w:pPr>
      <w:r>
        <w:rPr/>
        <w:t xml:space="preserve">Podnošenje novog zahtjeva nakon ukidanja suglasnosti</w:t>
      </w:r>
    </w:p>
    <w:p>
      <w:pPr>
        <w:pBdr/>
        <w:pStyle w:val="Heading 2"/>
        <w:spacing/>
        <w:ind/>
        <w:rPr/>
      </w:pPr>
      <w:r>
        <w:rPr/>
        <w:t xml:space="preserve">Članak 34.</w:t>
      </w:r>
    </w:p>
    <w:p>
      <w:pPr>
        <w:pBdr/>
        <w:pStyle w:val="Normal"/>
        <w:spacing/>
        <w:ind/>
        <w:rPr>
          <w:rFonts w:ascii="Arial" w:eastAsia="Arial" w:hAnsi="Arial" w:cs="Arial"/>
        </w:rPr>
      </w:pPr>
      <w:r>
        <w:rPr>
          <w:rFonts w:ascii="Arial" w:eastAsia="Arial" w:hAnsi="Arial" w:cs="Arial"/>
        </w:rPr>
        <w:t xml:space="preserve">Pravna osoba odnosno fizička osoba – obrtnik kojoj je suglasnost ukinuta u slučajevima iz članka 33. stavka 1. podstavaka 2. do 5. ovoga Zakona, ne može podnijeti zahtjev za izdavanje nove suglasnosti prije isteka roka od pet godina od dana pravomoćnosti rješenja o ukidanju suglasnosti.</w:t>
      </w:r>
    </w:p>
    <w:p>
      <w:pPr>
        <w:pBdr/>
        <w:pStyle w:val="Normal"/>
        <w:spacing/>
        <w:ind/>
        <w:rPr>
          <w:rFonts w:ascii="Arial" w:eastAsia="Arial" w:hAnsi="Arial" w:cs="Arial"/>
        </w:rPr>
      </w:pPr>
    </w:p>
    <w:p>
      <w:pPr>
        <w:pBdr/>
        <w:pStyle w:val="Heading 2"/>
        <w:spacing/>
        <w:ind/>
        <w:rPr/>
      </w:pPr>
      <w:r>
        <w:rPr/>
        <w:t xml:space="preserve">Evidencija izdanih suglasnosti</w:t>
      </w:r>
    </w:p>
    <w:p>
      <w:pPr>
        <w:pBdr/>
        <w:pStyle w:val="Heading 2"/>
        <w:spacing/>
        <w:ind/>
        <w:rPr/>
      </w:pPr>
      <w:r>
        <w:rPr/>
        <w:t xml:space="preserve">Članak 35.</w:t>
      </w:r>
    </w:p>
    <w:p>
      <w:pPr>
        <w:pBdr/>
        <w:pStyle w:val="Normal"/>
        <w:spacing/>
        <w:ind/>
        <w:rPr>
          <w:rFonts w:ascii="Arial" w:eastAsia="Arial" w:hAnsi="Arial" w:cs="Arial"/>
        </w:rPr>
      </w:pPr>
      <w:r>
        <w:rPr>
          <w:rFonts w:ascii="Arial" w:eastAsia="Arial" w:hAnsi="Arial" w:cs="Arial"/>
        </w:rPr>
        <w:t xml:space="preserve">(1) Ministarstvo vodi evidenciju izdanih suglasnosti, evidenciju ukinutih suglasnosti i evidenciju privremeno ukinutih suglasnosti iz članka 26. stavka 4. ovoga Zakona.</w:t>
      </w:r>
    </w:p>
    <w:p>
      <w:pPr>
        <w:pBdr/>
        <w:pStyle w:val="Normal"/>
        <w:spacing/>
        <w:ind/>
        <w:rPr>
          <w:rFonts w:ascii="Arial" w:eastAsia="Arial" w:hAnsi="Arial" w:cs="Arial"/>
        </w:rPr>
      </w:pPr>
      <w:r>
        <w:rPr>
          <w:rFonts w:ascii="Arial" w:eastAsia="Arial" w:hAnsi="Arial" w:cs="Arial"/>
        </w:rPr>
        <w:t xml:space="preserve">(2) Evidencija iz stavka 1. ovoga članka sadrži:</w:t>
      </w:r>
    </w:p>
    <w:p>
      <w:pPr>
        <w:pBdr/>
        <w:pStyle w:val="Normal"/>
        <w:spacing/>
        <w:ind/>
        <w:rPr>
          <w:rFonts w:ascii="Arial" w:eastAsia="Arial" w:hAnsi="Arial" w:cs="Arial"/>
        </w:rPr>
      </w:pPr>
      <w:r>
        <w:rPr>
          <w:rFonts w:ascii="Arial" w:eastAsia="Arial" w:hAnsi="Arial" w:cs="Arial"/>
        </w:rPr>
        <w:t xml:space="preserve">- Naziv, sjedište i/ili adresa ovlaštenika</w:t>
      </w:r>
    </w:p>
    <w:p>
      <w:pPr>
        <w:pBdr/>
        <w:pStyle w:val="Normal"/>
        <w:spacing/>
        <w:ind/>
        <w:rPr>
          <w:rFonts w:ascii="Arial" w:eastAsia="Arial" w:hAnsi="Arial" w:cs="Arial"/>
        </w:rPr>
      </w:pPr>
      <w:r>
        <w:rPr>
          <w:rFonts w:ascii="Arial" w:eastAsia="Arial" w:hAnsi="Arial" w:cs="Arial"/>
        </w:rPr>
        <w:t xml:space="preserve">- datum izdavanja suglasnosti</w:t>
      </w:r>
    </w:p>
    <w:p>
      <w:pPr>
        <w:pBdr/>
        <w:pStyle w:val="Normal"/>
        <w:spacing/>
        <w:ind/>
        <w:rPr>
          <w:rFonts w:ascii="Arial" w:eastAsia="Arial" w:hAnsi="Arial" w:cs="Arial"/>
        </w:rPr>
      </w:pPr>
      <w:r>
        <w:rPr>
          <w:rFonts w:ascii="Arial" w:eastAsia="Arial" w:hAnsi="Arial" w:cs="Arial"/>
        </w:rPr>
        <w:t xml:space="preserve">- datum prestanka važenja suglasnosti</w:t>
      </w:r>
    </w:p>
    <w:p>
      <w:pPr>
        <w:pBdr/>
        <w:pStyle w:val="Normal"/>
        <w:spacing/>
        <w:ind/>
        <w:rPr>
          <w:rFonts w:ascii="Arial" w:eastAsia="Arial" w:hAnsi="Arial" w:cs="Arial"/>
        </w:rPr>
      </w:pPr>
      <w:r>
        <w:rPr>
          <w:rFonts w:ascii="Arial" w:eastAsia="Arial" w:hAnsi="Arial" w:cs="Arial"/>
        </w:rPr>
        <w:t xml:space="preserve">- stručne poslove za koje je suglasnost izdana</w:t>
      </w:r>
    </w:p>
    <w:p>
      <w:pPr>
        <w:pBdr/>
        <w:pStyle w:val="Normal"/>
        <w:spacing/>
        <w:ind/>
        <w:rPr>
          <w:rFonts w:ascii="Arial" w:eastAsia="Arial" w:hAnsi="Arial" w:cs="Arial"/>
        </w:rPr>
      </w:pPr>
      <w:r>
        <w:rPr>
          <w:rFonts w:ascii="Arial" w:eastAsia="Arial" w:hAnsi="Arial" w:cs="Arial"/>
        </w:rPr>
        <w:t xml:space="preserve">- datum privremenog ukidanja suglasnosti</w:t>
      </w:r>
    </w:p>
    <w:p>
      <w:pPr>
        <w:pBdr/>
        <w:pStyle w:val="Normal"/>
        <w:spacing/>
        <w:ind/>
        <w:rPr>
          <w:rFonts w:ascii="Arial" w:eastAsia="Arial" w:hAnsi="Arial" w:cs="Arial"/>
        </w:rPr>
      </w:pPr>
      <w:r>
        <w:rPr>
          <w:rFonts w:ascii="Arial" w:eastAsia="Arial" w:hAnsi="Arial" w:cs="Arial"/>
        </w:rPr>
        <w:t xml:space="preserve">- datum ukidanja suglasnosti. </w:t>
      </w:r>
    </w:p>
    <w:p>
      <w:pPr>
        <w:pBdr/>
        <w:pStyle w:val="Normal"/>
        <w:spacing/>
        <w:ind/>
        <w:rPr>
          <w:rFonts w:ascii="Arial" w:eastAsia="Arial" w:hAnsi="Arial" w:cs="Arial"/>
        </w:rPr>
      </w:pPr>
      <w:r>
        <w:rPr>
          <w:rFonts w:ascii="Arial" w:eastAsia="Arial" w:hAnsi="Arial" w:cs="Arial"/>
        </w:rPr>
        <w:t xml:space="preserve">(3) Ministarstvo objavljuje evidenciju iz stavka 1. ovoga članka na svojim mrežnim stranicama.</w:t>
      </w:r>
    </w:p>
    <w:p>
      <w:pPr>
        <w:pBdr/>
        <w:pStyle w:val="Normal"/>
        <w:spacing/>
        <w:ind/>
        <w:rPr>
          <w:rFonts w:ascii="Arial" w:eastAsia="Arial" w:hAnsi="Arial" w:cs="Arial"/>
        </w:rPr>
      </w:pPr>
      <w:r>
        <w:rPr>
          <w:rFonts w:ascii="Arial" w:eastAsia="Arial" w:hAnsi="Arial" w:cs="Arial"/>
        </w:rPr>
        <w:t xml:space="preserve">(4) Sadržaj i oblik evidencije iz stavka 1. ovoga članka propisani su u Dodatku I. ovoga Zakona. </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07" w:id="4"/>
      <w:r>
        <w:rPr>
          <w:rFonts w:ascii="Arial" w:eastAsia="Arial" w:hAnsi="Arial" w:cs="Arial"/>
          <w:szCs w:val="24"/>
        </w:rPr>
        <w:t xml:space="preserve">DIO PETI INSTRUMENTI ZAŠTITE OKOLIŠA</w:t>
      </w:r>
      <w:bookmarkEnd w:id="4"/>
    </w:p>
    <w:p>
      <w:pPr>
        <w:pBdr/>
        <w:pStyle w:val="Heading 1"/>
        <w:spacing/>
        <w:ind/>
        <w:rPr>
          <w:rFonts w:ascii="Arial" w:eastAsia="Arial" w:hAnsi="Arial" w:cs="Arial"/>
          <w:szCs w:val="24"/>
        </w:rPr>
      </w:pPr>
      <w:bookmarkStart w:name="_Toc237275908" w:id="5"/>
      <w:r>
        <w:rPr>
          <w:rFonts w:ascii="Arial" w:eastAsia="Arial" w:hAnsi="Arial" w:cs="Arial"/>
          <w:szCs w:val="24"/>
        </w:rPr>
        <w:t xml:space="preserve">GLAVA I. STANDARDI KAKVOĆE OKOLIŠA I TEHNIČKI STANDARDI ZAŠTITE OKOLIŠA</w:t>
      </w:r>
      <w:bookmarkEnd w:id="5"/>
    </w:p>
    <w:p>
      <w:pPr>
        <w:pBdr/>
        <w:pStyle w:val="Heading 2"/>
        <w:spacing/>
        <w:ind/>
        <w:rPr/>
      </w:pPr>
      <w:r>
        <w:rPr/>
        <w:t xml:space="preserve">Članak 36.</w:t>
      </w:r>
    </w:p>
    <w:p>
      <w:pPr>
        <w:pBdr/>
        <w:pStyle w:val="Normal"/>
        <w:spacing/>
        <w:ind/>
        <w:rPr>
          <w:rFonts w:ascii="Arial" w:eastAsia="Arial" w:hAnsi="Arial" w:cs="Arial"/>
        </w:rPr>
      </w:pPr>
      <w:r>
        <w:rPr>
          <w:rFonts w:ascii="Arial" w:eastAsia="Arial" w:hAnsi="Arial" w:cs="Arial"/>
        </w:rPr>
        <w:t xml:space="preserve">(1) Standardi kakvoće okoliša koji sadrže granične vrijednosti pokazatelja za pojedine sastavnice okoliša i za osobito vrijedne, osjetljive ili ugrožene područne cjeline određuju se zakonom, a ako nisu određeni zakonom propisuje ih Vlada uredbom, odnosno ministar nadležan za pojedinu sastavnicu okoliša pravilnikom. </w:t>
      </w:r>
    </w:p>
    <w:p>
      <w:pPr>
        <w:pBdr/>
        <w:pStyle w:val="Normal"/>
        <w:spacing/>
        <w:ind/>
        <w:rPr>
          <w:rFonts w:ascii="Arial" w:eastAsia="Arial" w:hAnsi="Arial" w:cs="Arial"/>
          <w:color w:val="000000"/>
        </w:rPr>
      </w:pPr>
      <w:r>
        <w:rPr>
          <w:rFonts w:ascii="Arial" w:eastAsia="Arial" w:hAnsi="Arial" w:cs="Arial"/>
        </w:rPr>
        <w:t xml:space="preserve">(2) Standardi kakvoće okoliša za pojedinu lokaciju, postrojenje, pogon, uređaj, opremu, proizvod ili proizvodni postupak mogu se odrediti u postupku procjene utjecaja zahvata na okoliš odnosno u postupku izdavanja okolišne dozvole za postojeće postrojenje.</w:t>
      </w:r>
    </w:p>
    <w:p>
      <w:pPr>
        <w:pBdr/>
        <w:pStyle w:val="Normal"/>
        <w:spacing/>
        <w:ind/>
        <w:rPr>
          <w:rFonts w:ascii="Arial" w:eastAsia="Arial" w:hAnsi="Arial" w:cs="Arial"/>
        </w:rPr>
      </w:pPr>
      <w:r>
        <w:rPr>
          <w:rFonts w:ascii="Arial" w:eastAsia="Arial" w:hAnsi="Arial" w:cs="Arial"/>
        </w:rPr>
        <w:t xml:space="preserve">(3) Za proizvode, postrojenja, pogone, uređaje, opremu i proizvodne postupke koji mogu prouzročiti rizik ili opasnost za okoliš Vlada uredbom propisuje tehničke standarde zaštite okoliša.</w:t>
      </w:r>
    </w:p>
    <w:p>
      <w:pPr>
        <w:pBdr/>
        <w:pStyle w:val="Normal"/>
        <w:spacing/>
        <w:ind/>
        <w:rPr>
          <w:rFonts w:ascii="Arial" w:eastAsia="Arial" w:hAnsi="Arial" w:cs="Arial"/>
        </w:rPr>
      </w:pPr>
      <w:r>
        <w:rPr>
          <w:rFonts w:ascii="Arial" w:eastAsia="Arial" w:hAnsi="Arial" w:cs="Arial"/>
        </w:rPr>
        <w:t xml:space="preserve">(4) Tehničkim standardima iz stavka 3. ovoga članka određuju se: </w:t>
      </w:r>
    </w:p>
    <w:p>
      <w:pPr>
        <w:pBdr/>
        <w:pStyle w:val="Normal"/>
        <w:spacing/>
        <w:ind/>
        <w:rPr>
          <w:rFonts w:ascii="Arial" w:eastAsia="Arial" w:hAnsi="Arial" w:cs="Arial"/>
        </w:rPr>
      </w:pPr>
      <w:r>
        <w:rPr>
          <w:rFonts w:ascii="Arial" w:eastAsia="Arial" w:hAnsi="Arial" w:cs="Arial"/>
        </w:rPr>
        <w:t xml:space="preserve">1. granične vrijednosti emisija u vezi s proizvodnim postupkom i korištenjem postrojenja, pogona, uređaja, opreme te granične vrijednosti pokazatelja sastavnica proizvoda</w:t>
      </w:r>
    </w:p>
    <w:p>
      <w:pPr>
        <w:pBdr/>
        <w:pStyle w:val="Normal"/>
        <w:spacing/>
        <w:ind/>
        <w:rPr>
          <w:rFonts w:ascii="Arial" w:eastAsia="Arial" w:hAnsi="Arial" w:cs="Arial"/>
        </w:rPr>
      </w:pPr>
      <w:r>
        <w:rPr>
          <w:rFonts w:ascii="Arial" w:eastAsia="Arial" w:hAnsi="Arial" w:cs="Arial"/>
        </w:rPr>
        <w:t xml:space="preserve">2. način izrade, proizvodnje, označavanja, postupanja i korištenja proizvoda</w:t>
      </w:r>
    </w:p>
    <w:p>
      <w:pPr>
        <w:pBdr/>
        <w:pStyle w:val="Normal"/>
        <w:spacing/>
        <w:ind/>
        <w:rPr>
          <w:rFonts w:ascii="Arial" w:eastAsia="Arial" w:hAnsi="Arial" w:cs="Arial"/>
        </w:rPr>
      </w:pPr>
      <w:r>
        <w:rPr>
          <w:rFonts w:ascii="Arial" w:eastAsia="Arial" w:hAnsi="Arial" w:cs="Arial"/>
        </w:rPr>
        <w:t xml:space="preserve">3. način korištenja pogona, uređaja, opreme i proizvodnih postupaka</w:t>
      </w:r>
    </w:p>
    <w:p>
      <w:pPr>
        <w:pBdr/>
        <w:pStyle w:val="Normal"/>
        <w:spacing/>
        <w:ind/>
        <w:rPr>
          <w:rFonts w:ascii="Arial" w:eastAsia="Arial" w:hAnsi="Arial" w:cs="Arial"/>
        </w:rPr>
      </w:pPr>
      <w:r>
        <w:rPr>
          <w:rFonts w:ascii="Arial" w:eastAsia="Arial" w:hAnsi="Arial" w:cs="Arial"/>
        </w:rPr>
        <w:t xml:space="preserve">4. način utvrđivanja i praćenja kakvoće proizvoda, pogona, uređaja, opreme i proizvodnih postupaka</w:t>
      </w:r>
    </w:p>
    <w:p>
      <w:pPr>
        <w:pBdr/>
        <w:pStyle w:val="Normal"/>
        <w:spacing/>
        <w:ind/>
        <w:rPr>
          <w:rFonts w:ascii="Arial" w:eastAsia="Arial" w:hAnsi="Arial" w:cs="Arial"/>
        </w:rPr>
      </w:pPr>
      <w:r>
        <w:rPr>
          <w:rFonts w:ascii="Arial" w:eastAsia="Arial" w:hAnsi="Arial" w:cs="Arial"/>
        </w:rPr>
        <w:t xml:space="preserve">5. postupak homologacije</w:t>
      </w:r>
    </w:p>
    <w:p>
      <w:pPr>
        <w:pBdr/>
        <w:pStyle w:val="Normal"/>
        <w:spacing/>
        <w:ind/>
        <w:rPr>
          <w:rFonts w:ascii="Arial" w:eastAsia="Arial" w:hAnsi="Arial" w:cs="Arial"/>
        </w:rPr>
      </w:pPr>
      <w:r>
        <w:rPr>
          <w:rFonts w:ascii="Arial" w:eastAsia="Arial" w:hAnsi="Arial" w:cs="Arial"/>
        </w:rPr>
        <w:t xml:space="preserve">6. način obračuna troškova utvrđivanja i praćenja kakvoće proizvoda, pogona, uređaja, opreme i proizvodnih postupaka</w:t>
      </w:r>
    </w:p>
    <w:p>
      <w:pPr>
        <w:pBdr/>
        <w:pStyle w:val="Normal"/>
        <w:spacing/>
        <w:ind/>
        <w:rPr>
          <w:rFonts w:ascii="Arial" w:eastAsia="Arial" w:hAnsi="Arial" w:cs="Arial"/>
        </w:rPr>
      </w:pPr>
      <w:r>
        <w:rPr>
          <w:rFonts w:ascii="Arial" w:eastAsia="Arial" w:hAnsi="Arial" w:cs="Arial"/>
        </w:rPr>
        <w:t xml:space="preserve">7. postupanje s proizvodima, postrojenjima, pogonima, uređajima i opremom nakon prestanka korištenja.</w:t>
      </w:r>
    </w:p>
    <w:p>
      <w:pPr>
        <w:pBdr/>
        <w:pStyle w:val="Normal"/>
        <w:spacing/>
        <w:ind/>
        <w:rPr>
          <w:rFonts w:ascii="Arial" w:eastAsia="Arial" w:hAnsi="Arial" w:cs="Arial"/>
        </w:rPr>
      </w:pPr>
      <w:r>
        <w:rPr>
          <w:rFonts w:ascii="Arial" w:eastAsia="Arial" w:hAnsi="Arial" w:cs="Arial"/>
        </w:rPr>
        <w:t xml:space="preserve">(5) Propisima iz stavaka 1. i 3. ovoga članka određuju se postupak i rokovi za postizanje standarda kakvoće okoliša i tehničkih standarda zaštite okoliša, moguća odstupanja od standarda kakvoće okoliša te postupak i rokovi za njihovu primjenu na postojeće proizvode, postrojenja, pogone, uređaje i opremu.</w:t>
      </w:r>
    </w:p>
    <w:p>
      <w:pPr>
        <w:pBdr/>
        <w:pStyle w:val="Normal"/>
        <w:spacing/>
        <w:ind/>
        <w:rPr>
          <w:rFonts w:ascii="Arial" w:eastAsia="Arial" w:hAnsi="Arial" w:cs="Arial"/>
        </w:rPr>
      </w:pPr>
      <w:r>
        <w:rPr>
          <w:rFonts w:ascii="Arial" w:eastAsia="Arial" w:hAnsi="Arial" w:cs="Arial"/>
        </w:rPr>
        <w:t xml:space="preserve">(6) Iznimno od stavka 3. ovoga članka, prema posebnom zakonu kojim se uređuje zaštita zraka i emisije u zrak određuju se:</w:t>
      </w:r>
    </w:p>
    <w:p>
      <w:pPr>
        <w:pBdr/>
        <w:pStyle w:val="Normal"/>
        <w:spacing/>
        <w:ind/>
        <w:rPr>
          <w:rFonts w:ascii="Arial" w:eastAsia="Arial" w:hAnsi="Arial" w:cs="Arial"/>
        </w:rPr>
      </w:pPr>
      <w:r>
        <w:rPr>
          <w:rFonts w:ascii="Arial" w:eastAsia="Arial" w:hAnsi="Arial" w:cs="Arial"/>
        </w:rPr>
        <w:t xml:space="preserve">1. tehnički standardi emisije onečišćujućih tvari iz motora s unutarnjim izgaranjem koji se ugrađuju u necestovne pokretne strojeve, zahtjeve o homologaciji koje moraju zadovoljavati, metode i postupke ispitivanja, način priznavanja dokumenata o homologaciji izdanih u drugim državama, sadržaj potvrde (certifikata) o sukladnosti, naknade za provođenje postupka homologacije, način obračuna troškova praćenja propisanih tehničkih standarda, uvjete koje moraju ispunjavati pravne osobe za obavljanje postupka homologacije, praćenja kvalitete proizvoda stavljenih na tržište i praćenja emisija u zrak određuju se prema posebnom zakonu kojim se uređuje zaštita zraka i emisije u zrak i</w:t>
      </w:r>
    </w:p>
    <w:p>
      <w:pPr>
        <w:pBdr/>
        <w:pStyle w:val="Normal"/>
        <w:spacing/>
        <w:ind/>
        <w:rPr>
          <w:rFonts w:ascii="Arial" w:eastAsia="Arial" w:hAnsi="Arial" w:cs="Arial"/>
        </w:rPr>
      </w:pPr>
      <w:r>
        <w:rPr>
          <w:rFonts w:ascii="Arial" w:eastAsia="Arial" w:hAnsi="Arial" w:cs="Arial"/>
        </w:rPr>
        <w:t xml:space="preserve">2. tehnički standardi zaštite okoliša za smanjenje emisija hlapivih organskih spojeva koje nastaju skladištenjem i distribucijom benzina te tijekom punjenja motornih vozila benzinom na benzinskim postajama.</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09" w:id="6"/>
      <w:r>
        <w:rPr>
          <w:rFonts w:ascii="Arial" w:eastAsia="Arial" w:hAnsi="Arial" w:cs="Arial"/>
          <w:szCs w:val="24"/>
        </w:rPr>
        <w:t xml:space="preserve">GLAVA II. STRATEŠKA PROCJENA UTJECAJA STRATEGIJE, PLANA I PROGRAMA NA OKOLIŠ</w:t>
      </w:r>
      <w:bookmarkEnd w:id="6"/>
    </w:p>
    <w:p>
      <w:pPr>
        <w:pBdr/>
        <w:pStyle w:val="Heading 2"/>
        <w:spacing/>
        <w:ind/>
        <w:rPr/>
      </w:pPr>
      <w:r>
        <w:rPr/>
        <w:t xml:space="preserve">Članak 37.</w:t>
      </w:r>
    </w:p>
    <w:p>
      <w:pPr>
        <w:pBdr/>
        <w:pStyle w:val="Normal"/>
        <w:spacing/>
        <w:ind/>
        <w:rPr>
          <w:rFonts w:ascii="Arial" w:eastAsia="Arial" w:hAnsi="Arial" w:cs="Arial"/>
        </w:rPr>
      </w:pPr>
      <w:r>
        <w:rPr>
          <w:rFonts w:ascii="Arial" w:eastAsia="Arial" w:hAnsi="Arial" w:cs="Arial"/>
        </w:rPr>
        <w:t xml:space="preserve">(1) Strateška procjena utjecaja strategije, plana i programa na okoliš (u daljnjem tekstu: strateška procjena) je postupak kojim se procjenjuju vjerojatno značajni utjecaji na okoliš koji mogu nastati provedbom strategije, plana i programa.</w:t>
      </w:r>
    </w:p>
    <w:p>
      <w:pPr>
        <w:pBdr/>
        <w:pStyle w:val="Normal"/>
        <w:spacing/>
        <w:ind/>
        <w:rPr>
          <w:rFonts w:ascii="Arial" w:eastAsia="Arial" w:hAnsi="Arial" w:cs="Arial"/>
          <w:color w:val="000000"/>
        </w:rPr>
      </w:pPr>
      <w:r>
        <w:rPr>
          <w:rFonts w:ascii="Arial" w:eastAsia="Arial" w:hAnsi="Arial" w:cs="Arial"/>
          <w:color w:val="000000"/>
        </w:rPr>
        <w:t xml:space="preserve">(2) Pri izradi i donošenju strategije, plana ili programa uzimaju se u obzir rezultati strateške procjene iz stavka 1. ovoga članka i uvjeti zaštite okoliša utvrđeni u tom postupku radi uključivanja zahtjeva zaštite okoliša u strategiju, plan ili program i promicanja održivog razvoja.</w:t>
      </w:r>
    </w:p>
    <w:p>
      <w:pPr>
        <w:pBdr/>
        <w:pStyle w:val="Normal"/>
        <w:spacing/>
        <w:ind/>
        <w:rPr>
          <w:rFonts w:ascii="Arial" w:eastAsia="Arial" w:hAnsi="Arial" w:cs="Arial"/>
          <w:color w:val="000000"/>
        </w:rPr>
      </w:pPr>
      <w:r>
        <w:rPr>
          <w:rFonts w:ascii="Arial" w:eastAsia="Arial" w:hAnsi="Arial" w:cs="Arial"/>
          <w:color w:val="000000"/>
        </w:rPr>
        <w:t xml:space="preserve">(3) Provedba strateške procjene ne određuje unaprijed ishod pojedinačnih postupaka procjene utjecaja zahvata na okoliš niti drugih postupaka koji se provode na temelju posebnih propisa.</w:t>
      </w:r>
    </w:p>
    <w:p>
      <w:pPr>
        <w:pBdr/>
        <w:pStyle w:val="Normal"/>
        <w:spacing/>
        <w:ind/>
        <w:rPr>
          <w:rFonts w:ascii="Arial" w:eastAsia="Arial" w:hAnsi="Arial" w:cs="Arial"/>
          <w:color w:val="000000"/>
        </w:rPr>
      </w:pPr>
    </w:p>
    <w:p>
      <w:pPr>
        <w:pBdr/>
        <w:pStyle w:val="Heading 2"/>
        <w:spacing/>
        <w:ind/>
        <w:rPr/>
      </w:pPr>
      <w:r>
        <w:rPr/>
        <w:t xml:space="preserve">Obveza provedbe strateške procjene</w:t>
      </w:r>
    </w:p>
    <w:p>
      <w:pPr>
        <w:pBdr/>
        <w:pStyle w:val="Heading 2"/>
        <w:spacing/>
        <w:ind/>
        <w:rPr/>
      </w:pPr>
      <w:r>
        <w:rPr/>
        <w:t xml:space="preserve">Članak 38.</w:t>
      </w:r>
    </w:p>
    <w:p>
      <w:pPr>
        <w:pBdr/>
        <w:pStyle w:val="Normal"/>
        <w:spacing/>
        <w:ind/>
        <w:rPr>
          <w:rFonts w:ascii="Arial" w:eastAsia="Arial" w:hAnsi="Arial" w:cs="Arial"/>
          <w:color w:val="000000"/>
        </w:rPr>
      </w:pPr>
      <w:r>
        <w:rPr>
          <w:rFonts w:ascii="Arial" w:eastAsia="Arial" w:hAnsi="Arial" w:cs="Arial"/>
        </w:rPr>
        <w:t xml:space="preserve">(1) Strateška procjena iz članka 37. stavka 1. ovoga Zakona obvezno se provodi za:</w:t>
      </w:r>
    </w:p>
    <w:p>
      <w:pPr>
        <w:pBdr/>
        <w:pStyle w:val="Normal"/>
        <w:spacing/>
        <w:ind/>
        <w:rPr>
          <w:rFonts w:ascii="Arial" w:eastAsia="Arial" w:hAnsi="Arial" w:cs="Arial"/>
          <w:color w:val="000000"/>
        </w:rPr>
      </w:pPr>
      <w:r>
        <w:rPr>
          <w:rFonts w:ascii="Arial" w:eastAsia="Arial" w:hAnsi="Arial" w:cs="Arial"/>
        </w:rPr>
        <w:t xml:space="preserve">- strategije, planove i programe, njihove izmjene i dopune, uključujući i one čija se provedba financira iz sredstava Europske unije, a koji se donose na državnoj, područnoj (regionalnoj) te na lokalnoj razini, iz područja: poljoprivrede, šumarstva, ribarstva, energetike, industrije, rudarstva, prometa, elektroničkih komunikacija, turizma, prostornog uređenja, regionalnog razvoja, gospodarenja otpadom i vodnog gospodarstva kada daju okvir za zahvate koji podliježu ocjeni o potrebi procjene utjecaja na okoliš, odnosno procjeni utjecaja na okoliš</w:t>
      </w:r>
    </w:p>
    <w:p>
      <w:pPr>
        <w:pBdr/>
        <w:pStyle w:val="Normal"/>
        <w:spacing/>
        <w:ind/>
        <w:rPr>
          <w:rFonts w:ascii="Arial" w:eastAsia="Arial" w:hAnsi="Arial" w:cs="Arial"/>
          <w:color w:val="000000"/>
        </w:rPr>
      </w:pPr>
      <w:r>
        <w:rPr>
          <w:rFonts w:ascii="Arial" w:eastAsia="Arial" w:hAnsi="Arial" w:cs="Arial"/>
          <w:color w:val="000000"/>
        </w:rPr>
        <w:t xml:space="preserve">- strategije, planove i programe za koje se prema posebnom propisu koji uređuje zaštitu prirode utvrdi da mogu imati značajan negativan utjecaj na ekološku mrežu.</w:t>
      </w:r>
    </w:p>
    <w:p>
      <w:pPr>
        <w:pBdr/>
        <w:pStyle w:val="Normal"/>
        <w:spacing/>
        <w:ind/>
        <w:rPr>
          <w:rFonts w:ascii="Arial" w:eastAsia="Arial" w:hAnsi="Arial" w:cs="Arial"/>
          <w:color w:val="000000"/>
        </w:rPr>
      </w:pPr>
      <w:r>
        <w:rPr>
          <w:rFonts w:ascii="Arial" w:eastAsia="Arial" w:hAnsi="Arial" w:cs="Arial"/>
        </w:rPr>
        <w:t xml:space="preserve">(2) Za strategije, planove i programe za koje se obvezno provodi strateška procjena obvezna je i provedba odgovarajuće ocjene prema posebnom propisu kojim se uređuje zaštita prirode.</w:t>
      </w:r>
    </w:p>
    <w:p>
      <w:pPr>
        <w:pBdr/>
        <w:pStyle w:val="Normal"/>
        <w:spacing/>
        <w:ind/>
        <w:rPr>
          <w:rFonts w:ascii="Arial" w:eastAsia="Arial" w:hAnsi="Arial" w:cs="Arial"/>
          <w:color w:val="000000"/>
        </w:rPr>
      </w:pPr>
      <w:r>
        <w:rPr>
          <w:rFonts w:ascii="Arial" w:eastAsia="Arial" w:hAnsi="Arial" w:cs="Arial"/>
        </w:rPr>
        <w:t xml:space="preserve">(3) Ako se strategije, planove i programe donose u objedinjenom postupku, provodi se jedinstveni postupak strateške procjene.</w:t>
      </w:r>
    </w:p>
    <w:p>
      <w:pPr>
        <w:pBdr/>
        <w:pStyle w:val="Normal"/>
        <w:spacing/>
        <w:ind/>
        <w:rPr>
          <w:rFonts w:ascii="Arial" w:eastAsia="Arial" w:hAnsi="Arial" w:cs="Arial"/>
          <w:iCs/>
          <w:color w:val="000000"/>
        </w:rPr>
      </w:pPr>
    </w:p>
    <w:p>
      <w:pPr>
        <w:pBdr/>
        <w:pStyle w:val="Heading 2"/>
        <w:spacing/>
        <w:ind/>
        <w:rPr/>
      </w:pPr>
      <w:r>
        <w:rPr/>
        <w:t xml:space="preserve">Postupak ocjene o potrebi strateške procjene</w:t>
      </w:r>
    </w:p>
    <w:p>
      <w:pPr>
        <w:pBdr/>
        <w:pStyle w:val="Heading 2"/>
        <w:spacing/>
        <w:ind/>
        <w:rPr/>
      </w:pPr>
      <w:r>
        <w:rPr/>
        <w:t xml:space="preserve">Članak 39.</w:t>
      </w:r>
    </w:p>
    <w:p>
      <w:pPr>
        <w:pBdr/>
        <w:pStyle w:val="Normal"/>
        <w:spacing/>
        <w:ind/>
        <w:rPr>
          <w:rFonts w:ascii="Arial" w:eastAsia="Arial" w:hAnsi="Arial" w:cs="Arial"/>
        </w:rPr>
      </w:pPr>
      <w:r>
        <w:rPr>
          <w:rFonts w:ascii="Arial" w:eastAsia="Arial" w:hAnsi="Arial" w:cs="Arial"/>
        </w:rPr>
        <w:t xml:space="preserve">(1) Za strategije, planove i programe kojima se određuje uporaba malih površina na područnoj (regionalnoj) i lokalnoj razini te za manje izmjene i dopune strategija, planova i programa iz članka 38. ovoga Zakona provodi se postupak u kojem se odlučuje o potrebi provedbe strateške procjene (u daljnjem tekstu: postupak ocjene). </w:t>
      </w:r>
    </w:p>
    <w:p>
      <w:pPr>
        <w:pBdr/>
        <w:pStyle w:val="Normal"/>
        <w:spacing/>
        <w:ind/>
        <w:rPr>
          <w:rFonts w:ascii="Arial" w:eastAsia="Arial" w:hAnsi="Arial" w:cs="Arial"/>
        </w:rPr>
      </w:pPr>
      <w:r>
        <w:rPr>
          <w:rFonts w:ascii="Arial" w:eastAsia="Arial" w:hAnsi="Arial" w:cs="Arial"/>
        </w:rPr>
        <w:t xml:space="preserve">(2) Postupak ocjene iz stavka 1. ovoga članka provodi se i za strategije, planove i programe te njihove izmjene i dopune koji nisu obuhvaćeni člankom 38. stavkom 1. ovoga Zakona ni stavkom 1. ovoga članka, a kojima se određuje okvir za zahvate koji podliježu procjeni utjecaja na okoliš odnosno ocjeni o potrebi procjene utjecaja na okoliš.</w:t>
      </w:r>
    </w:p>
    <w:p>
      <w:pPr>
        <w:pBdr/>
        <w:pStyle w:val="Normal"/>
        <w:spacing/>
        <w:ind/>
        <w:rPr>
          <w:rFonts w:ascii="Arial" w:eastAsia="Arial" w:hAnsi="Arial" w:cs="Arial"/>
        </w:rPr>
      </w:pPr>
      <w:r>
        <w:rPr>
          <w:rFonts w:ascii="Arial" w:eastAsia="Arial" w:hAnsi="Arial" w:cs="Arial"/>
        </w:rPr>
        <w:t xml:space="preserve">(3) Postupak ocjene provodi se na način propisan ovim Zakonom i uredbom iz stavka 6. ovoga članka, a odluka o potrebi provedbe strateške procjene donosi se na temelju pojedinačnih ispitivanja i/ili kriterija utvrđenim uredbom iz stavka 6. ovoga članka, uzimajući u obzir mišljenja nadležnih tijela. </w:t>
      </w:r>
    </w:p>
    <w:p>
      <w:pPr>
        <w:pBdr/>
        <w:pStyle w:val="Normal"/>
        <w:spacing/>
        <w:ind/>
        <w:rPr>
          <w:rFonts w:ascii="Arial" w:eastAsia="Arial" w:hAnsi="Arial" w:cs="Arial"/>
        </w:rPr>
      </w:pPr>
      <w:r>
        <w:rPr>
          <w:rFonts w:ascii="Arial" w:eastAsia="Arial" w:hAnsi="Arial" w:cs="Arial"/>
        </w:rPr>
        <w:t xml:space="preserve">(4) Ako se u postupku ocjene iz stavka 1. ovoga članka utvrdi obveza provedbe strateške procjene, strateška procjena provodi se sukladno odredbama ovoga Zakona.</w:t>
      </w:r>
    </w:p>
    <w:p>
      <w:pPr>
        <w:pBdr/>
        <w:pStyle w:val="Normal"/>
        <w:spacing/>
        <w:ind/>
        <w:rPr>
          <w:rFonts w:ascii="Arial" w:eastAsia="Arial" w:hAnsi="Arial" w:cs="Arial"/>
        </w:rPr>
      </w:pPr>
      <w:r>
        <w:rPr>
          <w:rFonts w:ascii="Arial" w:eastAsia="Arial" w:hAnsi="Arial" w:cs="Arial"/>
        </w:rPr>
        <w:t xml:space="preserve">(5) U okviru postupka ocjene iz stavka 1. ovoga članka provodi se i prethodna ocjena prihvatljivosti strategije, plana i programa za ekološku mrežu prema posebnom propisu kojim se uređuje zaštita prirode.</w:t>
      </w:r>
    </w:p>
    <w:p>
      <w:pPr>
        <w:pBdr/>
        <w:pStyle w:val="Normal"/>
        <w:spacing/>
        <w:ind/>
        <w:rPr>
          <w:rFonts w:ascii="Arial" w:eastAsia="Arial" w:hAnsi="Arial" w:cs="Arial"/>
        </w:rPr>
      </w:pPr>
      <w:r>
        <w:rPr>
          <w:rFonts w:ascii="Arial" w:eastAsia="Arial" w:hAnsi="Arial" w:cs="Arial"/>
        </w:rPr>
        <w:t xml:space="preserve">(6) Sadržaj odluka, strateške studije, mišljenja i drugih akata, kriterije, način i rokove provedbe postupka ocjene i strateške procjene, uključujući pojedinačna ispitivanja, način izrade strateške studije, sudjelovanje ovlaštenika te način praćenja značajnih utjecaja provedbe strategije, plana ili programa na okoliš i provjere provedbe mjera zaštite okoliša Vlada pobliže uređuje uredbom.</w:t>
      </w:r>
    </w:p>
    <w:p>
      <w:pPr>
        <w:pBdr/>
        <w:pStyle w:val="Normal"/>
        <w:spacing/>
        <w:ind/>
        <w:rPr>
          <w:rFonts w:ascii="Arial" w:eastAsia="Arial" w:hAnsi="Arial" w:cs="Arial"/>
        </w:rPr>
      </w:pPr>
    </w:p>
    <w:p>
      <w:pPr>
        <w:pBdr/>
        <w:pStyle w:val="Heading 2"/>
        <w:spacing/>
        <w:ind/>
        <w:rPr/>
      </w:pPr>
      <w:r>
        <w:rPr/>
        <w:t xml:space="preserve">Strategije, planovi i programi koji ne podliježu strateškoj procjeni</w:t>
      </w:r>
    </w:p>
    <w:p>
      <w:pPr>
        <w:pBdr/>
        <w:pStyle w:val="Heading 2"/>
        <w:spacing/>
        <w:ind/>
        <w:rPr/>
      </w:pPr>
      <w:r>
        <w:rPr/>
        <w:t xml:space="preserve">Članak 40.</w:t>
      </w:r>
    </w:p>
    <w:p>
      <w:pPr>
        <w:pBdr/>
        <w:pStyle w:val="Normal"/>
        <w:spacing/>
        <w:ind/>
        <w:rPr>
          <w:rFonts w:ascii="Arial" w:eastAsia="Arial" w:hAnsi="Arial" w:cs="Arial"/>
        </w:rPr>
      </w:pPr>
      <w:r>
        <w:rPr>
          <w:rFonts w:ascii="Arial" w:eastAsia="Arial" w:hAnsi="Arial" w:cs="Arial"/>
        </w:rPr>
        <w:t xml:space="preserve">Strateškoj procjeni ne podliježu:</w:t>
      </w:r>
    </w:p>
    <w:p>
      <w:pPr>
        <w:pBdr/>
        <w:pStyle w:val="Normal"/>
        <w:spacing/>
        <w:ind/>
        <w:rPr>
          <w:rFonts w:ascii="Arial" w:eastAsia="Arial" w:hAnsi="Arial" w:cs="Arial"/>
        </w:rPr>
      </w:pPr>
      <w:r>
        <w:rPr>
          <w:rFonts w:ascii="Arial" w:eastAsia="Arial" w:hAnsi="Arial" w:cs="Arial"/>
        </w:rPr>
        <w:t xml:space="preserve">- strategije, planovi i programi koji služe isključivo za potrebe nacionalne obrane i/ili civilne zaštite, odnosno oni koji se primjenjuju u nuždi te vanjski planovi zaštite i spašavanja</w:t>
      </w:r>
    </w:p>
    <w:p>
      <w:pPr>
        <w:pBdr/>
        <w:pStyle w:val="Normal"/>
        <w:spacing/>
        <w:ind/>
        <w:rPr>
          <w:rFonts w:ascii="Arial" w:eastAsia="Arial" w:hAnsi="Arial" w:cs="Arial"/>
        </w:rPr>
      </w:pPr>
      <w:r>
        <w:rPr>
          <w:rFonts w:ascii="Arial" w:eastAsia="Arial" w:hAnsi="Arial" w:cs="Arial"/>
          <w:color w:val="000000"/>
        </w:rPr>
        <w:t xml:space="preserve">- financijske i proračunske strategije, planovi i programi</w:t>
      </w:r>
    </w:p>
    <w:p>
      <w:pPr>
        <w:pBdr/>
        <w:pStyle w:val="Normal"/>
        <w:spacing/>
        <w:ind/>
        <w:rPr>
          <w:rFonts w:ascii="Arial" w:eastAsia="Arial" w:hAnsi="Arial" w:cs="Arial"/>
          <w:color w:val="000000"/>
        </w:rPr>
      </w:pPr>
      <w:r>
        <w:rPr>
          <w:rFonts w:ascii="Arial" w:eastAsia="Arial" w:hAnsi="Arial" w:cs="Arial"/>
          <w:color w:val="000000"/>
        </w:rPr>
        <w:t xml:space="preserve">- strategije, planovi i programi zaštite okoliša čija se izrada određuje ovim Zakonom</w:t>
      </w:r>
    </w:p>
    <w:p>
      <w:pPr>
        <w:pBdr/>
        <w:pStyle w:val="Normal"/>
        <w:spacing/>
        <w:ind/>
        <w:rPr>
          <w:rFonts w:ascii="Arial" w:eastAsia="Arial" w:hAnsi="Arial" w:cs="Arial"/>
          <w:i/>
        </w:rPr>
      </w:pPr>
      <w:r>
        <w:rPr>
          <w:rFonts w:ascii="Arial" w:eastAsia="Arial" w:hAnsi="Arial" w:cs="Arial"/>
          <w:color w:val="000000"/>
        </w:rPr>
        <w:t xml:space="preserve">- strategije, planovi i programi neposredno povezani i nužni za upravljanje bioraznolikošću, zaštićenim područjima i područjima ekološke mreže, a čija je izrada određena posebnim propisom koji uređuje zaštitu prirode, uključujući i njezinu obnovu.</w:t>
      </w:r>
    </w:p>
    <w:p>
      <w:pPr>
        <w:pBdr/>
        <w:pStyle w:val="Normal"/>
        <w:spacing/>
        <w:ind/>
        <w:rPr>
          <w:rFonts w:ascii="Arial" w:eastAsia="Arial" w:hAnsi="Arial" w:cs="Arial"/>
          <w:i/>
        </w:rPr>
      </w:pPr>
    </w:p>
    <w:p>
      <w:pPr>
        <w:pBdr/>
        <w:pStyle w:val="Heading 2"/>
        <w:spacing/>
        <w:ind/>
        <w:rPr/>
      </w:pPr>
      <w:r>
        <w:rPr/>
        <w:t xml:space="preserve">Nadležnost za provedbu strateške procjene i ocjene o potrebi strateške procjene</w:t>
      </w:r>
    </w:p>
    <w:p>
      <w:pPr>
        <w:pBdr/>
        <w:pStyle w:val="Heading 2"/>
        <w:spacing/>
        <w:ind/>
        <w:rPr/>
      </w:pPr>
      <w:r>
        <w:rPr/>
        <w:t xml:space="preserve">Članak 41.</w:t>
      </w:r>
    </w:p>
    <w:p>
      <w:pPr>
        <w:pBdr/>
        <w:pStyle w:val="Normal"/>
        <w:spacing/>
        <w:ind/>
        <w:rPr>
          <w:rFonts w:ascii="Arial" w:eastAsia="Arial" w:hAnsi="Arial" w:cs="Arial"/>
        </w:rPr>
      </w:pPr>
      <w:r>
        <w:rPr>
          <w:rFonts w:ascii="Arial" w:eastAsia="Arial" w:hAnsi="Arial" w:cs="Arial"/>
        </w:rPr>
        <w:t xml:space="preserve">(1) Nadležno tijelo za provedbu strateške procjene i postupka ocjene o potrebi strateške procjene (u daljnjem tekstu: nadležno tijelo) je tijelo državne uprave nadležno za područje za koje se strategija, plan i program donosi na državnoj razini, odnosno izvršno tijelo jedinice lokalne i područne (regionalne) samouprave za strategiju, plan ili program koji se donosi na lokalnoj odnosno područnoj (regionalnoj) razini.</w:t>
      </w:r>
    </w:p>
    <w:p>
      <w:pPr>
        <w:pBdr/>
        <w:pStyle w:val="Normal"/>
        <w:spacing/>
        <w:ind/>
        <w:rPr>
          <w:rFonts w:ascii="Arial" w:eastAsia="Arial" w:hAnsi="Arial" w:cs="Arial"/>
          <w:color w:val="231F20"/>
        </w:rPr>
      </w:pPr>
      <w:r>
        <w:rPr>
          <w:rFonts w:ascii="Arial" w:eastAsia="Arial" w:hAnsi="Arial" w:cs="Arial"/>
          <w:color w:val="231F20"/>
        </w:rPr>
        <w:t xml:space="preserve">(2) Nadležno tijelo dužno je prije početka izrade strategije, plana i programa odnosno njihovih izmjena i dopuna pribaviti mišljenje o potrebi provedbe postupka ocjene ili strateške procjene od Ministarstva za državnu i područnu (regionalnu) razinu, odnosno od nadležnog upravnog tijela za zaštitu okoliša u županiji za lokalnu razinu.</w:t>
      </w:r>
    </w:p>
    <w:p>
      <w:pPr>
        <w:pBdr/>
        <w:pStyle w:val="Normal"/>
        <w:spacing/>
        <w:ind/>
        <w:rPr>
          <w:rFonts w:ascii="Arial" w:eastAsia="Arial" w:hAnsi="Arial" w:cs="Arial"/>
        </w:rPr>
      </w:pPr>
      <w:r>
        <w:rPr>
          <w:rFonts w:ascii="Arial" w:eastAsia="Arial" w:hAnsi="Arial" w:cs="Arial"/>
          <w:color w:val="231F20"/>
        </w:rPr>
        <w:t xml:space="preserve">(3) Nadležno tijelo provodi postupak ocjene za strategije, planove i programe iz članka 39. ovoga Zakona te stratešku procjenu za strategije, planove i programe iz članka 38. i članka 39. stavka 4. ovoga Zakona u suradnji s Ministarstvom za dokumente na državnoj i područnoj (regionalnoj) razini odnosno s nadležnim upravnim tijelom za zaštitu okoliša u županiji za dokumente na lokalnoj razini. </w:t>
      </w:r>
    </w:p>
    <w:p>
      <w:pPr>
        <w:pBdr/>
        <w:pStyle w:val="Normal"/>
        <w:spacing/>
        <w:ind/>
        <w:rPr>
          <w:rFonts w:ascii="Arial" w:eastAsia="Arial" w:hAnsi="Arial" w:cs="Arial"/>
        </w:rPr>
      </w:pPr>
      <w:r>
        <w:rPr>
          <w:rFonts w:ascii="Arial" w:eastAsia="Arial" w:hAnsi="Arial" w:cs="Arial"/>
        </w:rPr>
        <w:t xml:space="preserve">(4) Za provedbu prekograničnog postupka strateške procjene iz članaka 51. i 52. ovoga Zakona nadležno je Ministarstvo.</w:t>
      </w:r>
    </w:p>
    <w:p>
      <w:pPr>
        <w:pBdr/>
        <w:pStyle w:val="Normal"/>
        <w:spacing/>
        <w:ind/>
        <w:rPr>
          <w:rFonts w:ascii="Arial" w:eastAsia="Arial" w:hAnsi="Arial" w:cs="Arial"/>
        </w:rPr>
      </w:pPr>
    </w:p>
    <w:p>
      <w:pPr>
        <w:pBdr/>
        <w:pStyle w:val="Heading 2"/>
        <w:spacing/>
        <w:ind/>
        <w:rPr/>
      </w:pPr>
      <w:r>
        <w:rPr/>
        <w:t xml:space="preserve">Način provedbe strateške procjene</w:t>
      </w:r>
    </w:p>
    <w:p>
      <w:pPr>
        <w:pBdr/>
        <w:pStyle w:val="Heading 2"/>
        <w:spacing/>
        <w:ind/>
        <w:rPr/>
      </w:pPr>
      <w:r>
        <w:rPr/>
        <w:t xml:space="preserve">Članak 42.</w:t>
      </w:r>
    </w:p>
    <w:p>
      <w:pPr>
        <w:pBdr/>
        <w:pStyle w:val="Normal"/>
        <w:spacing/>
        <w:ind/>
        <w:rPr>
          <w:rFonts w:ascii="Arial" w:eastAsia="Arial" w:hAnsi="Arial" w:cs="Arial"/>
          <w:color w:val="000000"/>
        </w:rPr>
      </w:pPr>
      <w:r>
        <w:rPr>
          <w:rFonts w:ascii="Arial" w:eastAsia="Arial" w:hAnsi="Arial" w:cs="Arial"/>
        </w:rPr>
        <w:t xml:space="preserve">(1) Strateška procjena iz članka 37. stavka 1. ovoga Zakona se provodi u ranoj fazi izrade nacrta prijedloga strategije, plana i programa, a najkasnije prije utvrđivanja konačnog prijedloga i njegova upućivanja u postupak donošenja, na način propisan ovim Zakonom i uredbom iz članka 39. stavka 6. ovoga Zakona.</w:t>
      </w:r>
    </w:p>
    <w:p>
      <w:pPr>
        <w:pBdr/>
        <w:pStyle w:val="Normal"/>
        <w:spacing/>
        <w:ind/>
        <w:rPr>
          <w:rFonts w:ascii="Arial" w:eastAsia="Arial" w:hAnsi="Arial" w:cs="Arial"/>
          <w:color w:val="000000"/>
        </w:rPr>
      </w:pPr>
      <w:r>
        <w:rPr>
          <w:rFonts w:ascii="Arial" w:eastAsia="Arial" w:hAnsi="Arial" w:cs="Arial"/>
          <w:color w:val="000000"/>
        </w:rPr>
        <w:t xml:space="preserve">(2) Odluku o pokretanju postupka strateške procjene donosi:</w:t>
      </w:r>
    </w:p>
    <w:p>
      <w:pPr>
        <w:pBdr/>
        <w:pStyle w:val="Normal"/>
        <w:spacing/>
        <w:ind/>
        <w:rPr>
          <w:rFonts w:ascii="Arial" w:eastAsia="Arial" w:hAnsi="Arial" w:cs="Arial"/>
          <w:color w:val="000000"/>
        </w:rPr>
      </w:pPr>
      <w:r>
        <w:rPr>
          <w:rFonts w:ascii="Arial" w:eastAsia="Arial" w:hAnsi="Arial" w:cs="Arial"/>
          <w:color w:val="000000"/>
        </w:rPr>
        <w:t xml:space="preserve">1. ministar nadležan za područje za koje se strategija, plan ili program donosi, za dokumente na državnoj razini</w:t>
      </w:r>
    </w:p>
    <w:p>
      <w:pPr>
        <w:pBdr/>
        <w:pStyle w:val="Normal"/>
        <w:spacing/>
        <w:ind/>
        <w:rPr>
          <w:rFonts w:ascii="Arial" w:eastAsia="Arial" w:hAnsi="Arial" w:cs="Arial"/>
          <w:color w:val="000000"/>
        </w:rPr>
      </w:pPr>
      <w:r>
        <w:rPr>
          <w:rFonts w:ascii="Arial" w:eastAsia="Arial" w:hAnsi="Arial" w:cs="Arial"/>
          <w:color w:val="000000"/>
        </w:rPr>
        <w:t xml:space="preserve">2. župan odnosno gradonačelnik Grada Zagreba, za dokumente na područnoj (regionalnoj) razini odnosno za područje Grada Zagreba </w:t>
      </w:r>
    </w:p>
    <w:p>
      <w:pPr>
        <w:pBdr/>
        <w:pStyle w:val="Normal"/>
        <w:spacing/>
        <w:ind/>
        <w:rPr>
          <w:rFonts w:ascii="Arial" w:eastAsia="Arial" w:hAnsi="Arial" w:cs="Arial"/>
          <w:color w:val="000000"/>
        </w:rPr>
      </w:pPr>
      <w:r>
        <w:rPr>
          <w:rFonts w:ascii="Arial" w:eastAsia="Arial" w:hAnsi="Arial" w:cs="Arial"/>
          <w:color w:val="000000"/>
        </w:rPr>
        <w:t xml:space="preserve">3. gradonačelnik odnosno općinski načelnik, za dokumente na lokalnoj razini.</w:t>
      </w:r>
    </w:p>
    <w:p>
      <w:pPr>
        <w:pBdr/>
        <w:pStyle w:val="Normal"/>
        <w:spacing/>
        <w:ind/>
        <w:rPr>
          <w:rFonts w:ascii="Arial" w:eastAsia="Arial" w:hAnsi="Arial" w:cs="Arial"/>
          <w:color w:val="000000"/>
        </w:rPr>
      </w:pPr>
      <w:r>
        <w:rPr>
          <w:rFonts w:ascii="Arial" w:eastAsia="Arial" w:hAnsi="Arial" w:cs="Arial"/>
        </w:rPr>
        <w:t xml:space="preserve">(3) U postupku strateške procjene osigurava se informiranje i sudjelovanje javnosti na način propisan ovim Zakonom.</w:t>
      </w:r>
    </w:p>
    <w:p>
      <w:pPr>
        <w:pBdr/>
        <w:pStyle w:val="Normal"/>
        <w:spacing/>
        <w:ind/>
        <w:rPr>
          <w:rFonts w:ascii="Arial" w:eastAsia="Arial" w:hAnsi="Arial" w:cs="Arial"/>
          <w:color w:val="000000"/>
        </w:rPr>
      </w:pPr>
      <w:r>
        <w:rPr>
          <w:rFonts w:ascii="Arial" w:eastAsia="Arial" w:hAnsi="Arial" w:cs="Arial"/>
          <w:color w:val="000000"/>
        </w:rPr>
        <w:t xml:space="preserve">(4) Iznimno od stavaka 1. i 3. ovoga članka, strateška procjena te informiranje i sudjelovanje javnosti za dokumente prostornoga uređenja uključujući prostorne planove na državnoj, područnoj (regionalnoj) i lokalnoj razini provode se tijekom njihove izrade sukladno propisu kojim se uređuje prostorno uređenje.</w:t>
      </w:r>
    </w:p>
    <w:p>
      <w:pPr>
        <w:pBdr/>
        <w:pStyle w:val="Normal"/>
        <w:spacing/>
        <w:ind/>
        <w:rPr>
          <w:rFonts w:ascii="Arial" w:eastAsia="Arial" w:hAnsi="Arial" w:cs="Arial"/>
        </w:rPr>
      </w:pPr>
    </w:p>
    <w:p>
      <w:pPr>
        <w:pBdr/>
        <w:pStyle w:val="Heading 2"/>
        <w:spacing/>
        <w:ind/>
        <w:rPr/>
      </w:pPr>
      <w:r>
        <w:rPr/>
        <w:t xml:space="preserve">Članak 43.</w:t>
      </w:r>
    </w:p>
    <w:p>
      <w:pPr>
        <w:pBdr/>
        <w:pStyle w:val="Normal"/>
        <w:spacing/>
        <w:ind/>
        <w:rPr>
          <w:rFonts w:ascii="Arial" w:eastAsia="Arial" w:hAnsi="Arial" w:cs="Arial"/>
        </w:rPr>
      </w:pPr>
      <w:r>
        <w:rPr>
          <w:rFonts w:ascii="Arial" w:eastAsia="Arial" w:hAnsi="Arial" w:cs="Arial"/>
        </w:rPr>
        <w:t xml:space="preserve">(1) Nadležno tijelo nakon donošenja odluke iz članka 42. stavka 2. ovoga Zakona započinje postupak strateške procjene i postupak odabira ovlaštenika za izradu strateške studije. </w:t>
      </w:r>
    </w:p>
    <w:p>
      <w:pPr>
        <w:pBdr/>
        <w:pStyle w:val="Normal"/>
        <w:spacing/>
        <w:ind/>
        <w:rPr>
          <w:rFonts w:ascii="Arial" w:eastAsia="Arial" w:hAnsi="Arial" w:cs="Arial"/>
        </w:rPr>
      </w:pPr>
      <w:r>
        <w:rPr>
          <w:rFonts w:ascii="Arial" w:eastAsia="Arial" w:hAnsi="Arial" w:cs="Arial"/>
        </w:rPr>
        <w:t xml:space="preserve">(2) U postupku strateške procjene izrađuje se strateška studija kao stručna podloga za provedbu toga postupka koja se prilaže uz strategiju, plan ili program.</w:t>
      </w:r>
    </w:p>
    <w:p>
      <w:pPr>
        <w:pBdr/>
        <w:pStyle w:val="Normal"/>
        <w:spacing/>
        <w:ind/>
        <w:rPr>
          <w:rFonts w:ascii="Arial" w:eastAsia="Arial" w:hAnsi="Arial" w:cs="Arial"/>
        </w:rPr>
      </w:pPr>
      <w:r>
        <w:rPr>
          <w:rFonts w:ascii="Arial" w:eastAsia="Arial" w:hAnsi="Arial" w:cs="Arial"/>
          <w:color w:val="000000"/>
        </w:rPr>
        <w:t xml:space="preserve">(3) Strateškom studijom iz stavka 2. ovoga članka određuju se, opisuju i procjenjuju očekivani značajni učinci na okoliš koje može uzrokovati provedba strategije, plana i programa te razumne alternative s obzirom na zaštitu okoliša, uzimajući u obzir ciljeve i obuhvat strategije, plana i programa.</w:t>
      </w:r>
    </w:p>
    <w:p>
      <w:pPr>
        <w:pBdr/>
        <w:pStyle w:val="Normal"/>
        <w:spacing/>
        <w:ind/>
        <w:rPr>
          <w:rFonts w:ascii="Arial" w:eastAsia="Arial" w:hAnsi="Arial" w:cs="Arial"/>
          <w:color w:val="000000"/>
        </w:rPr>
      </w:pPr>
      <w:r>
        <w:rPr>
          <w:rFonts w:ascii="Arial" w:eastAsia="Arial" w:hAnsi="Arial" w:cs="Arial"/>
          <w:color w:val="000000"/>
        </w:rPr>
        <w:t xml:space="preserve">(4) Nadležno tijelo odlukom određuje sadržaj strateške studije ovisno o strategiji, planu ili programu za koji se izrađuje, sukladno obveznom sadržaju i postupku propisanom uredbom iz članka 39. stavka 6. ovoga Zakona. </w:t>
      </w:r>
    </w:p>
    <w:p>
      <w:pPr>
        <w:pBdr/>
        <w:pStyle w:val="Normal"/>
        <w:spacing/>
        <w:ind/>
        <w:rPr>
          <w:rFonts w:ascii="Arial" w:eastAsia="Arial" w:hAnsi="Arial" w:cs="Arial"/>
        </w:rPr>
      </w:pPr>
      <w:r>
        <w:rPr>
          <w:rFonts w:ascii="Arial" w:eastAsia="Arial" w:hAnsi="Arial" w:cs="Arial"/>
        </w:rPr>
        <w:t xml:space="preserve">(5) Ako je aktom tijela nadležnog za zaštitu prirode ocijenjeno da se za strategiju, plan ili program ne može isključiti značajan negativan utjecaj na ciljeve očuvanja i cjelovitost područja ekološke mreže, strateška studija uključuje i poglavlje glavne ocjene prihvatljivosti strategije, plana ili programa za ekološku mrežu prema posebnom propisu kojim se uređuje zaštita prirode.</w:t>
      </w:r>
    </w:p>
    <w:p>
      <w:pPr>
        <w:pBdr/>
        <w:pStyle w:val="Normal"/>
        <w:spacing/>
        <w:ind/>
        <w:rPr>
          <w:rFonts w:ascii="Arial" w:eastAsia="Arial" w:hAnsi="Arial" w:cs="Arial"/>
        </w:rPr>
      </w:pPr>
      <w:r>
        <w:rPr>
          <w:rFonts w:ascii="Arial" w:eastAsia="Arial" w:hAnsi="Arial" w:cs="Arial"/>
        </w:rPr>
        <w:t xml:space="preserve">(6) Ovlaštenik iz stavka 1. ovoga članka odgovoran je za cjelovitost strateške studije, uključujući procjenu kumulativnih učinaka na okoliš, ukazivanje na potencijalno umjetno stvaranje uvjeta te usklađenost sa zahtjevima utvrđenim odlukom iz stavka 4. ovoga članka.</w:t>
      </w:r>
    </w:p>
    <w:p>
      <w:pPr>
        <w:pBdr/>
        <w:pStyle w:val="Normal"/>
        <w:spacing/>
        <w:ind/>
        <w:rPr>
          <w:rFonts w:ascii="Arial" w:eastAsia="Arial" w:hAnsi="Arial" w:cs="Arial"/>
        </w:rPr>
      </w:pPr>
    </w:p>
    <w:p>
      <w:pPr>
        <w:pBdr/>
        <w:pStyle w:val="Heading 2"/>
        <w:spacing/>
        <w:ind/>
        <w:rPr/>
      </w:pPr>
      <w:r>
        <w:rPr/>
        <w:t xml:space="preserve">Članak 44.</w:t>
      </w:r>
    </w:p>
    <w:p>
      <w:pPr>
        <w:pBdr/>
        <w:pStyle w:val="Normal"/>
        <w:spacing/>
        <w:ind/>
        <w:rPr>
          <w:rFonts w:ascii="Arial" w:eastAsia="Arial" w:hAnsi="Arial" w:cs="Arial"/>
          <w:color w:val="000000"/>
        </w:rPr>
      </w:pPr>
      <w:r>
        <w:rPr>
          <w:rFonts w:ascii="Arial" w:eastAsia="Arial" w:hAnsi="Arial" w:cs="Arial"/>
        </w:rPr>
        <w:t xml:space="preserve">Strateška procjena iz članka 37. stavka 1. ovoga Zakona se ne provodi za strategiju, plan i program na nižoj razini ako su njihove polazne osnove obuhvaćene strateškom procjenom strategije, plana i programa na višoj razini i ako je ovim Zakonom ili posebnim zakonom propisana obveza usklađenosti niže razine s višom razinom.</w:t>
      </w:r>
    </w:p>
    <w:p>
      <w:pPr>
        <w:pBdr/>
        <w:pStyle w:val="Normal"/>
        <w:spacing/>
        <w:ind/>
        <w:rPr>
          <w:rFonts w:ascii="Arial" w:eastAsia="Arial" w:hAnsi="Arial" w:cs="Arial"/>
          <w:color w:val="000000"/>
        </w:rPr>
      </w:pPr>
    </w:p>
    <w:p>
      <w:pPr>
        <w:pBdr/>
        <w:pStyle w:val="Heading 2"/>
        <w:spacing/>
        <w:ind/>
        <w:rPr/>
      </w:pPr>
      <w:r>
        <w:rPr/>
        <w:t xml:space="preserve">Članak 45.</w:t>
      </w:r>
    </w:p>
    <w:p>
      <w:pPr>
        <w:pBdr/>
        <w:pStyle w:val="Normal"/>
        <w:spacing/>
        <w:ind/>
        <w:rPr>
          <w:rFonts w:ascii="Arial" w:eastAsia="Arial" w:hAnsi="Arial" w:cs="Arial"/>
          <w:color w:val="000000"/>
        </w:rPr>
      </w:pPr>
      <w:r>
        <w:rPr>
          <w:rFonts w:ascii="Arial" w:eastAsia="Arial" w:hAnsi="Arial" w:cs="Arial"/>
        </w:rPr>
        <w:t xml:space="preserve">(1) Nadležno tijelo za provedbu strateške procjene, odnosno za postupak ocjene sukladno ovom Zakonu stratešku studiju i nacrt prijedloga strategije, plana ili programa te ostalu relevantnu dokumentaciju dostavlja nadležnim tijelima radi davanja mišljenja.</w:t>
      </w:r>
    </w:p>
    <w:p>
      <w:pPr>
        <w:pBdr/>
        <w:pStyle w:val="Normal"/>
        <w:spacing/>
        <w:ind/>
        <w:rPr>
          <w:rFonts w:ascii="Arial" w:eastAsia="Arial" w:hAnsi="Arial" w:cs="Arial"/>
          <w:color w:val="000000"/>
        </w:rPr>
      </w:pPr>
      <w:r>
        <w:rPr>
          <w:rFonts w:ascii="Arial" w:eastAsia="Arial" w:hAnsi="Arial" w:cs="Arial"/>
        </w:rPr>
        <w:t xml:space="preserve">(2) Tijela su dužna dostaviti mišljenje u roku od 30 dana od dana primitka dokumenata iz stavka 1. ovoga članka.</w:t>
      </w:r>
    </w:p>
    <w:p>
      <w:pPr>
        <w:pBdr/>
        <w:pStyle w:val="Heading 2"/>
        <w:spacing/>
        <w:ind/>
        <w:rPr/>
      </w:pPr>
      <w:r>
        <w:rPr/>
        <w:t xml:space="preserve">Članak 46.</w:t>
      </w:r>
    </w:p>
    <w:p>
      <w:pPr>
        <w:pBdr/>
        <w:pStyle w:val="Normal"/>
        <w:spacing/>
        <w:ind/>
        <w:rPr>
          <w:rFonts w:ascii="Arial" w:eastAsia="Arial" w:hAnsi="Arial" w:cs="Arial"/>
        </w:rPr>
      </w:pPr>
      <w:r>
        <w:rPr>
          <w:rFonts w:ascii="Arial" w:eastAsia="Arial" w:hAnsi="Arial" w:cs="Arial"/>
          <w:color w:val="000000"/>
        </w:rPr>
        <w:t xml:space="preserve">(1) </w:t>
      </w:r>
      <w:r>
        <w:rPr>
          <w:rFonts w:ascii="Arial" w:eastAsia="Arial" w:hAnsi="Arial" w:cs="Arial"/>
        </w:rPr>
        <w:t xml:space="preserve">Nadležno tijelo u postupku strateške procjene prije upućivanja prijedloga strategije, plana i programa u postupak donošenja, o strateškoj procjeni pribavlja mišljenje </w:t>
      </w:r>
      <w:r>
        <w:rPr>
          <w:rFonts w:ascii="Arial" w:eastAsia="Arial" w:hAnsi="Arial" w:cs="Arial"/>
        </w:rPr>
        <w:t xml:space="preserve">Ministarstva za strategije, planove i programe na državnoj i područnoj (regionalnoj) razini, odnosno nadležnog upravnog tijela za zaštitu okoliša u županiji za strategije, planove i programe na lokalnoj razini.</w:t>
      </w:r>
    </w:p>
    <w:p>
      <w:pPr>
        <w:pBdr/>
        <w:pStyle w:val="Normal"/>
        <w:spacing/>
        <w:ind/>
        <w:rPr>
          <w:rFonts w:ascii="Arial" w:eastAsia="Arial" w:hAnsi="Arial" w:cs="Arial"/>
          <w:color w:val="000000"/>
        </w:rPr>
      </w:pPr>
      <w:r>
        <w:rPr>
          <w:rFonts w:ascii="Arial" w:eastAsia="Arial" w:hAnsi="Arial" w:cs="Arial"/>
        </w:rPr>
        <w:t xml:space="preserve">(2) Nadležno tijelo u postupku ocjene o potrebi strateške procjene prije upućivanja prijedloga strategije, plana i programa u proceduru donošenja, o postupku ocjene pribavlja mišljenje Ministarstva, odnosno nadležnog upravnog tijela za zaštitu okoliša u županiji odnosno Gradu Zagrebu</w:t>
      </w:r>
      <w:r>
        <w:rPr>
          <w:rFonts w:ascii="Arial" w:eastAsia="Arial" w:hAnsi="Arial" w:cs="Arial"/>
          <w:color w:val="000000"/>
        </w:rPr>
        <w:t xml:space="preserve">.</w:t>
      </w:r>
    </w:p>
    <w:p>
      <w:pPr>
        <w:pBdr/>
        <w:pStyle w:val="Normal"/>
        <w:spacing/>
        <w:ind/>
        <w:rPr>
          <w:rFonts w:ascii="Arial" w:eastAsia="Arial" w:hAnsi="Arial" w:cs="Arial"/>
          <w:color w:val="000000"/>
        </w:rPr>
      </w:pPr>
      <w:r>
        <w:rPr>
          <w:rFonts w:ascii="Arial" w:eastAsia="Arial" w:hAnsi="Arial" w:cs="Arial"/>
          <w:color w:val="000000"/>
        </w:rPr>
        <w:t xml:space="preserve">(3) U slučaju kada se radi o postupku ocjene i strateškoj procjeni za donošenje dokumenata prostornog uređenja, odnosno izmjene i dopune dokumenata prostornog uređenja na državnoj, lokalnoj i područnoj (regionalnoj) razini, mišljenje iz stavka 1. odnosno stavka 2. ovoga članka ishodit će se u okviru suglasnosti na taj plan prema posebnom zakonu koji uređuje prostorno uređenje.</w:t>
      </w:r>
    </w:p>
    <w:p>
      <w:pPr>
        <w:pBdr/>
        <w:pStyle w:val="Normal"/>
        <w:spacing/>
        <w:ind/>
        <w:rPr>
          <w:rFonts w:ascii="Arial" w:eastAsia="Arial" w:hAnsi="Arial" w:cs="Arial"/>
          <w:color w:val="000000"/>
        </w:rPr>
      </w:pPr>
      <w:r>
        <w:rPr>
          <w:rFonts w:ascii="Arial" w:eastAsia="Arial" w:hAnsi="Arial" w:cs="Arial"/>
          <w:color w:val="000000"/>
        </w:rPr>
        <w:t xml:space="preserve">(4) Mišljenja iz stavaka 1., 2. i 3. ovoga članka daju se u skladu s odredbama uredbe iz članka 39. stavka 6. ovoga Zakona.</w:t>
      </w:r>
    </w:p>
    <w:p>
      <w:pPr>
        <w:pBdr/>
        <w:pStyle w:val="Normal"/>
        <w:spacing/>
        <w:ind/>
        <w:rPr>
          <w:rFonts w:ascii="Arial" w:eastAsia="Arial" w:hAnsi="Arial" w:cs="Arial"/>
        </w:rPr>
      </w:pPr>
    </w:p>
    <w:p>
      <w:pPr>
        <w:pBdr/>
        <w:pStyle w:val="Heading 2"/>
        <w:spacing/>
        <w:ind/>
        <w:rPr/>
      </w:pPr>
      <w:r>
        <w:rPr/>
        <w:t xml:space="preserve">Članak 47.</w:t>
      </w:r>
    </w:p>
    <w:p>
      <w:pPr>
        <w:pBdr/>
        <w:pStyle w:val="Normal"/>
        <w:spacing/>
        <w:ind/>
        <w:rPr>
          <w:rFonts w:ascii="Arial" w:eastAsia="Arial" w:hAnsi="Arial" w:cs="Arial"/>
        </w:rPr>
      </w:pPr>
      <w:r>
        <w:rPr>
          <w:rFonts w:ascii="Arial" w:eastAsia="Arial" w:hAnsi="Arial" w:cs="Arial"/>
        </w:rPr>
        <w:t xml:space="preserve">(1) Prije utvrđivanja nacrta prijedloga strategije, plana i programa koji se upućuje na javnu raspravu nadležno tijelo iz članka 41. stavka 1. ovoga Zakona dužno je, ovisno o obuhvatu i značajkama strategije, plana i programa, zatražiti mišljenja nadležnih tijela o nacrtu prijedloga i rezultatima strateške studije.</w:t>
      </w:r>
    </w:p>
    <w:p>
      <w:pPr>
        <w:pBdr/>
        <w:pStyle w:val="Normal"/>
        <w:spacing/>
        <w:ind/>
        <w:rPr>
          <w:rFonts w:ascii="Arial" w:eastAsia="Arial" w:hAnsi="Arial" w:cs="Arial"/>
        </w:rPr>
      </w:pPr>
      <w:r>
        <w:rPr>
          <w:rFonts w:ascii="Arial" w:eastAsia="Arial" w:hAnsi="Arial" w:cs="Arial"/>
        </w:rPr>
        <w:t xml:space="preserve">(2) Iznimno od stavka 1. ovoga članka, kada se strateška procjena provodi za prostorni plan, mišljenja tijela o nacrtu prijedloga prostornog plana i rezultatima strateške studije pribavljaju se u postupku izrade i donošenja prostornog plana sukladno propisu kojim se uređuje prostorno uređenje.</w:t>
      </w:r>
    </w:p>
    <w:p>
      <w:pPr>
        <w:pBdr/>
        <w:pStyle w:val="Normal"/>
        <w:spacing/>
        <w:ind/>
        <w:rPr>
          <w:rFonts w:ascii="Arial" w:eastAsia="Arial" w:hAnsi="Arial" w:cs="Arial"/>
        </w:rPr>
      </w:pPr>
      <w:r>
        <w:rPr>
          <w:rFonts w:ascii="Arial" w:eastAsia="Arial" w:hAnsi="Arial" w:cs="Arial"/>
        </w:rPr>
        <w:t xml:space="preserve">(3) Tijela iz stavka 1. ovoga članka dužna su dostaviti obrazloženo mišljenje o mogućem značajnom utjecaju strategije, plana i programa na okoliš u roku od 30 dana od dana primitka potpunog zahtjeva.</w:t>
      </w:r>
    </w:p>
    <w:p>
      <w:pPr>
        <w:pBdr/>
        <w:pStyle w:val="Normal"/>
        <w:spacing/>
        <w:ind/>
        <w:rPr>
          <w:rFonts w:ascii="Arial" w:eastAsia="Arial" w:hAnsi="Arial" w:cs="Arial"/>
        </w:rPr>
      </w:pPr>
      <w:r>
        <w:rPr>
          <w:rFonts w:ascii="Arial" w:eastAsia="Arial" w:hAnsi="Arial" w:cs="Arial"/>
        </w:rPr>
        <w:t xml:space="preserve">(4) Nadležno tijelo dužno je uskladiti stratešku studiju i nacrt prijedloga strategije, plana i programa sa zaprimljenim mišljenjima, zatražiti ponovno mišljenje tijela koja su zahtijevala dopunu te donijeti odluku o cjelovitosti i stručnoj utemeljenosti strateške studije. </w:t>
      </w:r>
    </w:p>
    <w:p>
      <w:pPr>
        <w:pBdr/>
        <w:pStyle w:val="Normal"/>
        <w:spacing/>
        <w:ind/>
        <w:rPr>
          <w:rFonts w:ascii="Arial" w:eastAsia="Arial" w:hAnsi="Arial" w:cs="Arial"/>
        </w:rPr>
      </w:pPr>
      <w:r>
        <w:rPr>
          <w:rFonts w:ascii="Arial" w:eastAsia="Arial" w:hAnsi="Arial" w:cs="Arial"/>
        </w:rPr>
        <w:t xml:space="preserve">(5) Ako strateška studija ne udovoljava propisanim zahtjevima za izradu i sadržaj, a utvrđeni se nedostaci ne mogu otkloniti dopunom, nadležno tijelo donosi odluku o ponovnoj izradi strateške studije u kojoj obrazlaže koja područja i dijelovi strateške studije zahtijevaju ponovnu izradu. </w:t>
      </w:r>
    </w:p>
    <w:p>
      <w:pPr>
        <w:pBdr/>
        <w:pStyle w:val="Normal"/>
        <w:spacing/>
        <w:ind/>
        <w:rPr>
          <w:rFonts w:ascii="Arial" w:eastAsia="Arial" w:hAnsi="Arial" w:cs="Arial"/>
        </w:rPr>
      </w:pPr>
      <w:r>
        <w:rPr>
          <w:rFonts w:ascii="Arial" w:eastAsia="Arial" w:hAnsi="Arial" w:cs="Arial"/>
        </w:rPr>
        <w:t xml:space="preserve">(6) Nakon zaprimanja cjelovite i stručno utemeljene strateške studije nadležno tijelo dovršava nacrt prijedloga strategije, plana i programa te donosi odluku o upućivanju strateške studije i nacrta prijedloga na javnu raspravu.</w:t>
      </w:r>
    </w:p>
    <w:p>
      <w:pPr>
        <w:pBdr/>
        <w:pStyle w:val="Normal"/>
        <w:spacing/>
        <w:ind/>
        <w:rPr>
          <w:rFonts w:ascii="Arial" w:eastAsia="Arial" w:hAnsi="Arial" w:cs="Arial"/>
        </w:rPr>
      </w:pPr>
    </w:p>
    <w:p>
      <w:pPr>
        <w:pBdr/>
        <w:pStyle w:val="Heading 2"/>
        <w:spacing/>
        <w:ind/>
        <w:rPr/>
      </w:pPr>
      <w:r>
        <w:rPr/>
        <w:t xml:space="preserve">Članak 48.</w:t>
      </w:r>
    </w:p>
    <w:p>
      <w:pPr>
        <w:pBdr/>
        <w:pStyle w:val="Normal"/>
        <w:spacing/>
        <w:ind/>
        <w:rPr>
          <w:rFonts w:ascii="Arial" w:eastAsia="Arial" w:hAnsi="Arial" w:cs="Arial"/>
        </w:rPr>
      </w:pPr>
      <w:r>
        <w:rPr>
          <w:rFonts w:ascii="Arial" w:eastAsia="Arial" w:hAnsi="Arial" w:cs="Arial"/>
          <w:color w:val="000000"/>
        </w:rPr>
        <w:t xml:space="preserve">(1) </w:t>
      </w:r>
      <w:r>
        <w:rPr>
          <w:rFonts w:ascii="Arial" w:eastAsia="Arial" w:hAnsi="Arial" w:cs="Arial"/>
        </w:rPr>
        <w:t xml:space="preserve">Pri utvrđivanju konačnog prijedloga strategije, plana i programa, prije njegova upućivanja u postupak donošenja, tijelo nadležno za provedbu strateške procjene obvezno je uzeti u obzir rezultate strateške procjene i mišljenja tijela, razmotriti primjedbe, prijedloge i mišljenja javnosti i rezultate prekograničnih konzultacija ako su bile obvezne sukladno ovom Zakonu, kao i uzeti u obzir mišljenje Ministarstva odnosno nadležnog upravnog tijela za zaštitu okoliša u županiji.</w:t>
      </w:r>
    </w:p>
    <w:p>
      <w:pPr>
        <w:pBdr/>
        <w:pStyle w:val="Normal"/>
        <w:spacing/>
        <w:ind/>
        <w:rPr>
          <w:rFonts w:ascii="Arial" w:eastAsia="Arial" w:hAnsi="Arial" w:cs="Arial"/>
          <w:color w:val="000000"/>
        </w:rPr>
      </w:pPr>
      <w:r>
        <w:rPr>
          <w:rFonts w:ascii="Arial" w:eastAsia="Arial" w:hAnsi="Arial" w:cs="Arial"/>
        </w:rPr>
        <w:t xml:space="preserve">(2) Postupak strateške procjene završava izvješćem tijela nadležnog za provedbu strateške procjene iz članka 41. stavka 1. ovoga Zakona</w:t>
      </w:r>
      <w:r>
        <w:rPr>
          <w:rFonts w:ascii="Arial" w:eastAsia="Arial" w:hAnsi="Arial" w:cs="Arial"/>
          <w:color w:val="000000"/>
        </w:rPr>
        <w:t xml:space="preserve">.</w:t>
      </w:r>
    </w:p>
    <w:p>
      <w:pPr>
        <w:pBdr/>
        <w:pStyle w:val="Normal"/>
        <w:spacing/>
        <w:ind/>
        <w:rPr>
          <w:rFonts w:ascii="Arial" w:eastAsia="Arial" w:hAnsi="Arial" w:cs="Arial"/>
          <w:color w:val="000000"/>
        </w:rPr>
      </w:pPr>
      <w:r>
        <w:rPr>
          <w:rFonts w:ascii="Arial" w:eastAsia="Arial" w:hAnsi="Arial" w:cs="Arial"/>
          <w:color w:val="000000"/>
        </w:rPr>
        <w:t xml:space="preserve">(3) Izvješće iz stavka 2. ovoga članka sadrži informaciju o načinu na koji su pitanja zaštite okoliša integrirana u strategiju, plan i program, rezultatima postupka strateške procjene, mjerama zaštite okoliša i načinu praćenja primjene mjera koje su postale sadržajem strategije, plana i programa te načinu praćenja njihovih značajnih utjecaja na okoliš, kao i ostale podatke sukladno Uredbi iz članka 39. stavka 6. ovoga Zakona.</w:t>
      </w:r>
    </w:p>
    <w:p>
      <w:pPr>
        <w:pBdr/>
        <w:pStyle w:val="Normal"/>
        <w:spacing/>
        <w:ind/>
        <w:rPr>
          <w:rFonts w:ascii="Arial" w:eastAsia="Arial" w:hAnsi="Arial" w:cs="Arial"/>
          <w:color w:val="000000"/>
        </w:rPr>
      </w:pPr>
      <w:r>
        <w:rPr>
          <w:rFonts w:ascii="Arial" w:eastAsia="Arial" w:hAnsi="Arial" w:cs="Arial"/>
          <w:color w:val="000000"/>
        </w:rPr>
        <w:t xml:space="preserve">(4) O Izvješću iz stavka 2. ovoga članka i donesenoj strategiji, planu i programu tijelo nadležno za provedbu strateške procjene informira javnost, tijela i države koje su sudjelovale u prekograničnim konzultacijama sukladno odredbama ovoga Zakona.</w:t>
      </w:r>
    </w:p>
    <w:p>
      <w:pPr>
        <w:pBdr/>
        <w:pStyle w:val="Normal"/>
        <w:spacing/>
        <w:ind/>
        <w:rPr>
          <w:rFonts w:ascii="Arial" w:eastAsia="Arial" w:hAnsi="Arial" w:cs="Arial"/>
          <w:color w:val="000000"/>
        </w:rPr>
      </w:pPr>
      <w:r>
        <w:rPr>
          <w:rFonts w:ascii="Arial" w:eastAsia="Arial" w:hAnsi="Arial" w:cs="Arial"/>
          <w:color w:val="000000"/>
        </w:rPr>
        <w:t xml:space="preserve">(5) Tijelo nadležno za donošenje strategije, plana i programa obvezno je tijekom njihove provedbe osigurati praćenje mjera zaštite okoliša koje su postale njegovim sadržajem.</w:t>
      </w:r>
    </w:p>
    <w:p>
      <w:pPr>
        <w:pBdr/>
        <w:pStyle w:val="Normal"/>
        <w:spacing/>
        <w:ind/>
        <w:rPr>
          <w:rFonts w:ascii="Arial" w:eastAsia="Arial" w:hAnsi="Arial" w:cs="Arial"/>
          <w:b/>
          <w:bCs/>
          <w:color w:val="000000"/>
        </w:rPr>
      </w:pPr>
    </w:p>
    <w:p>
      <w:pPr>
        <w:pBdr/>
        <w:pStyle w:val="Heading 2"/>
        <w:spacing/>
        <w:ind/>
        <w:rPr/>
      </w:pPr>
      <w:r>
        <w:rPr/>
        <w:t xml:space="preserve">Članak 49.</w:t>
      </w:r>
    </w:p>
    <w:p>
      <w:pPr>
        <w:pBdr/>
        <w:pStyle w:val="Normal"/>
        <w:spacing/>
        <w:ind/>
        <w:rPr>
          <w:rFonts w:ascii="Arial" w:eastAsia="Arial" w:hAnsi="Arial" w:cs="Arial"/>
        </w:rPr>
      </w:pPr>
      <w:r>
        <w:rPr>
          <w:rFonts w:ascii="Arial" w:eastAsia="Arial" w:hAnsi="Arial" w:cs="Arial"/>
        </w:rPr>
        <w:t xml:space="preserve">(1) Kada je to utvrđeno u postupku prethodne ocjene prihvatljivosti za ekološku mrežu, u okviru strateške procjene utjecaja na okoliš provodi se i glavna ocjena prihvatljivosti strategije, plana i programa za ekološku mrežu prema posebnom propisu koji uređuje zaštitu prirode. </w:t>
      </w:r>
    </w:p>
    <w:p>
      <w:pPr>
        <w:pBdr/>
        <w:pStyle w:val="Normal"/>
        <w:spacing/>
        <w:ind/>
        <w:rPr>
          <w:rFonts w:ascii="Arial" w:eastAsia="Arial" w:hAnsi="Arial" w:cs="Arial"/>
          <w:color w:val="231F20"/>
        </w:rPr>
      </w:pPr>
      <w:r>
        <w:rPr>
          <w:rFonts w:ascii="Arial" w:eastAsia="Arial" w:hAnsi="Arial" w:cs="Arial"/>
          <w:color w:val="000000"/>
        </w:rPr>
        <w:t xml:space="preserve">(2) </w:t>
      </w:r>
      <w:r>
        <w:rPr>
          <w:rFonts w:ascii="Arial" w:eastAsia="Arial" w:hAnsi="Arial" w:cs="Arial"/>
          <w:color w:val="231F20"/>
        </w:rPr>
        <w:t xml:space="preserve">U slučaju iz stavka 1. ovoga članka izvješće tijela nadležnog za provedbu postupka strateške procjene sadrži i informaciju o provedenom postupku glavne ocjene prihvatljivosti za ekološku mrežu, rezultatima tog postupka te mjere ublažavanja negativnih utjecaja na ciljeve očuvanja i cjelovitost područja ekološke mreže.</w:t>
      </w:r>
    </w:p>
    <w:p>
      <w:pPr>
        <w:pBdr/>
        <w:pStyle w:val="Normal"/>
        <w:spacing/>
        <w:ind/>
        <w:rPr>
          <w:rFonts w:ascii="Arial" w:eastAsia="Arial" w:hAnsi="Arial" w:cs="Arial"/>
        </w:rPr>
      </w:pPr>
      <w:r>
        <w:rPr>
          <w:rFonts w:ascii="Arial" w:eastAsia="Arial" w:hAnsi="Arial" w:cs="Arial"/>
          <w:color w:val="231F20"/>
        </w:rPr>
        <w:t xml:space="preserve">(3) Rezultati glavne ocjene prihvatljivosti za ekološku mrežu, mjere ublažavanja negativnih utjecaja na ciljeve očuvanja i cjelovitost područja ekološke mreže obvezujući su za tijelo koje donosi i tijelo koje provodi strategiju, plan i program te obvezno postaju sastavni dio donesene strategije, plana i programa. </w:t>
      </w:r>
    </w:p>
    <w:p>
      <w:pPr>
        <w:pBdr/>
        <w:pStyle w:val="Normal"/>
        <w:spacing/>
        <w:ind/>
        <w:rPr>
          <w:rFonts w:ascii="Arial" w:eastAsia="Arial" w:hAnsi="Arial" w:cs="Arial"/>
          <w:color w:val="000000"/>
        </w:rPr>
      </w:pPr>
    </w:p>
    <w:p>
      <w:pPr>
        <w:pBdr/>
        <w:pStyle w:val="Heading 2"/>
        <w:spacing/>
        <w:ind/>
        <w:rPr/>
      </w:pPr>
      <w:r>
        <w:rPr/>
        <w:t xml:space="preserve">Članak 50.</w:t>
      </w:r>
    </w:p>
    <w:p>
      <w:pPr>
        <w:pBdr/>
        <w:pStyle w:val="Normal"/>
        <w:spacing/>
        <w:ind/>
        <w:rPr>
          <w:rFonts w:ascii="Arial" w:eastAsia="Arial" w:hAnsi="Arial" w:cs="Arial"/>
        </w:rPr>
      </w:pPr>
      <w:r>
        <w:rPr>
          <w:rFonts w:ascii="Arial" w:eastAsia="Arial" w:hAnsi="Arial" w:cs="Arial"/>
        </w:rPr>
        <w:t xml:space="preserve">Nadležno tijelo iz članka 41. stavka 1. ovoga Zakona dužno je dostaviti izvješća o provedenim postupcima strateške procjene i odluke donesene u postupcima ocjene o potrebi strateške procjene Ministarstvu po donošenju strategije, plana i programa.</w:t>
      </w:r>
    </w:p>
    <w:p>
      <w:pPr>
        <w:pBdr/>
        <w:pStyle w:val="Normal"/>
        <w:spacing/>
        <w:ind/>
        <w:rPr>
          <w:rFonts w:ascii="Arial" w:eastAsia="Arial" w:hAnsi="Arial" w:cs="Arial"/>
        </w:rPr>
      </w:pPr>
    </w:p>
    <w:p>
      <w:pPr>
        <w:pBdr/>
        <w:pStyle w:val="Heading 2"/>
        <w:spacing/>
        <w:ind/>
        <w:rPr/>
      </w:pPr>
      <w:r>
        <w:rPr/>
        <w:t xml:space="preserve">Obavještavanje druge države o strategiji, planu i programu</w:t>
      </w:r>
    </w:p>
    <w:p>
      <w:pPr>
        <w:pBdr/>
        <w:pStyle w:val="Heading 2"/>
        <w:spacing/>
        <w:ind/>
        <w:rPr/>
      </w:pPr>
      <w:r>
        <w:rPr/>
        <w:t xml:space="preserve">Članak 51.</w:t>
      </w:r>
    </w:p>
    <w:p>
      <w:pPr>
        <w:pBdr/>
        <w:pStyle w:val="Normal"/>
        <w:spacing/>
        <w:ind/>
        <w:rPr>
          <w:rFonts w:ascii="Arial" w:eastAsia="Arial" w:hAnsi="Arial" w:cs="Arial"/>
          <w:color w:val="000000"/>
        </w:rPr>
      </w:pPr>
      <w:r>
        <w:rPr>
          <w:rFonts w:ascii="Arial" w:eastAsia="Arial" w:hAnsi="Arial" w:cs="Arial"/>
        </w:rPr>
        <w:t xml:space="preserve">(1) Kada Ministarstvo, u postupku strateške procjene, procijeni da bi provedba strategije, plana i programa mogla značajno utjecati na okoliš i/ili zdravlje ljudi druge države ili ako država koja bi mogla biti izložena značajnom utjecaju to zatraži, obvezno je obavijestiti nadležno tijelo druge države o nacrtu prijedloga strategije, plana i programa prije stavljanja u proceduru donošenja.</w:t>
      </w:r>
    </w:p>
    <w:p>
      <w:pPr>
        <w:pBdr/>
        <w:pStyle w:val="Normal"/>
        <w:spacing/>
        <w:ind/>
        <w:rPr>
          <w:rFonts w:ascii="Arial" w:eastAsia="Arial" w:hAnsi="Arial" w:cs="Arial"/>
          <w:color w:val="000000"/>
        </w:rPr>
      </w:pPr>
      <w:r>
        <w:rPr>
          <w:rFonts w:ascii="Arial" w:eastAsia="Arial" w:hAnsi="Arial" w:cs="Arial"/>
        </w:rPr>
        <w:t xml:space="preserve">(2) Obavijest iz stavka 1. ovoga članka sadrži nacrt prijedloga strategije, plana i programa, stratešku studiju i rok u kojem druga država treba obavijestiti Ministarstvo o namjeri sudjelovanja u postupku strateške procjene.</w:t>
      </w:r>
    </w:p>
    <w:p>
      <w:pPr>
        <w:pBdr/>
        <w:pStyle w:val="Normal"/>
        <w:spacing/>
        <w:ind/>
        <w:rPr>
          <w:rFonts w:ascii="Arial" w:eastAsia="Arial" w:hAnsi="Arial" w:cs="Arial"/>
        </w:rPr>
      </w:pPr>
      <w:r>
        <w:rPr>
          <w:rFonts w:ascii="Arial" w:eastAsia="Arial" w:hAnsi="Arial" w:cs="Arial"/>
        </w:rPr>
        <w:t xml:space="preserve">(3) Kada nadležno ministarstvo, odnosno izvršno tijelo jedinice lokalne i područne (regionalne) samouprave u postupku strateške procjene procijeni da bi provedba strategije, plana i programa mogla znatnije utjecati na okoliš i/ili zdravlje ljudi druge </w:t>
      </w:r>
      <w:r>
        <w:rPr>
          <w:rFonts w:ascii="Arial" w:eastAsia="Arial" w:hAnsi="Arial" w:cs="Arial"/>
        </w:rPr>
        <w:t xml:space="preserve">države, odmah obavještava Ministarstvo o tome i o eventualnoj potrebi provedbe </w:t>
      </w:r>
      <w:r>
        <w:rPr>
          <w:rFonts w:ascii="Arial" w:eastAsia="Arial" w:hAnsi="Arial" w:cs="Arial"/>
          <w:color w:val="242424"/>
        </w:rPr>
        <w:t xml:space="preserve">konzultacija o vjerojatnim prekograničnim utjecajima provedbe strategije, plana i programa na okoliš, uključujući i zdravlje, radi provedbe</w:t>
      </w:r>
      <w:r>
        <w:rPr>
          <w:rFonts w:ascii="Arial" w:eastAsia="Arial" w:hAnsi="Arial" w:cs="Arial"/>
        </w:rPr>
        <w:t xml:space="preserve"> postupka iz stavka 1. ovoga članka.</w:t>
      </w:r>
    </w:p>
    <w:p>
      <w:pPr>
        <w:pBdr/>
        <w:pStyle w:val="Normal"/>
        <w:spacing/>
        <w:ind/>
        <w:rPr>
          <w:rFonts w:ascii="Arial" w:eastAsia="Arial" w:hAnsi="Arial" w:cs="Arial"/>
          <w:i/>
          <w:iCs/>
        </w:rPr>
      </w:pPr>
    </w:p>
    <w:p>
      <w:pPr>
        <w:pBdr/>
        <w:pStyle w:val="Heading 2"/>
        <w:spacing/>
        <w:ind/>
        <w:rPr/>
      </w:pPr>
      <w:r>
        <w:rPr/>
        <w:t xml:space="preserve">Sudjelovanje u postupku o strategiji, planu i programu u drugoj državi</w:t>
      </w:r>
    </w:p>
    <w:p>
      <w:pPr>
        <w:pBdr/>
        <w:pStyle w:val="Heading 2"/>
        <w:spacing/>
        <w:ind/>
        <w:rPr/>
      </w:pPr>
      <w:r>
        <w:rPr/>
        <w:t xml:space="preserve">Članak 52.</w:t>
      </w:r>
    </w:p>
    <w:p>
      <w:pPr>
        <w:pBdr/>
        <w:pStyle w:val="Normal"/>
        <w:spacing/>
        <w:ind/>
        <w:rPr>
          <w:rFonts w:ascii="Arial" w:eastAsia="Arial" w:hAnsi="Arial" w:cs="Arial"/>
          <w:iCs/>
        </w:rPr>
      </w:pPr>
      <w:r>
        <w:rPr>
          <w:rFonts w:ascii="Arial" w:eastAsia="Arial" w:hAnsi="Arial" w:cs="Arial"/>
          <w:color w:val="000000"/>
        </w:rPr>
        <w:t xml:space="preserve">Ako druga država </w:t>
      </w:r>
      <w:r>
        <w:rPr>
          <w:rFonts w:ascii="Arial" w:eastAsia="Arial" w:hAnsi="Arial" w:cs="Arial"/>
        </w:rPr>
        <w:t xml:space="preserve">obavijesti Ministarstvo ili ako Ministarstvo obavijesti drugu državu o namjeri sudjelovanja u postupku strateške procjene iz članka 37. stavka 1. ovoga Zakona, Ministarstvo provodi postupak odgovarajućom primjenom odredbi ovoga Zakona te u skladu s potvrđenim međunarodnim ugovorima koji uređuju prekograničnu stratešku procjenu.</w:t>
      </w:r>
    </w:p>
    <w:p>
      <w:pPr>
        <w:pBdr/>
        <w:pStyle w:val="Normal"/>
        <w:spacing/>
        <w:ind/>
        <w:rPr>
          <w:rFonts w:ascii="Arial" w:eastAsia="Arial" w:hAnsi="Arial" w:cs="Arial"/>
        </w:rPr>
      </w:pPr>
    </w:p>
    <w:p>
      <w:pPr>
        <w:pBdr/>
        <w:pStyle w:val="Heading 2"/>
        <w:spacing/>
        <w:ind/>
        <w:rPr/>
      </w:pPr>
      <w:r>
        <w:rPr/>
        <w:t xml:space="preserve">Sredstva za stratešku procjenu i ocjenu o potrebi strateške procjene</w:t>
      </w:r>
    </w:p>
    <w:p>
      <w:pPr>
        <w:pBdr/>
        <w:pStyle w:val="Heading 2"/>
        <w:spacing/>
        <w:ind/>
        <w:rPr/>
      </w:pPr>
      <w:r>
        <w:rPr/>
        <w:t xml:space="preserve">Članak 53.</w:t>
      </w:r>
    </w:p>
    <w:p>
      <w:pPr>
        <w:pBdr/>
        <w:pStyle w:val="Normal"/>
        <w:spacing/>
        <w:ind/>
        <w:rPr>
          <w:rFonts w:ascii="Arial" w:eastAsia="Arial" w:hAnsi="Arial" w:cs="Arial"/>
          <w:color w:val="000000"/>
        </w:rPr>
      </w:pPr>
      <w:r>
        <w:rPr>
          <w:rFonts w:ascii="Arial" w:eastAsia="Arial" w:hAnsi="Arial" w:cs="Arial"/>
        </w:rPr>
        <w:t xml:space="preserve">(1) Sredstva za stratešku procjenu i ocjenu o potrebi strateške procjene, kada se ti postupci provode za strategiju, plan i program koji se donose na državnoj razini, osiguravaju se u državnom proračunu i iz drugih izvora u skladu s propisima kojima se uređuje proračunsko poslovanje.</w:t>
      </w:r>
    </w:p>
    <w:p>
      <w:pPr>
        <w:pBdr/>
        <w:pStyle w:val="Normal"/>
        <w:spacing/>
        <w:ind/>
        <w:rPr>
          <w:rFonts w:ascii="Arial" w:eastAsia="Arial" w:hAnsi="Arial" w:cs="Arial"/>
        </w:rPr>
      </w:pPr>
      <w:r>
        <w:rPr>
          <w:rFonts w:ascii="Arial" w:eastAsia="Arial" w:hAnsi="Arial" w:cs="Arial"/>
        </w:rPr>
        <w:t xml:space="preserve">(2) Sredstva za stratešku procjenu i ocjenu o potrebi procjene, kada se ti postupci provode za strategiju, plan i program na lokalnoj i područnoj (regionalnoj) razini, osiguravaju se u proračunima jedinica lokalne, odnosno područne (regionalne) samouprave i iz drugih izvora u skladu s propisima kojima se uređuje proračunsko poslovanje.</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10" w:id="7"/>
      <w:r>
        <w:rPr>
          <w:rFonts w:ascii="Arial" w:eastAsia="Arial" w:hAnsi="Arial" w:cs="Arial"/>
          <w:szCs w:val="24"/>
        </w:rPr>
        <w:t xml:space="preserve">GLAVA III. PROCJENA UTJECAJA ZAHVATA NA OKOLIŠ</w:t>
      </w:r>
      <w:bookmarkEnd w:id="7"/>
    </w:p>
    <w:p>
      <w:pPr>
        <w:pBdr/>
        <w:pStyle w:val="Heading 2"/>
        <w:spacing/>
        <w:ind/>
        <w:rPr/>
      </w:pPr>
      <w:r>
        <w:rPr/>
        <w:t xml:space="preserve">Definicija i svrha procjene utjecaja zahvata na okoliš</w:t>
      </w:r>
    </w:p>
    <w:p>
      <w:pPr>
        <w:pBdr/>
        <w:pStyle w:val="Heading 2"/>
        <w:spacing/>
        <w:ind/>
        <w:rPr/>
      </w:pPr>
      <w:r>
        <w:rPr/>
        <w:t xml:space="preserve">Članak 54.</w:t>
      </w:r>
    </w:p>
    <w:p>
      <w:pPr>
        <w:pBdr/>
        <w:pStyle w:val="Normal"/>
        <w:spacing/>
        <w:ind/>
        <w:rPr>
          <w:rFonts w:ascii="Arial" w:eastAsia="Arial" w:hAnsi="Arial" w:cs="Arial"/>
        </w:rPr>
      </w:pPr>
      <w:r>
        <w:rPr>
          <w:rFonts w:ascii="Arial" w:eastAsia="Arial" w:hAnsi="Arial" w:cs="Arial"/>
        </w:rPr>
        <w:t xml:space="preserve">(1) Procjena utjecaja zahvata na okoliš je procjena mogućih značajnih utjecaja zahvata na okoliš temeljem njihove prirode, veličine ili lokacije, određenih ovim Zakonom i uredbom iz članka 56. stavka 4. ovoga Zakona.</w:t>
      </w:r>
    </w:p>
    <w:p>
      <w:pPr>
        <w:pBdr/>
        <w:pStyle w:val="Normal"/>
        <w:spacing/>
        <w:ind/>
        <w:rPr>
          <w:rFonts w:ascii="Arial" w:eastAsia="Arial" w:hAnsi="Arial" w:cs="Arial"/>
        </w:rPr>
      </w:pPr>
      <w:r>
        <w:rPr>
          <w:rFonts w:ascii="Arial" w:eastAsia="Arial" w:hAnsi="Arial" w:cs="Arial"/>
        </w:rPr>
        <w:t xml:space="preserve">(2) Procjenom utjecaja zahvata na okoliš prepoznaje se, opisuje i ocjenjuje utjecaj svakog pojedinačnog zahvata na okoliš, tako da se utvrđuje mogući izravni i neizravni utjecaj zahvata na sljedeće čimbenike: </w:t>
      </w:r>
    </w:p>
    <w:p>
      <w:pPr>
        <w:pBdr/>
        <w:pStyle w:val="Normal"/>
        <w:spacing/>
        <w:ind/>
        <w:rPr>
          <w:rFonts w:ascii="Arial" w:eastAsia="Arial" w:hAnsi="Arial" w:cs="Arial"/>
        </w:rPr>
      </w:pPr>
      <w:r>
        <w:rPr>
          <w:rFonts w:ascii="Arial" w:eastAsia="Arial" w:hAnsi="Arial" w:cs="Arial"/>
        </w:rPr>
        <w:t xml:space="preserve">-zemljište</w:t>
      </w:r>
    </w:p>
    <w:p>
      <w:pPr>
        <w:pBdr/>
        <w:pStyle w:val="Normal"/>
        <w:spacing/>
        <w:ind/>
        <w:rPr>
          <w:rFonts w:ascii="Arial" w:eastAsia="Arial" w:hAnsi="Arial" w:cs="Arial"/>
        </w:rPr>
      </w:pPr>
      <w:r>
        <w:rPr>
          <w:rFonts w:ascii="Arial" w:eastAsia="Arial" w:hAnsi="Arial" w:cs="Arial"/>
        </w:rPr>
        <w:t xml:space="preserve">- tlo</w:t>
      </w:r>
    </w:p>
    <w:p>
      <w:pPr>
        <w:pBdr/>
        <w:pStyle w:val="Normal"/>
        <w:spacing/>
        <w:ind/>
        <w:rPr>
          <w:rFonts w:ascii="Arial" w:eastAsia="Arial" w:hAnsi="Arial" w:cs="Arial"/>
        </w:rPr>
      </w:pPr>
      <w:r>
        <w:rPr>
          <w:rFonts w:ascii="Arial" w:eastAsia="Arial" w:hAnsi="Arial" w:cs="Arial"/>
        </w:rPr>
        <w:t xml:space="preserve">- vode</w:t>
      </w:r>
    </w:p>
    <w:p>
      <w:pPr>
        <w:pBdr/>
        <w:pStyle w:val="Normal"/>
        <w:spacing/>
        <w:ind/>
        <w:rPr>
          <w:rFonts w:ascii="Arial" w:eastAsia="Arial" w:hAnsi="Arial" w:cs="Arial"/>
        </w:rPr>
      </w:pPr>
      <w:r>
        <w:rPr>
          <w:rFonts w:ascii="Arial" w:eastAsia="Arial" w:hAnsi="Arial" w:cs="Arial"/>
        </w:rPr>
        <w:t xml:space="preserve">- more</w:t>
      </w:r>
    </w:p>
    <w:p>
      <w:pPr>
        <w:pBdr/>
        <w:pStyle w:val="Normal"/>
        <w:spacing/>
        <w:ind/>
        <w:rPr>
          <w:rFonts w:ascii="Arial" w:eastAsia="Arial" w:hAnsi="Arial" w:cs="Arial"/>
        </w:rPr>
      </w:pPr>
      <w:r>
        <w:rPr>
          <w:rFonts w:ascii="Arial" w:eastAsia="Arial" w:hAnsi="Arial" w:cs="Arial"/>
        </w:rPr>
        <w:t xml:space="preserve">- zrak</w:t>
      </w:r>
    </w:p>
    <w:p>
      <w:pPr>
        <w:pBdr/>
        <w:pStyle w:val="Normal"/>
        <w:spacing/>
        <w:ind/>
        <w:rPr>
          <w:rFonts w:ascii="Arial" w:eastAsia="Arial" w:hAnsi="Arial" w:cs="Arial"/>
        </w:rPr>
      </w:pPr>
      <w:r>
        <w:rPr>
          <w:rFonts w:ascii="Arial" w:eastAsia="Arial" w:hAnsi="Arial" w:cs="Arial"/>
        </w:rPr>
        <w:t xml:space="preserve">- klimu</w:t>
      </w:r>
    </w:p>
    <w:p>
      <w:pPr>
        <w:pBdr/>
        <w:pStyle w:val="Normal"/>
        <w:spacing/>
        <w:ind/>
        <w:rPr>
          <w:rFonts w:ascii="Arial" w:eastAsia="Arial" w:hAnsi="Arial" w:cs="Arial"/>
        </w:rPr>
      </w:pPr>
      <w:r>
        <w:rPr>
          <w:rFonts w:ascii="Arial" w:eastAsia="Arial" w:hAnsi="Arial" w:cs="Arial"/>
        </w:rPr>
        <w:t xml:space="preserve">- šume</w:t>
      </w:r>
    </w:p>
    <w:p>
      <w:pPr>
        <w:pBdr/>
        <w:pStyle w:val="Normal"/>
        <w:spacing/>
        <w:ind/>
        <w:rPr>
          <w:rFonts w:ascii="Arial" w:eastAsia="Arial" w:hAnsi="Arial" w:cs="Arial"/>
        </w:rPr>
      </w:pPr>
      <w:r>
        <w:rPr>
          <w:rFonts w:ascii="Arial" w:eastAsia="Arial" w:hAnsi="Arial" w:cs="Arial"/>
        </w:rPr>
        <w:t xml:space="preserve">- stanovništvo i zdravlje ljudi</w:t>
      </w:r>
    </w:p>
    <w:p>
      <w:pPr>
        <w:pBdr/>
        <w:pStyle w:val="Normal"/>
        <w:spacing/>
        <w:ind/>
        <w:rPr>
          <w:rFonts w:ascii="Arial" w:eastAsia="Arial" w:hAnsi="Arial" w:cs="Arial"/>
        </w:rPr>
      </w:pPr>
      <w:r>
        <w:rPr>
          <w:rFonts w:ascii="Arial" w:eastAsia="Arial" w:hAnsi="Arial" w:cs="Arial"/>
        </w:rPr>
        <w:t xml:space="preserve">- georaznolikost</w:t>
      </w:r>
    </w:p>
    <w:p>
      <w:pPr>
        <w:pBdr/>
        <w:pStyle w:val="Normal"/>
        <w:spacing/>
        <w:ind/>
        <w:rPr>
          <w:rFonts w:ascii="Arial" w:eastAsia="Arial" w:hAnsi="Arial" w:cs="Arial"/>
        </w:rPr>
      </w:pPr>
      <w:r>
        <w:rPr>
          <w:rFonts w:ascii="Arial" w:eastAsia="Arial" w:hAnsi="Arial" w:cs="Arial"/>
        </w:rPr>
        <w:t xml:space="preserve">- bioraznolikost i njezinu obnovu s posebnom pozornošću usmjerenom na očuvanje vrsta te očuvanje i obnovu stanišnih tipova i staništa vrsta te zaštićena područja prema posebnom propisu kojim se uređuje zaštita prirode</w:t>
      </w:r>
    </w:p>
    <w:p>
      <w:pPr>
        <w:pBdr/>
        <w:pStyle w:val="Normal"/>
        <w:spacing/>
        <w:ind/>
        <w:rPr>
          <w:rFonts w:ascii="Arial" w:eastAsia="Arial" w:hAnsi="Arial" w:cs="Arial"/>
        </w:rPr>
      </w:pPr>
      <w:r>
        <w:rPr>
          <w:rFonts w:ascii="Arial" w:eastAsia="Arial" w:hAnsi="Arial" w:cs="Arial"/>
        </w:rPr>
        <w:t xml:space="preserve">- krajobraz</w:t>
      </w:r>
    </w:p>
    <w:p>
      <w:pPr>
        <w:pBdr/>
        <w:pStyle w:val="Normal"/>
        <w:spacing/>
        <w:ind/>
        <w:rPr>
          <w:rFonts w:ascii="Arial" w:eastAsia="Arial" w:hAnsi="Arial" w:cs="Arial"/>
        </w:rPr>
      </w:pPr>
      <w:r>
        <w:rPr>
          <w:rFonts w:ascii="Arial" w:eastAsia="Arial" w:hAnsi="Arial" w:cs="Arial"/>
        </w:rPr>
        <w:t xml:space="preserve">- materijalnu imovinu</w:t>
      </w:r>
    </w:p>
    <w:p>
      <w:pPr>
        <w:pBdr/>
        <w:pStyle w:val="Normal"/>
        <w:spacing/>
        <w:ind/>
        <w:rPr>
          <w:rFonts w:ascii="Arial" w:eastAsia="Arial" w:hAnsi="Arial" w:cs="Arial"/>
        </w:rPr>
      </w:pPr>
      <w:r>
        <w:rPr>
          <w:rFonts w:ascii="Arial" w:eastAsia="Arial" w:hAnsi="Arial" w:cs="Arial"/>
        </w:rPr>
        <w:t xml:space="preserve">- kulturnu baštinu</w:t>
      </w:r>
    </w:p>
    <w:p>
      <w:pPr>
        <w:pBdr/>
        <w:pStyle w:val="Normal"/>
        <w:spacing/>
        <w:ind/>
        <w:rPr>
          <w:rFonts w:ascii="Arial" w:eastAsia="Arial" w:hAnsi="Arial" w:cs="Arial"/>
        </w:rPr>
      </w:pPr>
      <w:r>
        <w:rPr>
          <w:rFonts w:ascii="Arial" w:eastAsia="Arial" w:hAnsi="Arial" w:cs="Arial"/>
        </w:rPr>
        <w:t xml:space="preserve">uzimajući u obzir njihove međuodnose, te podložnost zahvata riziku od nastanka velike nesreće ili katastrofa, ako je to relevantno za zahvat.</w:t>
      </w:r>
    </w:p>
    <w:p>
      <w:pPr>
        <w:pBdr/>
        <w:pStyle w:val="Normal"/>
        <w:spacing/>
        <w:ind/>
        <w:rPr>
          <w:rFonts w:ascii="Arial" w:eastAsia="Arial" w:hAnsi="Arial" w:cs="Arial"/>
        </w:rPr>
      </w:pPr>
      <w:r>
        <w:rPr>
          <w:rFonts w:ascii="Arial" w:eastAsia="Arial" w:hAnsi="Arial" w:cs="Arial"/>
        </w:rPr>
        <w:t xml:space="preserve">(3) Procjena utjecaja zahvata na okoliš mora osigurati ostvarenje načela predostrožnosti u ranoj fazi planiranja zahvata kako bi se utjecaji zahvata sveli na najmanju moguću mjeru i postigla najveća moguća očuvanost kakvoće okoliša.</w:t>
      </w:r>
    </w:p>
    <w:p>
      <w:pPr>
        <w:pBdr/>
        <w:pStyle w:val="Normal"/>
        <w:spacing/>
        <w:ind/>
        <w:rPr>
          <w:rFonts w:ascii="Arial" w:eastAsia="Arial" w:hAnsi="Arial" w:cs="Arial"/>
        </w:rPr>
      </w:pPr>
      <w:r>
        <w:rPr>
          <w:rFonts w:ascii="Arial" w:eastAsia="Arial" w:hAnsi="Arial" w:cs="Arial"/>
        </w:rPr>
        <w:t xml:space="preserve">(4) Procjena utjecaja zahvata na okoliš provodi se u okviru pripreme namjeravanog zahvata, prije podnošenja zahtjeva za izdavanje lokacijske dozvole za provedbu zahvata ili drugog odobrenja za zahvat za koji izdavanje lokacijske dozvole nije obvezno i taj postupak obuhvaća:</w:t>
      </w:r>
    </w:p>
    <w:p>
      <w:pPr>
        <w:pBdr/>
        <w:pStyle w:val="Normal"/>
        <w:spacing/>
        <w:ind/>
        <w:rPr>
          <w:rFonts w:ascii="Arial" w:eastAsia="Arial" w:hAnsi="Arial" w:cs="Arial"/>
        </w:rPr>
      </w:pPr>
      <w:r>
        <w:rPr>
          <w:rFonts w:ascii="Arial" w:eastAsia="Arial" w:hAnsi="Arial" w:cs="Arial"/>
        </w:rPr>
        <w:t xml:space="preserve">- podnošenje zahtjeva sukladno članku 58. ovoga Zakona </w:t>
      </w:r>
    </w:p>
    <w:p>
      <w:pPr>
        <w:pBdr/>
        <w:pStyle w:val="Normal"/>
        <w:spacing/>
        <w:ind/>
        <w:rPr>
          <w:rFonts w:ascii="Arial" w:eastAsia="Arial" w:hAnsi="Arial" w:cs="Arial"/>
        </w:rPr>
      </w:pPr>
      <w:r>
        <w:rPr>
          <w:rFonts w:ascii="Arial" w:eastAsia="Arial" w:hAnsi="Arial" w:cs="Arial"/>
        </w:rPr>
        <w:t xml:space="preserve">- razmatranje mišljenja tijela određenih posebnim propisom iz područja zaštite prirode, voda, zraka, gospodarenja otpadom, buke, svjetlosnog onečišćenja i dr., mišljenja jedinica lokalne i područne (regionalne) samouprave na čijem području se nalazi zahvat ili može imati utjecaj, sukladno članku 66. stavku 3. ovoga Zakona</w:t>
      </w:r>
    </w:p>
    <w:p>
      <w:pPr>
        <w:pBdr/>
        <w:pStyle w:val="Normal"/>
        <w:spacing/>
        <w:ind/>
        <w:rPr>
          <w:rFonts w:ascii="Arial" w:eastAsia="Arial" w:hAnsi="Arial" w:cs="Arial"/>
        </w:rPr>
      </w:pPr>
      <w:r>
        <w:rPr>
          <w:rFonts w:ascii="Arial" w:eastAsia="Arial" w:hAnsi="Arial" w:cs="Arial"/>
        </w:rPr>
        <w:t xml:space="preserve">- informiranje i sudjelovanje javnosti sukladno odredbama ovoga Zakona</w:t>
      </w:r>
    </w:p>
    <w:p>
      <w:pPr>
        <w:pBdr/>
        <w:pStyle w:val="Normal"/>
        <w:spacing/>
        <w:ind/>
        <w:rPr>
          <w:rFonts w:ascii="Arial" w:eastAsia="Arial" w:hAnsi="Arial" w:cs="Arial"/>
        </w:rPr>
      </w:pPr>
      <w:r>
        <w:rPr>
          <w:rFonts w:ascii="Arial" w:eastAsia="Arial" w:hAnsi="Arial" w:cs="Arial"/>
        </w:rPr>
        <w:t xml:space="preserve">- donošenje rješenja sukladno članku 66. ovoga Zakona</w:t>
      </w:r>
    </w:p>
    <w:p>
      <w:pPr>
        <w:pBdr/>
        <w:pStyle w:val="Normal"/>
        <w:spacing/>
        <w:ind/>
        <w:rPr>
          <w:rFonts w:ascii="Arial" w:eastAsia="Arial" w:hAnsi="Arial" w:cs="Arial"/>
        </w:rPr>
      </w:pPr>
      <w:r>
        <w:rPr>
          <w:rFonts w:ascii="Arial" w:eastAsia="Arial" w:hAnsi="Arial" w:cs="Arial"/>
        </w:rPr>
        <w:t xml:space="preserve">- ugradnju rezultata procjene utjecaja zahvata na okoliš u sadržaj dozvola za provedbu zahvata sukladno članku 68. ovoga Zakona.</w:t>
      </w:r>
    </w:p>
    <w:p>
      <w:pPr>
        <w:pBdr/>
        <w:pStyle w:val="Normal"/>
        <w:spacing/>
        <w:ind/>
        <w:rPr>
          <w:rFonts w:ascii="Arial" w:eastAsia="Arial" w:hAnsi="Arial" w:cs="Arial"/>
          <w:iCs/>
        </w:rPr>
      </w:pPr>
    </w:p>
    <w:p>
      <w:pPr>
        <w:pBdr/>
        <w:pStyle w:val="Heading 2"/>
        <w:spacing/>
        <w:ind/>
        <w:rPr/>
      </w:pPr>
      <w:r>
        <w:rPr/>
        <w:t xml:space="preserve">Ocjena prihvatljivosti zahvata za ekološku mrežu</w:t>
      </w:r>
    </w:p>
    <w:p>
      <w:pPr>
        <w:pBdr/>
        <w:pStyle w:val="Heading 2"/>
        <w:spacing/>
        <w:ind/>
        <w:rPr/>
      </w:pPr>
      <w:r>
        <w:rPr/>
        <w:t xml:space="preserve">Članak 55.</w:t>
      </w:r>
    </w:p>
    <w:p>
      <w:pPr>
        <w:pBdr/>
        <w:pStyle w:val="Normal"/>
        <w:spacing/>
        <w:ind/>
        <w:rPr>
          <w:rFonts w:ascii="Arial" w:eastAsia="Arial" w:hAnsi="Arial" w:cs="Arial"/>
        </w:rPr>
      </w:pPr>
      <w:r>
        <w:rPr>
          <w:rFonts w:ascii="Arial" w:eastAsia="Arial" w:hAnsi="Arial" w:cs="Arial"/>
        </w:rPr>
        <w:t xml:space="preserve">(1) Kada procjena utjecaja zahvata na okoliš uključuje i glavnu ocjenu prihvatljivosti zahvata za ekološku mrežu prema posebnom propisu kojim se uređuje zaštita prirode, postupak glavne ocjene prihvatljivosti za ekološku mrežu provodi se u okviru procjene utjecaja na okoliš.</w:t>
      </w:r>
    </w:p>
    <w:p>
      <w:pPr>
        <w:pBdr/>
        <w:pStyle w:val="Normal"/>
        <w:spacing/>
        <w:ind/>
        <w:rPr>
          <w:rFonts w:ascii="Arial" w:eastAsia="Arial" w:hAnsi="Arial" w:cs="Arial"/>
        </w:rPr>
      </w:pPr>
      <w:r>
        <w:rPr>
          <w:rFonts w:ascii="Arial" w:eastAsia="Arial" w:hAnsi="Arial" w:cs="Arial"/>
        </w:rPr>
        <w:t xml:space="preserve">(2) Kada postupak procjene uključuje i glavnu ocjenu prihvatljivosti zahvata za ekološku mrežu te se tijekom postupka utvrdi potreba utvrđivanja prevladavajućeg javnog interesa i odobravanja zahvata uz kompenzacijske uvjete, nadležno tijelo će donijeti rješenje o prekidu postupka procjene utjecaja zahvata na okoliš dok se to pitanje ne riješi prema posebnom propisu kojim se uređuje zaštita prirode.</w:t>
      </w:r>
    </w:p>
    <w:p>
      <w:pPr>
        <w:pBdr/>
        <w:pStyle w:val="Normal"/>
        <w:spacing/>
        <w:ind/>
        <w:rPr>
          <w:rFonts w:ascii="Arial" w:eastAsia="Arial" w:hAnsi="Arial" w:cs="Arial"/>
        </w:rPr>
      </w:pPr>
    </w:p>
    <w:p>
      <w:pPr>
        <w:pBdr/>
        <w:pStyle w:val="Heading 2"/>
        <w:spacing/>
        <w:ind/>
        <w:rPr/>
      </w:pPr>
      <w:r>
        <w:rPr/>
        <w:t xml:space="preserve">Zahvati za koje je obvezna procjena utjecaja na okoliš i zahvati koji podliježu ocjeni o potrebi procjene</w:t>
      </w:r>
    </w:p>
    <w:p>
      <w:pPr>
        <w:pBdr/>
        <w:pStyle w:val="Heading 2"/>
        <w:spacing/>
        <w:ind/>
        <w:rPr/>
      </w:pPr>
      <w:r>
        <w:rPr/>
        <w:t xml:space="preserve">Članak 56.</w:t>
      </w:r>
    </w:p>
    <w:p>
      <w:pPr>
        <w:pBdr/>
        <w:pStyle w:val="Normal"/>
        <w:spacing/>
        <w:ind/>
        <w:rPr>
          <w:rFonts w:ascii="Arial" w:eastAsia="Arial" w:hAnsi="Arial" w:cs="Arial"/>
        </w:rPr>
      </w:pPr>
      <w:r>
        <w:rPr>
          <w:rFonts w:ascii="Arial" w:eastAsia="Arial" w:hAnsi="Arial" w:cs="Arial"/>
        </w:rPr>
        <w:t xml:space="preserve">(1) Zahvati za koje je obvezna procjena utjecaja na okoliš i zahvati za koje se provodi ocjena o potrebi procjene utjecaja na okoliš utvrđuju se uredbom iz stavka 4. ovoga članka.</w:t>
      </w:r>
    </w:p>
    <w:p>
      <w:pPr>
        <w:pBdr/>
        <w:pStyle w:val="Normal"/>
        <w:spacing/>
        <w:ind/>
        <w:rPr>
          <w:rFonts w:ascii="Arial" w:eastAsia="Arial" w:hAnsi="Arial" w:cs="Arial"/>
        </w:rPr>
      </w:pPr>
      <w:r>
        <w:rPr>
          <w:rFonts w:ascii="Arial" w:eastAsia="Arial" w:hAnsi="Arial" w:cs="Arial"/>
        </w:rPr>
        <w:t xml:space="preserve">(2) Ocjena o potrebi procjene utjecaja zahvata na okoliš temelji se na pojedinačnim ispitivanjima i/ili kriterijima propisanim uredbom iz stavka 4. ovoga članka.</w:t>
      </w:r>
    </w:p>
    <w:p>
      <w:pPr>
        <w:pBdr/>
        <w:pStyle w:val="Normal"/>
        <w:spacing/>
        <w:ind/>
        <w:rPr>
          <w:rFonts w:ascii="Arial" w:eastAsia="Arial" w:hAnsi="Arial" w:cs="Arial"/>
        </w:rPr>
      </w:pPr>
      <w:r>
        <w:rPr>
          <w:rFonts w:ascii="Arial" w:eastAsia="Arial" w:hAnsi="Arial" w:cs="Arial"/>
        </w:rPr>
        <w:t xml:space="preserve">(3) Provedba zahvata iz stavka 1. ovoga članka ne smije započeti prije izvršnosti rješenja iz članka 66. odnosno 67. ovoga Zakona.</w:t>
      </w:r>
    </w:p>
    <w:p>
      <w:pPr>
        <w:pBdr/>
        <w:pStyle w:val="Normal"/>
        <w:spacing/>
        <w:ind/>
        <w:rPr>
          <w:rFonts w:ascii="Arial" w:eastAsia="Arial" w:hAnsi="Arial" w:cs="Arial"/>
        </w:rPr>
      </w:pPr>
      <w:r>
        <w:rPr>
          <w:rFonts w:ascii="Arial" w:eastAsia="Arial" w:hAnsi="Arial" w:cs="Arial"/>
        </w:rPr>
        <w:t xml:space="preserve">(4) Sadržaj zahtjeva, studije o utjecaju zahvata na okoliš i elaborata zaštite okoliša, kriterije i način provedbe procjene utjecaja zahvata na okoliš i ocjene o potrebi procjene, izdavanje upute o sadržaju studije, sudjelovanje ovlaštenika, te način rada povjerenstva Vlada pobliže uređuje uredbom.</w:t>
      </w:r>
    </w:p>
    <w:p>
      <w:pPr>
        <w:pBdr/>
        <w:pStyle w:val="Normal"/>
        <w:spacing/>
        <w:ind/>
        <w:rPr>
          <w:rFonts w:ascii="Arial" w:eastAsia="Arial" w:hAnsi="Arial" w:cs="Arial"/>
        </w:rPr>
      </w:pPr>
    </w:p>
    <w:p>
      <w:pPr>
        <w:pBdr/>
        <w:pStyle w:val="Heading 2"/>
        <w:spacing/>
        <w:ind/>
        <w:rPr/>
      </w:pPr>
      <w:r>
        <w:rPr/>
        <w:t xml:space="preserve">Izuzeća</w:t>
      </w:r>
    </w:p>
    <w:p>
      <w:pPr>
        <w:pBdr/>
        <w:pStyle w:val="Heading 2"/>
        <w:spacing/>
        <w:ind/>
        <w:rPr/>
      </w:pPr>
      <w:r>
        <w:rPr/>
        <w:t xml:space="preserve">Članak 57.</w:t>
      </w:r>
    </w:p>
    <w:p>
      <w:pPr>
        <w:pBdr/>
        <w:pStyle w:val="Normal"/>
        <w:spacing/>
        <w:ind/>
        <w:rPr>
          <w:rFonts w:ascii="Arial" w:eastAsia="Arial" w:hAnsi="Arial" w:cs="Arial"/>
        </w:rPr>
      </w:pPr>
      <w:r>
        <w:rPr>
          <w:rFonts w:ascii="Arial" w:eastAsia="Arial" w:hAnsi="Arial" w:cs="Arial"/>
        </w:rPr>
        <w:t xml:space="preserve">(1) Zahvati u okolišu čija je jedina svrha obrana Republike Hrvatske ili postupanje u izvanrednim stanjima mogu se, u svakom pojedinačnom slučaju, izuzeti od provedbe ocjene o potrebi procjene utjecaja zahvata na okoliš ili procjene utjecaja na okoliš, ako bi provedba tih postupaka onemogućila ili bitno otežala ostvarenje tih svrha.</w:t>
      </w:r>
    </w:p>
    <w:p>
      <w:pPr>
        <w:pBdr/>
        <w:pStyle w:val="Normal"/>
        <w:spacing/>
        <w:ind/>
        <w:rPr>
          <w:rFonts w:ascii="Arial" w:eastAsia="Arial" w:hAnsi="Arial" w:cs="Arial"/>
        </w:rPr>
      </w:pPr>
      <w:r>
        <w:rPr>
          <w:rFonts w:ascii="Arial" w:eastAsia="Arial" w:hAnsi="Arial" w:cs="Arial"/>
        </w:rPr>
        <w:t xml:space="preserve">(2) Izvanrednim stanjima iz stavka 1. ovoga članka smatraju se događaji ili okolnosti koje:</w:t>
      </w:r>
    </w:p>
    <w:p>
      <w:pPr>
        <w:pBdr/>
        <w:pStyle w:val="Normal"/>
        <w:spacing/>
        <w:ind/>
        <w:rPr>
          <w:rFonts w:ascii="Arial" w:eastAsia="Arial" w:hAnsi="Arial" w:cs="Arial"/>
        </w:rPr>
      </w:pPr>
      <w:r>
        <w:rPr>
          <w:rFonts w:ascii="Arial" w:eastAsia="Arial" w:hAnsi="Arial" w:cs="Arial"/>
        </w:rPr>
        <w:t xml:space="preserve">- ugrožavaju život i zdravlje ljudi, sigurnost Republike Hrvatske ili okoliš većih razmjera</w:t>
      </w:r>
    </w:p>
    <w:p>
      <w:pPr>
        <w:pBdr/>
        <w:pStyle w:val="Normal"/>
        <w:spacing/>
        <w:ind/>
        <w:rPr>
          <w:rFonts w:ascii="Arial" w:eastAsia="Arial" w:hAnsi="Arial" w:cs="Arial"/>
        </w:rPr>
      </w:pPr>
      <w:r>
        <w:rPr>
          <w:rFonts w:ascii="Arial" w:eastAsia="Arial" w:hAnsi="Arial" w:cs="Arial"/>
        </w:rPr>
        <w:t xml:space="preserve">- zahtijevaju hitno postupanje tijela državne vlasti, osobito u području civilne zaštite, obrane ili otklanjanja posljedica velikih nesreća i katastrofa.</w:t>
      </w:r>
    </w:p>
    <w:p>
      <w:pPr>
        <w:pBdr/>
        <w:pStyle w:val="Normal"/>
        <w:spacing/>
        <w:ind/>
        <w:rPr>
          <w:rFonts w:ascii="Arial" w:eastAsia="Arial" w:hAnsi="Arial" w:cs="Arial"/>
        </w:rPr>
      </w:pPr>
      <w:r>
        <w:rPr>
          <w:rFonts w:ascii="Arial" w:eastAsia="Arial" w:hAnsi="Arial" w:cs="Arial"/>
        </w:rPr>
        <w:t xml:space="preserve">(3) Zahtjev za izuzeće iz stavka 1. ovoga članka pisanim putem podnosi nositelj zahvata Ministarstvu, uz obrazloženje razloga za izuzeće i opis zahvata.</w:t>
      </w:r>
    </w:p>
    <w:p>
      <w:pPr>
        <w:pBdr/>
        <w:pStyle w:val="Normal"/>
        <w:spacing/>
        <w:ind/>
        <w:rPr>
          <w:rFonts w:ascii="Arial" w:eastAsia="Arial" w:hAnsi="Arial" w:cs="Arial"/>
        </w:rPr>
      </w:pPr>
      <w:r>
        <w:rPr>
          <w:rFonts w:ascii="Arial" w:eastAsia="Arial" w:hAnsi="Arial" w:cs="Arial"/>
        </w:rPr>
        <w:t xml:space="preserve">(4) U postupku odlučivanja o zahtjevu za izuzećem iz stavka 1. ovoga članka Ministarstvo:</w:t>
      </w:r>
    </w:p>
    <w:p>
      <w:pPr>
        <w:pBdr/>
        <w:pStyle w:val="Normal"/>
        <w:spacing/>
        <w:ind/>
        <w:rPr>
          <w:rFonts w:ascii="Arial" w:eastAsia="Arial" w:hAnsi="Arial" w:cs="Arial"/>
        </w:rPr>
      </w:pPr>
      <w:r>
        <w:rPr>
          <w:rFonts w:ascii="Arial" w:eastAsia="Arial" w:hAnsi="Arial" w:cs="Arial"/>
        </w:rPr>
        <w:t xml:space="preserve">- provodi prethodnu stručnu ocjenu jesu li ispunjeni uvjeti za izuzeće</w:t>
      </w:r>
    </w:p>
    <w:p>
      <w:pPr>
        <w:pBdr/>
        <w:pStyle w:val="Normal"/>
        <w:spacing/>
        <w:ind/>
        <w:rPr>
          <w:rFonts w:ascii="Arial" w:eastAsia="Arial" w:hAnsi="Arial" w:cs="Arial"/>
        </w:rPr>
      </w:pPr>
      <w:r>
        <w:rPr>
          <w:rFonts w:ascii="Arial" w:eastAsia="Arial" w:hAnsi="Arial" w:cs="Arial"/>
        </w:rPr>
        <w:t xml:space="preserve">- pribavlja mišljenja drugih nadležnih tijela, prema potrebi</w:t>
      </w:r>
    </w:p>
    <w:p>
      <w:pPr>
        <w:pBdr/>
        <w:pStyle w:val="Normal"/>
        <w:spacing/>
        <w:ind/>
        <w:rPr>
          <w:rFonts w:ascii="Arial" w:eastAsia="Arial" w:hAnsi="Arial" w:cs="Arial"/>
        </w:rPr>
      </w:pPr>
      <w:r>
        <w:rPr>
          <w:rFonts w:ascii="Arial" w:eastAsia="Arial" w:hAnsi="Arial" w:cs="Arial"/>
        </w:rPr>
        <w:t xml:space="preserve">- podnosi Vladi obrazloženi prijedlog odluke.</w:t>
      </w:r>
    </w:p>
    <w:p>
      <w:pPr>
        <w:pBdr/>
        <w:pStyle w:val="Normal"/>
        <w:spacing/>
        <w:ind/>
        <w:rPr>
          <w:rFonts w:ascii="Arial" w:eastAsia="Arial" w:hAnsi="Arial" w:cs="Arial"/>
        </w:rPr>
      </w:pPr>
      <w:r>
        <w:rPr>
          <w:rFonts w:ascii="Arial" w:eastAsia="Arial" w:hAnsi="Arial" w:cs="Arial"/>
        </w:rPr>
        <w:t xml:space="preserve">(5) Vlada odlukom kojom utvrđuje da se postupak procjene utjecaja zahvata na okoliš ili ocjene o potrebi procjene neće provoditi, određuje osobito:</w:t>
      </w:r>
    </w:p>
    <w:p>
      <w:pPr>
        <w:pBdr/>
        <w:pStyle w:val="Normal"/>
        <w:spacing/>
        <w:ind/>
        <w:rPr>
          <w:rFonts w:ascii="Arial" w:eastAsia="Arial" w:hAnsi="Arial" w:cs="Arial"/>
        </w:rPr>
      </w:pPr>
      <w:r>
        <w:rPr>
          <w:rFonts w:ascii="Arial" w:eastAsia="Arial" w:hAnsi="Arial" w:cs="Arial"/>
        </w:rPr>
        <w:t xml:space="preserve">- razloge za izuzeće, uključujući razloge zbog kojih bi provedba postupka onemogućila ili bitno otežala ostvarenje svrhe zahvata</w:t>
      </w:r>
    </w:p>
    <w:p>
      <w:pPr>
        <w:pBdr/>
        <w:pStyle w:val="Normal"/>
        <w:spacing/>
        <w:ind/>
        <w:rPr>
          <w:rFonts w:ascii="Arial" w:eastAsia="Arial" w:hAnsi="Arial" w:cs="Arial"/>
        </w:rPr>
      </w:pPr>
      <w:r>
        <w:rPr>
          <w:rFonts w:ascii="Arial" w:eastAsia="Arial" w:hAnsi="Arial" w:cs="Arial"/>
        </w:rPr>
        <w:t xml:space="preserve">- opis zahvata i okolnosti konkretnog slučaja</w:t>
      </w:r>
    </w:p>
    <w:p>
      <w:pPr>
        <w:pBdr/>
        <w:pStyle w:val="Normal"/>
        <w:spacing/>
        <w:ind/>
        <w:rPr>
          <w:rFonts w:ascii="Arial" w:eastAsia="Arial" w:hAnsi="Arial" w:cs="Arial"/>
        </w:rPr>
      </w:pPr>
      <w:r>
        <w:rPr>
          <w:rFonts w:ascii="Arial" w:eastAsia="Arial" w:hAnsi="Arial" w:cs="Arial"/>
        </w:rPr>
        <w:t xml:space="preserve">- mjere zaštite okoliša koje se primjenjuju neovisno o neprovođenju postupka</w:t>
      </w:r>
    </w:p>
    <w:p>
      <w:pPr>
        <w:pBdr/>
        <w:pStyle w:val="Normal"/>
        <w:spacing/>
        <w:ind/>
        <w:rPr>
          <w:rFonts w:ascii="Arial" w:eastAsia="Arial" w:hAnsi="Arial" w:cs="Arial"/>
        </w:rPr>
      </w:pPr>
      <w:r>
        <w:rPr>
          <w:rFonts w:ascii="Arial" w:eastAsia="Arial" w:hAnsi="Arial" w:cs="Arial"/>
        </w:rPr>
        <w:t xml:space="preserve">- način i rokove informiranja javnosti, uključujući dostupnost razloga na kojima se odluka temelji</w:t>
      </w:r>
    </w:p>
    <w:p>
      <w:pPr>
        <w:pBdr/>
        <w:pStyle w:val="Normal"/>
        <w:spacing/>
        <w:ind/>
        <w:rPr>
          <w:rFonts w:ascii="Arial" w:eastAsia="Arial" w:hAnsi="Arial" w:cs="Arial"/>
        </w:rPr>
      </w:pPr>
      <w:r>
        <w:rPr>
          <w:rFonts w:ascii="Arial" w:eastAsia="Arial" w:hAnsi="Arial" w:cs="Arial"/>
        </w:rPr>
        <w:t xml:space="preserve">- način obavještavanja druge države u slučaju mogućeg prekograničnog utjecaja</w:t>
      </w:r>
    </w:p>
    <w:p>
      <w:pPr>
        <w:pBdr/>
        <w:pStyle w:val="Normal"/>
        <w:spacing/>
        <w:ind/>
        <w:rPr>
          <w:rFonts w:ascii="Arial" w:eastAsia="Arial" w:hAnsi="Arial" w:cs="Arial"/>
        </w:rPr>
      </w:pPr>
      <w:r>
        <w:rPr>
          <w:rFonts w:ascii="Arial" w:eastAsia="Arial" w:hAnsi="Arial" w:cs="Arial"/>
        </w:rPr>
        <w:t xml:space="preserve">- druge uvjete nužne za zaštitu okoliša.</w:t>
      </w:r>
    </w:p>
    <w:p>
      <w:pPr>
        <w:pBdr/>
        <w:pStyle w:val="Normal"/>
        <w:spacing/>
        <w:ind/>
        <w:rPr>
          <w:rFonts w:ascii="Arial" w:eastAsia="Arial" w:hAnsi="Arial" w:cs="Arial"/>
        </w:rPr>
      </w:pPr>
      <w:r>
        <w:rPr>
          <w:rFonts w:ascii="Arial" w:eastAsia="Arial" w:hAnsi="Arial" w:cs="Arial"/>
        </w:rPr>
        <w:t xml:space="preserve">(6) Ministarstvo prije podnošenja prijedloga odluke iz stavka 4. podstavka 3. ovoga članka ocjenjuje primjerenost provedbe drugog oblika procjene mogućih utjecaja zahvata na okoliš, uzimajući u obzir okolnosti zahvata. </w:t>
      </w:r>
    </w:p>
    <w:p>
      <w:pPr>
        <w:pBdr/>
        <w:pStyle w:val="Normal"/>
        <w:spacing/>
        <w:ind/>
        <w:rPr>
          <w:rFonts w:ascii="Arial" w:eastAsia="Arial" w:hAnsi="Arial" w:cs="Arial"/>
        </w:rPr>
      </w:pPr>
      <w:r>
        <w:rPr>
          <w:rFonts w:ascii="Arial" w:eastAsia="Arial" w:hAnsi="Arial" w:cs="Arial"/>
        </w:rPr>
        <w:t xml:space="preserve">(7) Ministarstvo stavlja na raspolaganje javnosti i zainteresiranoj javnosti odluku Vlade iz stavka 5. ovoga članka, razloge za izuzeće te informacije iz drugog oblika procjene iz stavka 6. ovoga članka, ako je proveden. </w:t>
      </w:r>
    </w:p>
    <w:p>
      <w:pPr>
        <w:pBdr/>
        <w:pStyle w:val="Normal"/>
        <w:spacing/>
        <w:ind/>
        <w:rPr>
          <w:rFonts w:ascii="Arial" w:eastAsia="Arial" w:hAnsi="Arial" w:cs="Arial"/>
        </w:rPr>
      </w:pPr>
      <w:r>
        <w:rPr>
          <w:rFonts w:ascii="Arial" w:eastAsia="Arial" w:hAnsi="Arial" w:cs="Arial"/>
        </w:rPr>
        <w:t xml:space="preserve">(8) Ministarstvo je dužno prije izdavanja odobrenja za provedbu zahvata obavijestiti Europsku komisiju o razlozima za izuzeće te dostaviti informacije iz stavka 7. ovoga članka.</w:t>
      </w:r>
    </w:p>
    <w:p>
      <w:pPr>
        <w:pBdr/>
        <w:pStyle w:val="Normal"/>
        <w:spacing/>
        <w:ind/>
        <w:rPr>
          <w:rFonts w:ascii="Arial" w:eastAsia="Arial" w:hAnsi="Arial" w:cs="Arial"/>
        </w:rPr>
      </w:pPr>
    </w:p>
    <w:p>
      <w:pPr>
        <w:pBdr/>
        <w:pStyle w:val="Heading 2"/>
        <w:spacing/>
        <w:ind/>
        <w:rPr/>
      </w:pPr>
      <w:r>
        <w:rPr/>
        <w:t xml:space="preserve">Zahtjev nositelja zahvata</w:t>
      </w:r>
    </w:p>
    <w:p>
      <w:pPr>
        <w:pBdr/>
        <w:pStyle w:val="Heading 2"/>
        <w:spacing/>
        <w:ind/>
        <w:rPr/>
      </w:pPr>
      <w:r>
        <w:rPr/>
        <w:t xml:space="preserve">Članak 58.</w:t>
      </w:r>
    </w:p>
    <w:p>
      <w:pPr>
        <w:pBdr/>
        <w:pStyle w:val="Normal"/>
        <w:spacing/>
        <w:ind/>
        <w:rPr>
          <w:rFonts w:ascii="Arial" w:eastAsia="Arial" w:hAnsi="Arial" w:cs="Arial"/>
        </w:rPr>
      </w:pPr>
      <w:r>
        <w:rPr>
          <w:rFonts w:ascii="Arial" w:eastAsia="Arial" w:hAnsi="Arial" w:cs="Arial"/>
        </w:rPr>
        <w:t xml:space="preserve">(1) Postupci procjene utjecaja zahvata na okoliš i ocjene o potrebi procjene utjecaja zahvata na okoliš provode se na temelju zahtjeva nositelja zahvata ili njegovog opunomoćenika koji se do uspostave elektroničkog sustava za provedbu postupaka u zaštiti okoliša podnosi pisanim putem, u skladu s rokovima utvrđenim ovim Zakonom.</w:t>
      </w:r>
    </w:p>
    <w:p>
      <w:pPr>
        <w:pBdr/>
        <w:pStyle w:val="Normal"/>
        <w:spacing/>
        <w:ind/>
        <w:rPr>
          <w:rFonts w:ascii="Arial" w:eastAsia="Arial" w:hAnsi="Arial" w:cs="Arial"/>
        </w:rPr>
      </w:pPr>
      <w:r>
        <w:rPr>
          <w:rFonts w:ascii="Arial" w:eastAsia="Arial" w:hAnsi="Arial" w:cs="Arial"/>
        </w:rPr>
        <w:t xml:space="preserve">(2) Zahtjev za procjenu utjecaja zahvata na okoliš mora sadržavati:</w:t>
      </w:r>
    </w:p>
    <w:p>
      <w:pPr>
        <w:pBdr/>
        <w:pStyle w:val="Normal"/>
        <w:spacing/>
        <w:ind/>
        <w:rPr>
          <w:rFonts w:ascii="Arial" w:eastAsia="Arial" w:hAnsi="Arial" w:cs="Arial"/>
        </w:rPr>
      </w:pPr>
      <w:r>
        <w:rPr>
          <w:rFonts w:ascii="Arial" w:eastAsia="Arial" w:hAnsi="Arial" w:cs="Arial"/>
        </w:rPr>
        <w:t xml:space="preserve">1. podatke o nositelju zahvata i ovlašteniku:</w:t>
      </w:r>
    </w:p>
    <w:p>
      <w:pPr>
        <w:pBdr/>
        <w:pStyle w:val="Normal"/>
        <w:spacing/>
        <w:ind/>
        <w:rPr>
          <w:rFonts w:ascii="Arial" w:eastAsia="Arial" w:hAnsi="Arial" w:cs="Arial"/>
        </w:rPr>
      </w:pPr>
      <w:r>
        <w:rPr>
          <w:rFonts w:ascii="Arial" w:eastAsia="Arial" w:hAnsi="Arial" w:cs="Arial"/>
        </w:rPr>
        <w:t xml:space="preserve">- za pravnu i fizičku osobu - obrtnika naziv i sjedište pravne osobe/naziv i sjedište obrta/ ime, prezime i adresu odgovorne osobe, OIB, broj telefona i adresu elektroničke pošte</w:t>
      </w:r>
    </w:p>
    <w:p>
      <w:pPr>
        <w:pBdr/>
        <w:pStyle w:val="Normal"/>
        <w:spacing/>
        <w:ind/>
        <w:rPr>
          <w:rFonts w:ascii="Arial" w:eastAsia="Arial" w:hAnsi="Arial" w:cs="Arial"/>
        </w:rPr>
      </w:pPr>
      <w:r>
        <w:rPr>
          <w:rFonts w:ascii="Arial" w:eastAsia="Arial" w:hAnsi="Arial" w:cs="Arial"/>
        </w:rPr>
        <w:t xml:space="preserve">- za fizičku osobu: ime i prezime, adresu prebivališta/boravišta; broj telefona i adresu elektroničke pošte</w:t>
      </w:r>
    </w:p>
    <w:p>
      <w:pPr>
        <w:pBdr/>
        <w:pStyle w:val="Normal"/>
        <w:spacing/>
        <w:ind/>
        <w:rPr>
          <w:rFonts w:ascii="Arial" w:eastAsia="Arial" w:hAnsi="Arial" w:cs="Arial"/>
        </w:rPr>
      </w:pPr>
      <w:r>
        <w:rPr>
          <w:rFonts w:ascii="Arial" w:eastAsia="Arial" w:hAnsi="Arial" w:cs="Arial"/>
        </w:rPr>
        <w:t xml:space="preserve">2. podatke o lokaciji i zahvatu:</w:t>
      </w:r>
    </w:p>
    <w:p>
      <w:pPr>
        <w:pBdr/>
        <w:pStyle w:val="Normal"/>
        <w:spacing/>
        <w:ind/>
        <w:rPr>
          <w:rFonts w:ascii="Arial" w:eastAsia="Arial" w:hAnsi="Arial" w:cs="Arial"/>
        </w:rPr>
      </w:pPr>
      <w:r>
        <w:rPr>
          <w:rFonts w:ascii="Arial" w:eastAsia="Arial" w:hAnsi="Arial" w:cs="Arial"/>
        </w:rPr>
        <w:t xml:space="preserve">- za lokaciju naziv jedinice lokalne i područne (regionalne) samouprave gdje se nalazi lokacija zahvata, uključujući podatke o katastarskoj općini i broju katastarske čestice</w:t>
      </w:r>
    </w:p>
    <w:p>
      <w:pPr>
        <w:pBdr/>
        <w:pStyle w:val="Normal"/>
        <w:spacing/>
        <w:ind/>
        <w:rPr>
          <w:rFonts w:ascii="Arial" w:eastAsia="Arial" w:hAnsi="Arial" w:cs="Arial"/>
        </w:rPr>
      </w:pPr>
      <w:r>
        <w:rPr>
          <w:rFonts w:ascii="Arial" w:eastAsia="Arial" w:hAnsi="Arial" w:cs="Arial"/>
        </w:rPr>
        <w:t xml:space="preserve">- točan naziv zahvata s obzirom na popise zahvata iz Uredbe iz članka 56. stavka 4. ovoga Zakona</w:t>
      </w:r>
    </w:p>
    <w:p>
      <w:pPr>
        <w:pBdr/>
        <w:pStyle w:val="Normal"/>
        <w:spacing/>
        <w:ind/>
        <w:rPr>
          <w:rFonts w:ascii="Arial" w:eastAsia="Arial" w:hAnsi="Arial" w:cs="Arial"/>
        </w:rPr>
      </w:pPr>
      <w:r>
        <w:rPr>
          <w:rFonts w:ascii="Arial" w:eastAsia="Arial" w:hAnsi="Arial" w:cs="Arial"/>
        </w:rPr>
        <w:t xml:space="preserve">3. podatke o usklađenosti zahvata s važećom prostorno-</w:t>
      </w:r>
      <w:r>
        <w:rPr>
          <w:rFonts w:ascii="Arial" w:eastAsia="Arial" w:hAnsi="Arial" w:cs="Arial"/>
        </w:rPr>
        <w:t xml:space="preserve">planskom dokumentacijom što dokazuje odgovarajućom potvrdom tijela nadležnog prema propisima kojima se uređuje prostorno uređenje</w:t>
      </w:r>
    </w:p>
    <w:p>
      <w:pPr>
        <w:pBdr/>
        <w:pStyle w:val="Normal"/>
        <w:spacing/>
        <w:ind/>
        <w:rPr>
          <w:rFonts w:ascii="Arial" w:eastAsia="Arial" w:hAnsi="Arial" w:cs="Arial"/>
        </w:rPr>
      </w:pPr>
      <w:r>
        <w:rPr>
          <w:rFonts w:ascii="Arial" w:eastAsia="Arial" w:hAnsi="Arial" w:cs="Arial"/>
        </w:rPr>
        <w:t xml:space="preserve">4. akt nadležnog tijela o ocjeni prihvatljivosti za ekološku mrežu prema posebnom propisu kojim se uređuje zaštita prirode</w:t>
      </w:r>
    </w:p>
    <w:p>
      <w:pPr>
        <w:pBdr/>
        <w:pStyle w:val="Normal"/>
        <w:spacing/>
        <w:ind/>
        <w:rPr>
          <w:rFonts w:ascii="Arial" w:eastAsia="Arial" w:hAnsi="Arial" w:cs="Arial"/>
        </w:rPr>
      </w:pPr>
      <w:r>
        <w:rPr>
          <w:rFonts w:ascii="Arial" w:eastAsia="Arial" w:hAnsi="Arial" w:cs="Arial"/>
        </w:rPr>
        <w:t xml:space="preserve">5. studiju o utjecaju zahvata na okoliš (u daljnjem tekstu: studija) u pisanom i elektroničkom obliku koja mora sadržavati i odgovarajuću stručnu podlogu za glavnu ocjenu prihvatljivosti za ekološku mrežu ako je provedba te ocjene određena aktom nadležnog tijela prema propisu kojim se uređuje zaštita prirode </w:t>
      </w:r>
    </w:p>
    <w:p>
      <w:pPr>
        <w:pBdr/>
        <w:pStyle w:val="Normal"/>
        <w:spacing/>
        <w:ind/>
        <w:rPr>
          <w:rFonts w:ascii="Arial" w:eastAsia="Arial" w:hAnsi="Arial" w:cs="Arial"/>
        </w:rPr>
      </w:pPr>
      <w:r>
        <w:rPr>
          <w:rFonts w:ascii="Arial" w:eastAsia="Arial" w:hAnsi="Arial" w:cs="Arial"/>
        </w:rPr>
        <w:t xml:space="preserve">6. rezultate svih terenskih istraživanja bioraznolikosti i ekološke mreže provedenih za potrebe izrade studije, s prostornim podacima, u strojno čitljivom i vektorskom obliku.</w:t>
      </w:r>
    </w:p>
    <w:p>
      <w:pPr>
        <w:pBdr/>
        <w:pStyle w:val="Normal"/>
        <w:spacing/>
        <w:ind/>
        <w:rPr>
          <w:rFonts w:ascii="Arial" w:eastAsia="Arial" w:hAnsi="Arial" w:cs="Arial"/>
        </w:rPr>
      </w:pPr>
      <w:r>
        <w:rPr>
          <w:rFonts w:ascii="Arial" w:eastAsia="Arial" w:hAnsi="Arial" w:cs="Arial"/>
        </w:rPr>
        <w:t xml:space="preserve">(3) Nositelj zahvata dužan je prije podnošenja zahtjeva za procjenu utjecaja zahvata na okoliš pisanim putem obavijestiti jedinice lokalne i područne (regionalne) samouprave na čijem se području zahvat nalazi ili na koje bi mogao utjecati o namjeri podnošenja zahtjeva. </w:t>
      </w:r>
    </w:p>
    <w:p>
      <w:pPr>
        <w:pBdr/>
        <w:pStyle w:val="Normal"/>
        <w:spacing/>
        <w:ind/>
        <w:rPr>
          <w:rFonts w:ascii="Arial" w:eastAsia="Arial" w:hAnsi="Arial" w:cs="Arial"/>
        </w:rPr>
      </w:pPr>
      <w:r>
        <w:rPr>
          <w:rFonts w:ascii="Arial" w:eastAsia="Arial" w:hAnsi="Arial" w:cs="Arial"/>
        </w:rPr>
        <w:t xml:space="preserve">(4) Nadležno tijelo informira javnost i zainteresiranu javnost o zahtjevu iz stavka 2. ovoga članka objavom informacije na svojim mrežnim stranicama nakon što utvrdi da zahtjev sadržava sve podatke i dokaze propisane ovim Zakonom i uredbom iz članka 56. stavka 4. ovoga Zakona.</w:t>
      </w:r>
    </w:p>
    <w:p>
      <w:pPr>
        <w:pBdr/>
        <w:pStyle w:val="Normal"/>
        <w:spacing/>
        <w:ind/>
        <w:rPr>
          <w:rFonts w:ascii="Arial" w:eastAsia="Arial" w:hAnsi="Arial" w:cs="Arial"/>
        </w:rPr>
      </w:pPr>
      <w:r>
        <w:rPr>
          <w:rFonts w:ascii="Arial" w:eastAsia="Arial" w:hAnsi="Arial" w:cs="Arial"/>
        </w:rPr>
        <w:t xml:space="preserve">(5) Ako zahtjev nositelja zahvata iz stavka 2. ovoga članka nije uredan, nadležno tijelo zaključkom će pozvati nositelja zahvata da ga dopuni u roku od 15 dana od dana dostave zaključka, a ako zahtjev ni nakon dopune nije uredan, odbacit će ga rješenjem. </w:t>
      </w:r>
    </w:p>
    <w:p>
      <w:pPr>
        <w:pBdr/>
        <w:pStyle w:val="Normal"/>
        <w:spacing/>
        <w:ind/>
        <w:rPr>
          <w:rFonts w:ascii="Arial" w:eastAsia="Arial" w:hAnsi="Arial" w:cs="Arial"/>
        </w:rPr>
      </w:pPr>
      <w:r>
        <w:rPr>
          <w:rFonts w:ascii="Arial" w:eastAsia="Arial" w:hAnsi="Arial" w:cs="Arial"/>
        </w:rPr>
        <w:t xml:space="preserve">(6) U postupku procjene utjecaja zahvata na okoliš mogu se zatražiti najviše dvije dopune sadržaja studije, pri čemu ukupni rok za dopunu studije ne može biti dulji od 30 dana od dana dostave zaključka kojim se dopuna zahtijeva.</w:t>
      </w:r>
    </w:p>
    <w:p>
      <w:pPr>
        <w:pBdr/>
        <w:pStyle w:val="Normal"/>
        <w:spacing/>
        <w:ind/>
        <w:rPr>
          <w:rFonts w:ascii="Arial" w:eastAsia="Arial" w:hAnsi="Arial" w:cs="Arial"/>
        </w:rPr>
      </w:pPr>
      <w:r>
        <w:rPr>
          <w:rFonts w:ascii="Arial" w:eastAsia="Arial" w:hAnsi="Arial" w:cs="Arial"/>
        </w:rPr>
        <w:t xml:space="preserve">(7) Ako nositelj zahvata ne dostavi dopunu studije u roku iz stavka 6. ovoga članka, nadležno tijelo odbacit će zahtjev rješenjem.</w:t>
      </w:r>
    </w:p>
    <w:p>
      <w:pPr>
        <w:pBdr/>
        <w:pStyle w:val="Normal"/>
        <w:spacing/>
        <w:ind/>
        <w:rPr>
          <w:rFonts w:ascii="Arial" w:eastAsia="Arial" w:hAnsi="Arial" w:cs="Arial"/>
        </w:rPr>
      </w:pPr>
      <w:r>
        <w:rPr>
          <w:rFonts w:ascii="Arial" w:eastAsia="Arial" w:hAnsi="Arial" w:cs="Arial"/>
        </w:rPr>
        <w:t xml:space="preserve">(8) Protiv rješenja iz stavaka 5. i 7. ovoga članka koje donosi Ministarstvo žalba nije dopuštena, ali se može pokrenuti upravni spor, a protiv rješenja koje donosi nadležno upravno tijelo u županiji odnosno Gradu Zagrebu može se izjaviti žalba Ministarstvu.</w:t>
      </w:r>
    </w:p>
    <w:p>
      <w:pPr>
        <w:pBdr/>
        <w:pStyle w:val="Normal"/>
        <w:spacing/>
        <w:ind/>
        <w:rPr>
          <w:rFonts w:ascii="Arial" w:eastAsia="Arial" w:hAnsi="Arial" w:cs="Arial"/>
        </w:rPr>
      </w:pPr>
    </w:p>
    <w:p>
      <w:pPr>
        <w:pBdr/>
        <w:pStyle w:val="Heading 2"/>
        <w:spacing/>
        <w:ind/>
        <w:rPr/>
      </w:pPr>
      <w:r>
        <w:rPr/>
        <w:t xml:space="preserve">Članak 59.</w:t>
      </w:r>
    </w:p>
    <w:p>
      <w:pPr>
        <w:pBdr/>
        <w:pStyle w:val="Normal"/>
        <w:spacing/>
        <w:ind/>
        <w:rPr>
          <w:rFonts w:ascii="Arial" w:eastAsia="Arial" w:hAnsi="Arial" w:cs="Arial"/>
        </w:rPr>
      </w:pPr>
      <w:r>
        <w:rPr>
          <w:rFonts w:ascii="Arial" w:eastAsia="Arial" w:hAnsi="Arial" w:cs="Arial"/>
        </w:rPr>
        <w:t xml:space="preserve">(1) Kada nositelj zahvata utvrdi da se zahvat koji planira pokrenuti nalazi na popisu zahvata iz uredbe iz članka 56. stavka 4. ovoga Zakona podnosi nadležnom tijelu zahtjev za ocjenu o potrebi procjene ili može odmah sukladno članku 58. ovoga Zakona podnijeti zahtjev za provedbu postupka procjene utjecaja na okoliš.</w:t>
      </w:r>
    </w:p>
    <w:p>
      <w:pPr>
        <w:pBdr/>
        <w:pStyle w:val="Normal"/>
        <w:spacing/>
        <w:ind/>
        <w:rPr>
          <w:rFonts w:ascii="Arial" w:eastAsia="Arial" w:hAnsi="Arial" w:cs="Arial"/>
        </w:rPr>
      </w:pPr>
      <w:r>
        <w:rPr>
          <w:rFonts w:ascii="Arial" w:eastAsia="Arial" w:hAnsi="Arial" w:cs="Arial"/>
        </w:rPr>
        <w:t xml:space="preserve">(2) Zahtjev iz stavka 1. ovoga članka sadrži:</w:t>
      </w:r>
    </w:p>
    <w:p>
      <w:pPr>
        <w:pBdr/>
        <w:pStyle w:val="Normal"/>
        <w:spacing/>
        <w:ind/>
        <w:rPr>
          <w:rFonts w:ascii="Arial" w:eastAsia="Arial" w:hAnsi="Arial" w:cs="Arial"/>
        </w:rPr>
      </w:pPr>
      <w:r>
        <w:rPr>
          <w:rFonts w:ascii="Arial" w:eastAsia="Arial" w:hAnsi="Arial" w:cs="Arial"/>
        </w:rPr>
        <w:t xml:space="preserve">1. podatke o nositelju zahvata:</w:t>
      </w:r>
    </w:p>
    <w:p>
      <w:pPr>
        <w:pBdr/>
        <w:pStyle w:val="Normal"/>
        <w:spacing/>
        <w:ind/>
        <w:rPr>
          <w:rFonts w:ascii="Arial" w:eastAsia="Arial" w:hAnsi="Arial" w:cs="Arial"/>
        </w:rPr>
      </w:pPr>
      <w:r>
        <w:rPr>
          <w:rFonts w:ascii="Arial" w:eastAsia="Arial" w:hAnsi="Arial" w:cs="Arial"/>
        </w:rPr>
        <w:t xml:space="preserve">- za pravnu i fizičku osobu - obrtnika naziv i sjedište pravne osobe / ime, prezime i adresu fizičke osobe, OIB, ime i prezime odgovorne osobe, broj telefona i adresu elektroničke pošte</w:t>
      </w:r>
    </w:p>
    <w:p>
      <w:pPr>
        <w:pBdr/>
        <w:pStyle w:val="Normal"/>
        <w:spacing/>
        <w:ind/>
        <w:rPr>
          <w:rFonts w:ascii="Arial" w:eastAsia="Arial" w:hAnsi="Arial" w:cs="Arial"/>
        </w:rPr>
      </w:pPr>
      <w:r>
        <w:rPr>
          <w:rFonts w:ascii="Arial" w:eastAsia="Arial" w:hAnsi="Arial" w:cs="Arial"/>
        </w:rPr>
        <w:t xml:space="preserve">- za fizičku osobu: ime i prezime, adresu; broj telefona i adresu elektroničke pošte</w:t>
      </w:r>
    </w:p>
    <w:p>
      <w:pPr>
        <w:pBdr/>
        <w:pStyle w:val="Normal"/>
        <w:spacing/>
        <w:ind/>
        <w:rPr>
          <w:rFonts w:ascii="Arial" w:eastAsia="Arial" w:hAnsi="Arial" w:cs="Arial"/>
        </w:rPr>
      </w:pPr>
      <w:r>
        <w:rPr>
          <w:rFonts w:ascii="Arial" w:eastAsia="Arial" w:hAnsi="Arial" w:cs="Arial"/>
        </w:rPr>
        <w:t xml:space="preserve">2. podatke o lokaciji i zahvatu:</w:t>
      </w:r>
    </w:p>
    <w:p>
      <w:pPr>
        <w:pBdr/>
        <w:pStyle w:val="Normal"/>
        <w:spacing/>
        <w:ind/>
        <w:rPr>
          <w:rFonts w:ascii="Arial" w:eastAsia="Arial" w:hAnsi="Arial" w:cs="Arial"/>
        </w:rPr>
      </w:pPr>
      <w:r>
        <w:rPr>
          <w:rFonts w:ascii="Arial" w:eastAsia="Arial" w:hAnsi="Arial" w:cs="Arial"/>
        </w:rPr>
        <w:t xml:space="preserve">- za lokaciju naziv jedinice lokalne i područne (regionalne) samouprave gdje se nalazi lokacija zahvata, uključujući podatke o katastarskoj općini i broju katastarske čestice</w:t>
      </w:r>
    </w:p>
    <w:p>
      <w:pPr>
        <w:pBdr/>
        <w:pStyle w:val="Normal"/>
        <w:spacing/>
        <w:ind/>
        <w:rPr>
          <w:rFonts w:ascii="Arial" w:eastAsia="Arial" w:hAnsi="Arial" w:cs="Arial"/>
        </w:rPr>
      </w:pPr>
      <w:r>
        <w:rPr>
          <w:rFonts w:ascii="Arial" w:eastAsia="Arial" w:hAnsi="Arial" w:cs="Arial"/>
        </w:rPr>
        <w:t xml:space="preserve">- točan naziv zahvata s obzirom na popise zahvata iz Uredbe iz članka 56. stavka 4. ovoga Zakona</w:t>
      </w:r>
    </w:p>
    <w:p>
      <w:pPr>
        <w:pBdr/>
        <w:pStyle w:val="Normal"/>
        <w:spacing/>
        <w:ind/>
        <w:rPr>
          <w:rFonts w:ascii="Arial" w:eastAsia="Arial" w:hAnsi="Arial" w:cs="Arial"/>
        </w:rPr>
      </w:pPr>
      <w:r>
        <w:rPr>
          <w:rFonts w:ascii="Arial" w:eastAsia="Arial" w:hAnsi="Arial" w:cs="Arial"/>
        </w:rPr>
        <w:t xml:space="preserve">3. elaborat zaštite okoliša (u daljnjem tekstu: elaborat) u pisanom i elektroničkom obliku, koji sadrži podatke propisane uredbom iz članka 56. stavka 4. ovoga Zakona. </w:t>
      </w:r>
    </w:p>
    <w:p>
      <w:pPr>
        <w:pBdr/>
        <w:pStyle w:val="Normal"/>
        <w:spacing/>
        <w:ind/>
        <w:rPr>
          <w:rFonts w:ascii="Arial" w:eastAsia="Arial" w:hAnsi="Arial" w:cs="Arial"/>
        </w:rPr>
      </w:pPr>
      <w:r>
        <w:rPr>
          <w:rFonts w:ascii="Arial" w:eastAsia="Arial" w:hAnsi="Arial" w:cs="Arial"/>
        </w:rPr>
        <w:t xml:space="preserve">(3) Kada nadležno tijelo utvrdi da zahtjev iz stavka 1. ovoga članka sadrži sve propisane podatke i dokaze sukladno stavku 2. ovoga članka, o zahtjevu će informirati javnost objavom informacije na svojim mrežnim stranicama, sukladno odredbama ovoga Zakona.</w:t>
      </w:r>
    </w:p>
    <w:p>
      <w:pPr>
        <w:pBdr/>
        <w:pStyle w:val="Normal"/>
        <w:spacing/>
        <w:ind/>
        <w:rPr>
          <w:rFonts w:ascii="Arial" w:eastAsia="Arial" w:hAnsi="Arial" w:cs="Arial"/>
        </w:rPr>
      </w:pPr>
      <w:r>
        <w:rPr>
          <w:rFonts w:ascii="Arial" w:eastAsia="Arial" w:hAnsi="Arial" w:cs="Arial"/>
        </w:rPr>
        <w:t xml:space="preserve">(4) Ako zahtjev nositelja zahvata iz stavka 2. ovoga članka nije uredan, nadležno tijelo pozvat će pisanim putem nositelja zahvata da zahtjev dopuni u roku od 8 dana od dana dostave zaključka.</w:t>
      </w:r>
    </w:p>
    <w:p>
      <w:pPr>
        <w:pBdr/>
        <w:pStyle w:val="Normal"/>
        <w:spacing/>
        <w:ind/>
        <w:rPr>
          <w:rFonts w:ascii="Arial" w:eastAsia="Arial" w:hAnsi="Arial" w:cs="Arial"/>
        </w:rPr>
      </w:pPr>
      <w:r>
        <w:rPr>
          <w:rFonts w:ascii="Arial" w:eastAsia="Arial" w:hAnsi="Arial" w:cs="Arial"/>
        </w:rPr>
        <w:t xml:space="preserve">(5) Ako zahtjev iz stavka 2. ovoga članka niti nakon dopune ne bude uredan, Ministarstvo odnosno nadležno upravno tijelo u županiji ili Gradu Zagrebu zahtjev će rješenjem odbaciti.</w:t>
      </w:r>
    </w:p>
    <w:p>
      <w:pPr>
        <w:pBdr/>
        <w:pStyle w:val="Normal"/>
        <w:spacing/>
        <w:ind/>
        <w:rPr>
          <w:rFonts w:ascii="Arial" w:eastAsia="Arial" w:hAnsi="Arial" w:cs="Arial"/>
        </w:rPr>
      </w:pPr>
      <w:r>
        <w:rPr>
          <w:rFonts w:ascii="Arial" w:eastAsia="Arial" w:hAnsi="Arial" w:cs="Arial"/>
        </w:rPr>
        <w:t xml:space="preserve">(6) Protiv rješenja iz stavka 5. ovoga članka, ako je rješenje donijelo Ministarstvo, žalba nije dopuštena, ali se može pokrenuti upravni spor, a ako je rješenje donijelo upravno tijelo u županiji, odnosno Gradu Zagrebu, može se izjaviti žalba Ministarstvu.</w:t>
      </w:r>
    </w:p>
    <w:p>
      <w:pPr>
        <w:pBdr/>
        <w:pStyle w:val="Normal"/>
        <w:spacing/>
        <w:ind/>
        <w:rPr>
          <w:rFonts w:ascii="Arial" w:eastAsia="Arial" w:hAnsi="Arial" w:cs="Arial"/>
        </w:rPr>
      </w:pPr>
      <w:r>
        <w:rPr>
          <w:rFonts w:ascii="Arial" w:eastAsia="Arial" w:hAnsi="Arial" w:cs="Arial"/>
        </w:rPr>
        <w:t xml:space="preserve">(7) Ukupni rok za dopunu elaborata u postupku ocjene o potrebi procjene utjecaja zahvata na okoliš može se utvrditi najduže na rok od 15 dana od dana dostave zaključka kojim se dopuna zahtijeva.</w:t>
      </w:r>
    </w:p>
    <w:p>
      <w:pPr>
        <w:pBdr/>
        <w:pStyle w:val="Normal"/>
        <w:spacing/>
        <w:ind/>
        <w:rPr>
          <w:rFonts w:ascii="Arial" w:eastAsia="Arial" w:hAnsi="Arial" w:cs="Arial"/>
        </w:rPr>
      </w:pPr>
      <w:r>
        <w:rPr>
          <w:rFonts w:ascii="Arial" w:eastAsia="Arial" w:hAnsi="Arial" w:cs="Arial"/>
        </w:rPr>
        <w:t xml:space="preserve">(8) U postupku ocjene o potrebi procjene utjecaja zahvata na okoliš može se odrediti najviše jedna dopuna koja se odnosi na sadržaj elaborata.</w:t>
      </w:r>
    </w:p>
    <w:p>
      <w:pPr>
        <w:pBdr/>
        <w:pStyle w:val="Normal"/>
        <w:spacing/>
        <w:ind/>
        <w:rPr>
          <w:rFonts w:ascii="Arial" w:eastAsia="Arial" w:hAnsi="Arial" w:cs="Arial"/>
        </w:rPr>
      </w:pPr>
    </w:p>
    <w:p>
      <w:pPr>
        <w:pBdr/>
        <w:pStyle w:val="Heading 2"/>
        <w:spacing/>
        <w:ind/>
        <w:rPr/>
      </w:pPr>
      <w:r>
        <w:rPr/>
        <w:t xml:space="preserve">Članak 60.</w:t>
      </w:r>
    </w:p>
    <w:p>
      <w:pPr>
        <w:pBdr/>
        <w:pStyle w:val="Normal"/>
        <w:spacing/>
        <w:ind/>
        <w:rPr>
          <w:rFonts w:ascii="Arial" w:eastAsia="Arial" w:hAnsi="Arial" w:cs="Arial"/>
        </w:rPr>
      </w:pPr>
      <w:r>
        <w:rPr>
          <w:rFonts w:ascii="Arial" w:eastAsia="Arial" w:hAnsi="Arial" w:cs="Arial"/>
        </w:rPr>
        <w:t xml:space="preserve">(1) U postupku ocjene o potrebi procjene utjecaja zahvata na okoliš nadležno tijelo, na temelju pojedinačnih ispitivanja prema mjerilima, primjerice: kapacitet, snaga, površina i dr., i/ili kriterija određenih u uredbi iz članka 56. stavka 4. ovoga Zakona, utvrđuje može li zahvat imati značajne utjecaje na okoliš i odlučuje o potrebi provedbe postupka procjene utjecaja na okoliš.</w:t>
      </w:r>
    </w:p>
    <w:p>
      <w:pPr>
        <w:pBdr/>
        <w:pStyle w:val="Normal"/>
        <w:spacing/>
        <w:ind/>
        <w:rPr>
          <w:rFonts w:ascii="Arial" w:eastAsia="Arial" w:hAnsi="Arial" w:cs="Arial"/>
        </w:rPr>
      </w:pPr>
      <w:r>
        <w:rPr>
          <w:rFonts w:ascii="Arial" w:eastAsia="Arial" w:hAnsi="Arial" w:cs="Arial"/>
        </w:rPr>
        <w:t xml:space="preserve">(2) Ovisno o lokaciji i obilježju zahvata, nadležno tijelo će o zahtjevu iz članka 59. stavka 2. ovoga Zakona zatražiti i mišljenja drugih tijela određenih posebnim propisima iz područja zaštite prirode, voda, zraka, gospodarenja otpadom, buke, svjetlosnog onečišćenja i dr. i/ili jedinice lokalne, područne (regionalne) samouprave. </w:t>
      </w:r>
    </w:p>
    <w:p>
      <w:pPr>
        <w:pBdr/>
        <w:pStyle w:val="Normal"/>
        <w:spacing/>
        <w:ind/>
        <w:rPr>
          <w:rFonts w:ascii="Arial" w:eastAsia="Arial" w:hAnsi="Arial" w:cs="Arial"/>
        </w:rPr>
      </w:pPr>
      <w:r>
        <w:rPr>
          <w:rFonts w:ascii="Arial" w:eastAsia="Arial" w:hAnsi="Arial" w:cs="Arial"/>
        </w:rPr>
        <w:t xml:space="preserve">(3) Ako iz mišljenja proizlazi obveza provedbe postupka procjene utjecaja zahvata na okoliš, isto mora sadržavati i očitovanje o obveznom sadržaju studije.</w:t>
      </w:r>
    </w:p>
    <w:p>
      <w:pPr>
        <w:pBdr/>
        <w:pStyle w:val="Normal"/>
        <w:spacing/>
        <w:ind/>
        <w:rPr>
          <w:rFonts w:ascii="Arial" w:eastAsia="Arial" w:hAnsi="Arial" w:cs="Arial"/>
        </w:rPr>
      </w:pPr>
      <w:r>
        <w:rPr>
          <w:rFonts w:ascii="Arial" w:eastAsia="Arial" w:hAnsi="Arial" w:cs="Arial"/>
        </w:rPr>
        <w:t xml:space="preserve">(4) Nadležno tijelo u postupku iz stavka 1. ovoga članka odlučuje rješenjem koje mora biti obrazloženo te sadržavati razloge na kojima se temelji, osobito razloge zbog kojih je utvrđeno da zahvat može ili ne može imati značajne utjecaje na okoliš, sukladno članku 67. ovoga Zakona, kao i uputu o pravnom lijeku. </w:t>
      </w:r>
    </w:p>
    <w:p>
      <w:pPr>
        <w:pBdr/>
        <w:pStyle w:val="Normal"/>
        <w:spacing/>
        <w:ind/>
        <w:rPr>
          <w:rFonts w:ascii="Arial" w:eastAsia="Arial" w:hAnsi="Arial" w:cs="Arial"/>
        </w:rPr>
      </w:pPr>
      <w:r>
        <w:rPr>
          <w:rFonts w:ascii="Arial" w:eastAsia="Arial" w:hAnsi="Arial" w:cs="Arial"/>
        </w:rPr>
        <w:t xml:space="preserve">(5) O rješenju nadležno tijelo informira javnost objavom na mrežnim stranicama te, kada je sudjelovala u postupku, drugu državu dostavom rješenja sukladno Zakonu.</w:t>
      </w:r>
    </w:p>
    <w:p>
      <w:pPr>
        <w:pBdr/>
        <w:pStyle w:val="Normal"/>
        <w:spacing/>
        <w:ind/>
        <w:rPr>
          <w:rFonts w:ascii="Arial" w:eastAsia="Arial" w:hAnsi="Arial" w:cs="Arial"/>
          <w:i/>
        </w:rPr>
      </w:pPr>
    </w:p>
    <w:p>
      <w:pPr>
        <w:pBdr/>
        <w:pStyle w:val="Heading 2"/>
        <w:spacing/>
        <w:ind/>
        <w:rPr/>
      </w:pPr>
      <w:r>
        <w:rPr/>
        <w:t xml:space="preserve">Nadležnost</w:t>
      </w:r>
    </w:p>
    <w:p>
      <w:pPr>
        <w:pBdr/>
        <w:pStyle w:val="Heading 2"/>
        <w:spacing/>
        <w:ind/>
        <w:rPr/>
      </w:pPr>
      <w:r>
        <w:rPr/>
        <w:t xml:space="preserve">Članak 61.</w:t>
      </w:r>
    </w:p>
    <w:p>
      <w:pPr>
        <w:pBdr/>
        <w:pStyle w:val="Normal"/>
        <w:spacing/>
        <w:ind/>
        <w:rPr>
          <w:rFonts w:ascii="Arial" w:eastAsia="Arial" w:hAnsi="Arial" w:cs="Arial"/>
        </w:rPr>
      </w:pPr>
      <w:r>
        <w:rPr>
          <w:rFonts w:ascii="Arial" w:eastAsia="Arial" w:hAnsi="Arial" w:cs="Arial"/>
        </w:rPr>
        <w:t xml:space="preserve">(1) O zahtjevu za procjenu utjecaja zahvata na okoliš te o zahtjevu za ocjenu o potrebi procjene utjecaja zahvata na okoliš odlučuje rješenjem Ministarstvo ili nadležno upravno tijelo u županiji, odnosno u Gradu Zagrebu, ovisno o vrsti zahvata određenoj uredbom iz članka 56. stavka 4. ovoga Zakona. </w:t>
      </w:r>
    </w:p>
    <w:p>
      <w:pPr>
        <w:pBdr/>
        <w:pStyle w:val="Normal"/>
        <w:spacing/>
        <w:ind/>
        <w:rPr>
          <w:rFonts w:ascii="Arial" w:eastAsia="Arial" w:hAnsi="Arial" w:cs="Arial"/>
        </w:rPr>
      </w:pPr>
      <w:r>
        <w:rPr>
          <w:rFonts w:ascii="Arial" w:eastAsia="Arial" w:hAnsi="Arial" w:cs="Arial"/>
        </w:rPr>
        <w:t xml:space="preserve">(2) Ako je nositelj zahvata nadležno upravno tijelo u županiji, odnosno nadležno tijelo u Gradu Zagrebu, postupak procjene utjecaja zahvata na okoliš, odnosno postupak ocjene o potrebi procjene utjecaja zahvata na okoliš, provodi Ministarstvo.</w:t>
      </w:r>
    </w:p>
    <w:p>
      <w:pPr>
        <w:pBdr/>
        <w:pStyle w:val="Normal"/>
        <w:spacing/>
        <w:ind/>
        <w:rPr>
          <w:rFonts w:ascii="Arial" w:eastAsia="Arial" w:hAnsi="Arial" w:cs="Arial"/>
        </w:rPr>
      </w:pPr>
      <w:r>
        <w:rPr>
          <w:rFonts w:ascii="Arial" w:eastAsia="Arial" w:hAnsi="Arial" w:cs="Arial"/>
        </w:rPr>
        <w:t xml:space="preserve">(3) Popis zahvata u nadležnosti Ministarstva, odnosno nadležnog upravnog tijela u županiji i u Gradu Zagrebu propisuje se uredbom iz članka 56. stavka 4. ovoga Zakona.</w:t>
      </w:r>
    </w:p>
    <w:p>
      <w:pPr>
        <w:pBdr/>
        <w:pStyle w:val="Normal"/>
        <w:spacing/>
        <w:ind/>
        <w:rPr>
          <w:rFonts w:ascii="Arial" w:eastAsia="Arial" w:hAnsi="Arial" w:cs="Arial"/>
        </w:rPr>
      </w:pPr>
      <w:r>
        <w:rPr>
          <w:rFonts w:ascii="Arial" w:eastAsia="Arial" w:hAnsi="Arial" w:cs="Arial"/>
        </w:rPr>
        <w:t xml:space="preserve">(4) Za provedbu prekograničnog postupka procjene utjecaja zahvata na okoliš nadležno je Ministarstvo.</w:t>
      </w:r>
    </w:p>
    <w:p>
      <w:pPr>
        <w:pBdr/>
        <w:pStyle w:val="Heading 2"/>
        <w:spacing/>
        <w:ind/>
        <w:rPr/>
      </w:pPr>
      <w:r>
        <w:rPr/>
        <w:t xml:space="preserve">Studija i elaborat</w:t>
      </w:r>
    </w:p>
    <w:p>
      <w:pPr>
        <w:pBdr/>
        <w:pStyle w:val="Heading 2"/>
        <w:spacing/>
        <w:ind/>
        <w:rPr/>
      </w:pPr>
      <w:r>
        <w:rPr/>
        <w:t xml:space="preserve">Članak 62.</w:t>
      </w:r>
    </w:p>
    <w:p>
      <w:pPr>
        <w:pBdr/>
        <w:pStyle w:val="Normal"/>
        <w:spacing/>
        <w:ind/>
        <w:rPr>
          <w:rFonts w:ascii="Arial" w:eastAsia="Arial" w:hAnsi="Arial" w:cs="Arial"/>
        </w:rPr>
      </w:pPr>
      <w:r>
        <w:rPr>
          <w:rFonts w:ascii="Arial" w:eastAsia="Arial" w:hAnsi="Arial" w:cs="Arial"/>
        </w:rPr>
        <w:t xml:space="preserve">(1) Studija je stručna podloga za provedbu postupka procjene utjecaja zahvata na okoliš koja obuhvaća sve potrebne podatke, dokumentaciju, obrazloženja i opise u tekstualnom i grafičkom obliku, prijedlog ocjene prihvatljivosti zahvata za okoliš i mjere zaštite okoliša u odnosu na zahvat te, prema potrebi, program praćenja stanja okoliša, u skladu sa sadržajem propisanim uredbom iz članka 56. stavka 4. ovoga Zakona. </w:t>
      </w:r>
    </w:p>
    <w:p>
      <w:pPr>
        <w:pBdr/>
        <w:pStyle w:val="Normal"/>
        <w:spacing/>
        <w:ind/>
        <w:rPr>
          <w:rFonts w:ascii="Arial" w:eastAsia="Arial" w:hAnsi="Arial" w:cs="Arial"/>
        </w:rPr>
      </w:pPr>
      <w:r>
        <w:rPr>
          <w:rFonts w:ascii="Arial" w:eastAsia="Arial" w:hAnsi="Arial" w:cs="Arial"/>
        </w:rPr>
        <w:t xml:space="preserve">(2) Studija mora sadržavati i glavnu ocjenu o prihvatljivosti za ekološku mrežu ako je takva obveza utvrđena aktom iz članka 58. stavka 2. točke 4. ovoga Zakona, a pri izradi studije uzimaju se u obzir rezultati drugih relevantnih procjena provedenih na temelju ovoga Zakona i posebnih propisa te, za zahvat koji može utjecati na vode, zahtjevi propisa kojim se uređuje zaštita voda.</w:t>
      </w:r>
    </w:p>
    <w:p>
      <w:pPr>
        <w:pBdr/>
        <w:pStyle w:val="Normal"/>
        <w:spacing/>
        <w:ind/>
        <w:rPr>
          <w:rFonts w:ascii="Arial" w:eastAsia="Arial" w:hAnsi="Arial" w:cs="Arial"/>
        </w:rPr>
      </w:pPr>
      <w:r>
        <w:rPr>
          <w:rFonts w:ascii="Arial" w:eastAsia="Arial" w:hAnsi="Arial" w:cs="Arial"/>
        </w:rPr>
        <w:t xml:space="preserve">(3) Elaborat je stručna podloga za provedbu postupka ocjene o potrebi procjene utjecaja zahvata na okoliš koja analizira moguće utjecaje planiranog zahvata na sastavnice i opterećenja okoliša, u skladu sa sadržajem propisanim uredbom iz članka 56. stavka 4. ovoga Zakona. </w:t>
      </w:r>
    </w:p>
    <w:p>
      <w:pPr>
        <w:pBdr/>
        <w:pStyle w:val="Normal"/>
        <w:spacing/>
        <w:ind/>
        <w:rPr>
          <w:rFonts w:ascii="Arial" w:eastAsia="Arial" w:hAnsi="Arial" w:cs="Arial"/>
        </w:rPr>
      </w:pPr>
      <w:r>
        <w:rPr>
          <w:rFonts w:ascii="Arial" w:eastAsia="Arial" w:hAnsi="Arial" w:cs="Arial"/>
        </w:rPr>
        <w:t xml:space="preserve">(4) Nositelj zahvata osigurava izradu studije i elaborata te podmiruje sve troškove u postupku procjene utjecaja zahvata na okoliš.</w:t>
      </w:r>
    </w:p>
    <w:p>
      <w:pPr>
        <w:pBdr/>
        <w:pStyle w:val="Normal"/>
        <w:spacing/>
        <w:ind/>
        <w:rPr>
          <w:rFonts w:ascii="Arial" w:eastAsia="Arial" w:hAnsi="Arial" w:cs="Arial"/>
        </w:rPr>
      </w:pPr>
      <w:r>
        <w:rPr>
          <w:rFonts w:ascii="Arial" w:eastAsia="Arial" w:hAnsi="Arial" w:cs="Arial"/>
        </w:rPr>
        <w:t xml:space="preserve">(5) Studija i elaborat moraju biti izrađeni na temelju najnovijih, vjerodostojnih i dostupnih podataka.</w:t>
      </w:r>
    </w:p>
    <w:p>
      <w:pPr>
        <w:pBdr/>
        <w:pStyle w:val="Normal"/>
        <w:spacing/>
        <w:ind/>
        <w:rPr>
          <w:rFonts w:ascii="Arial" w:eastAsia="Arial" w:hAnsi="Arial" w:cs="Arial"/>
        </w:rPr>
      </w:pPr>
      <w:r>
        <w:rPr>
          <w:rFonts w:ascii="Arial" w:eastAsia="Arial" w:hAnsi="Arial" w:cs="Arial"/>
        </w:rPr>
        <w:t xml:space="preserve">(6) Ovlaštenik koji izrađuje studiju i elaborat odgovoran je za procjenu kumulativnih utjecaja na okoliš, izbjegavanje umjetnog stvaranja uvjeta, stručnu utemeljenost i udovoljavanje propisanim zahtjevima u vezi s izradom i sadržajem studije odnosno elaborata.</w:t>
      </w:r>
    </w:p>
    <w:p>
      <w:pPr>
        <w:pBdr/>
        <w:pStyle w:val="Normal"/>
        <w:spacing/>
        <w:ind/>
        <w:rPr>
          <w:rFonts w:ascii="Arial" w:eastAsia="Arial" w:hAnsi="Arial" w:cs="Arial"/>
          <w:b/>
          <w:bCs/>
        </w:rPr>
      </w:pPr>
    </w:p>
    <w:p>
      <w:pPr>
        <w:pBdr/>
        <w:pStyle w:val="Heading 2"/>
        <w:spacing/>
        <w:ind/>
        <w:rPr/>
      </w:pPr>
      <w:r>
        <w:rPr/>
        <w:t xml:space="preserve">Članak 63.</w:t>
      </w:r>
    </w:p>
    <w:p>
      <w:pPr>
        <w:pBdr/>
        <w:pStyle w:val="Normal"/>
        <w:spacing/>
        <w:ind/>
        <w:rPr>
          <w:rFonts w:ascii="Arial" w:eastAsia="Arial" w:hAnsi="Arial" w:cs="Arial"/>
        </w:rPr>
      </w:pPr>
      <w:r>
        <w:rPr>
          <w:rFonts w:ascii="Arial" w:eastAsia="Arial" w:hAnsi="Arial" w:cs="Arial"/>
        </w:rPr>
        <w:t xml:space="preserve">(1) Nositelj zahvata može, prije izrade studije, pisanim zahtjevom od Ministarstva, odnosno od nadležnog upravnog tijela u županiji te u Gradu Zagrebu, zatražiti da mu se, s obzirom na namjeravani zahvat, izda uputa o sadržaju studije.</w:t>
      </w:r>
    </w:p>
    <w:p>
      <w:pPr>
        <w:pBdr/>
        <w:pStyle w:val="Normal"/>
        <w:spacing/>
        <w:ind/>
        <w:rPr>
          <w:rFonts w:ascii="Arial" w:eastAsia="Arial" w:hAnsi="Arial" w:cs="Arial"/>
        </w:rPr>
      </w:pPr>
      <w:r>
        <w:rPr>
          <w:rFonts w:ascii="Arial" w:eastAsia="Arial" w:hAnsi="Arial" w:cs="Arial"/>
        </w:rPr>
        <w:t xml:space="preserve">(2) Uputa iz stavka 1. ovoga članka nije upravni akt.</w:t>
      </w:r>
    </w:p>
    <w:p>
      <w:pPr>
        <w:pBdr/>
        <w:pStyle w:val="Normal"/>
        <w:spacing/>
        <w:ind/>
        <w:rPr>
          <w:rFonts w:ascii="Arial" w:eastAsia="Arial" w:hAnsi="Arial" w:cs="Arial"/>
          <w:iCs/>
        </w:rPr>
      </w:pPr>
    </w:p>
    <w:p>
      <w:pPr>
        <w:pBdr/>
        <w:pStyle w:val="Heading 2"/>
        <w:spacing/>
        <w:ind/>
        <w:rPr/>
      </w:pPr>
      <w:r>
        <w:rPr/>
        <w:t xml:space="preserve">Povjerenstvo u postupku procjene utjecaja zahvata na okoliš</w:t>
      </w:r>
    </w:p>
    <w:p>
      <w:pPr>
        <w:pBdr/>
        <w:pStyle w:val="Heading 2"/>
        <w:spacing/>
        <w:ind/>
        <w:rPr/>
      </w:pPr>
      <w:r>
        <w:rPr/>
        <w:t xml:space="preserve">Članak 64.</w:t>
      </w:r>
    </w:p>
    <w:p>
      <w:pPr>
        <w:pBdr/>
        <w:pStyle w:val="Normal"/>
        <w:spacing/>
        <w:ind/>
        <w:rPr>
          <w:rFonts w:ascii="Arial" w:eastAsia="Arial" w:hAnsi="Arial" w:cs="Arial"/>
        </w:rPr>
      </w:pPr>
      <w:r>
        <w:rPr>
          <w:rFonts w:ascii="Arial" w:eastAsia="Arial" w:hAnsi="Arial" w:cs="Arial"/>
        </w:rPr>
        <w:t xml:space="preserve">(1) U postupku procjene utjecaja zahvata na okoliš sudjeluje savjetodavno stručno povjerenstvo (u daljnjem tekstu: povjerenstvo) koje se osniva za svaki pojedini zahvat, a ako se predviđa veći broj zahvata iste vrste, može se imenovati stalno povjerenstvo za tu vrstu zahvata.</w:t>
      </w:r>
    </w:p>
    <w:p>
      <w:pPr>
        <w:pBdr/>
        <w:pStyle w:val="Normal"/>
        <w:spacing/>
        <w:ind/>
        <w:rPr>
          <w:rFonts w:ascii="Arial" w:eastAsia="Arial" w:hAnsi="Arial" w:cs="Arial"/>
        </w:rPr>
      </w:pPr>
      <w:r>
        <w:rPr>
          <w:rFonts w:ascii="Arial" w:eastAsia="Arial" w:hAnsi="Arial" w:cs="Arial"/>
        </w:rPr>
        <w:t xml:space="preserve">(2) Povjerenstvo ocjenjuje cjelovitost i stručnu utemeljenost studije te utjecaj i prihvatljivost zahvata za okoliš, predlaže za okoliš prihvatljivije varijante zahvata, mjere zaštite okoliša i program praćenja stanja okoliša te natpolovičnom većinom svih članova daje mišljenje o prihvatljivosti zahvata za okoliš stručnim službama Ministarstva odnosno nadležnom upravnom tijelu u županiji odnosno Gradu Zagrebu. </w:t>
      </w:r>
    </w:p>
    <w:p>
      <w:pPr>
        <w:pBdr/>
        <w:pStyle w:val="Normal"/>
        <w:spacing/>
        <w:ind/>
        <w:rPr>
          <w:rFonts w:ascii="Arial" w:eastAsia="Arial" w:hAnsi="Arial" w:cs="Arial"/>
        </w:rPr>
      </w:pPr>
      <w:r>
        <w:rPr>
          <w:rFonts w:ascii="Arial" w:eastAsia="Arial" w:hAnsi="Arial" w:cs="Arial"/>
        </w:rPr>
        <w:t xml:space="preserve">(3) Ako povjerenstvo na prvoj sjednici utvrdi da studija ima nedostatke koji nisu odlučujući za utvrđivanje njezine cjelovitosti i/ili stručne utemeljenosti, predložit će nadležnom tijelu da zaključkom zatraži od nositelja zahvata dopunu studije u roku koji ne može biti dulji od 30 dana od dana dostave zaključka, pri čemu je dužno u prijedlogu obrazložiti razloge za dopunu i jasno navesti dijelove studije koje je potrebno dopuniti.</w:t>
      </w:r>
    </w:p>
    <w:p>
      <w:pPr>
        <w:pBdr/>
        <w:pStyle w:val="Normal"/>
        <w:spacing/>
        <w:ind/>
        <w:rPr>
          <w:rFonts w:ascii="Arial" w:eastAsia="Arial" w:hAnsi="Arial" w:cs="Arial"/>
        </w:rPr>
      </w:pPr>
      <w:r>
        <w:rPr>
          <w:rFonts w:ascii="Arial" w:eastAsia="Arial" w:hAnsi="Arial" w:cs="Arial"/>
        </w:rPr>
        <w:t xml:space="preserve">(4) Ako nositelj zahvata ne dopuni studiju prema zaključku iz stavka 3. ovoga članka, nadležno tijelo odbit će njegov zahtjev.</w:t>
      </w:r>
    </w:p>
    <w:p>
      <w:pPr>
        <w:pBdr/>
        <w:pStyle w:val="Normal"/>
        <w:spacing/>
        <w:ind/>
        <w:rPr>
          <w:rFonts w:ascii="Arial" w:eastAsia="Arial" w:hAnsi="Arial" w:cs="Arial"/>
        </w:rPr>
      </w:pPr>
      <w:r>
        <w:rPr>
          <w:rFonts w:ascii="Arial" w:eastAsia="Arial" w:hAnsi="Arial" w:cs="Arial"/>
        </w:rPr>
        <w:t xml:space="preserve">(5) Kada povjerenstvo na prvoj sjednici ocijeni da je studiju potrebno dopuniti podacima koji bitno utječu na njezinu cjelovitost i da dopunu objektivno nije moguće provesti u roku od 30 dana, predložit će nadležnom tijelu da zahtjev nositelja zahvata odbije kao neutemeljen.</w:t>
      </w:r>
    </w:p>
    <w:p>
      <w:pPr>
        <w:pBdr/>
        <w:pStyle w:val="Normal"/>
        <w:spacing/>
        <w:ind/>
        <w:rPr>
          <w:rFonts w:ascii="Arial" w:eastAsia="Arial" w:hAnsi="Arial" w:cs="Arial"/>
        </w:rPr>
      </w:pPr>
      <w:r>
        <w:rPr>
          <w:rFonts w:ascii="Arial" w:eastAsia="Arial" w:hAnsi="Arial" w:cs="Arial"/>
        </w:rPr>
        <w:t xml:space="preserve">(6) Sastav i broj članova povjerenstva određuje odlukom ministar odnosno čelnik nadležnog upravnog tijela u županiji odnosno Gradu Zagrebu, ovisno o vrsti zahvata određenoj uredbom iz članka 56. stavka 4. ovoga Zakona, a članovi se imenuju s popisa osoba koji predlaže ministar iz redova znanstvenih i stručnih djelatnika, predstavnika tijela određenih posebnim propisom, predstavnika jedinica lokalne i područne (regionalne) samouprave te predstavnika Ministarstva i koji se objavljuje na mrežnim stranicama Ministarstva. </w:t>
      </w:r>
    </w:p>
    <w:p>
      <w:pPr>
        <w:pBdr/>
        <w:pStyle w:val="Normal"/>
        <w:spacing/>
        <w:ind/>
        <w:rPr>
          <w:rFonts w:ascii="Arial" w:eastAsia="Arial" w:hAnsi="Arial" w:cs="Arial"/>
        </w:rPr>
      </w:pPr>
      <w:r>
        <w:rPr>
          <w:rFonts w:ascii="Arial" w:eastAsia="Arial" w:hAnsi="Arial" w:cs="Arial"/>
        </w:rPr>
        <w:t xml:space="preserve">(7) Članovi povjerenstva imaju pravo na naknadu za svoj rad koju osigurava nositelj zahvata u skladu s odlukom ministra.</w:t>
      </w:r>
    </w:p>
    <w:p>
      <w:pPr>
        <w:pBdr/>
        <w:pStyle w:val="Normal"/>
        <w:spacing/>
        <w:ind/>
        <w:rPr>
          <w:rFonts w:ascii="Arial" w:eastAsia="Arial" w:hAnsi="Arial" w:cs="Arial"/>
          <w:iCs/>
        </w:rPr>
      </w:pPr>
    </w:p>
    <w:p>
      <w:pPr>
        <w:pBdr/>
        <w:pStyle w:val="Heading 2"/>
        <w:spacing/>
        <w:ind/>
        <w:rPr/>
      </w:pPr>
      <w:r>
        <w:rPr/>
        <w:t xml:space="preserve">Rokovi za provedbu postupaka</w:t>
      </w:r>
    </w:p>
    <w:p>
      <w:pPr>
        <w:pBdr/>
        <w:pStyle w:val="Heading 2"/>
        <w:spacing/>
        <w:ind/>
        <w:rPr/>
      </w:pPr>
      <w:r>
        <w:rPr/>
        <w:t xml:space="preserve">Članak 65.</w:t>
      </w:r>
    </w:p>
    <w:p>
      <w:pPr>
        <w:pBdr/>
        <w:pStyle w:val="Normal"/>
        <w:spacing/>
        <w:ind/>
        <w:rPr>
          <w:rFonts w:ascii="Arial" w:eastAsia="Arial" w:hAnsi="Arial" w:cs="Arial"/>
        </w:rPr>
      </w:pPr>
      <w:r>
        <w:rPr>
          <w:rFonts w:ascii="Arial" w:eastAsia="Arial" w:hAnsi="Arial" w:cs="Arial"/>
        </w:rPr>
        <w:t xml:space="preserve">(1) Postupak procjene utjecaja zahvata na okoliš mora se provesti u roku od četiri mjeseca od dana objave informacije o upućivanju studije na javnu raspravu na mrežnim stranicama Ministarstva ili nadležnog upravnog tijela u županiji odnosno u Gradu Zagrebu, a taj se rok može produljiti za najviše dva mjeseca ako je u postupku ocijenjeno da je potrebno obaviti dopunske radnje.</w:t>
      </w:r>
    </w:p>
    <w:p>
      <w:pPr>
        <w:pBdr/>
        <w:pStyle w:val="Normal"/>
        <w:spacing/>
        <w:ind/>
        <w:rPr>
          <w:rFonts w:ascii="Arial" w:eastAsia="Arial" w:hAnsi="Arial" w:cs="Arial"/>
        </w:rPr>
      </w:pPr>
      <w:r>
        <w:rPr>
          <w:rFonts w:ascii="Arial" w:eastAsia="Arial" w:hAnsi="Arial" w:cs="Arial"/>
        </w:rPr>
        <w:t xml:space="preserve">(2) Postupak ocjene o potrebi procjene utjecaja zahvata na okoliš mora se provesti u roku od dva mjeseca od dana objave informacije o zahtjevu za provedbom postupka ocjene o potrebi procjene utjecaja na okoliš na mrežnim stranicama Ministarstva ili nadležnog upravnog tijela u županiji odnosno u Gradu Zagrebu, a taj se rok može produljiti za najviše jedan mjesec.</w:t>
      </w:r>
    </w:p>
    <w:p>
      <w:pPr>
        <w:pBdr/>
        <w:pStyle w:val="Normal"/>
        <w:spacing/>
        <w:ind/>
        <w:rPr>
          <w:rFonts w:ascii="Arial" w:eastAsia="Arial" w:hAnsi="Arial" w:cs="Arial"/>
        </w:rPr>
      </w:pPr>
      <w:r>
        <w:rPr>
          <w:rFonts w:ascii="Arial" w:eastAsia="Arial" w:hAnsi="Arial" w:cs="Arial"/>
        </w:rPr>
        <w:t xml:space="preserve">(3) U slučaju produljenja roka iz stavka 2. ovoga članka Ministarstvo odnosno nadležno upravno tijelo u županiji odnosno Gradu Zagrebu dužno je pisanim putem obavijestiti nositelja zahvata o razlozima produljenja i novom roku za provedbu postupka.</w:t>
      </w:r>
    </w:p>
    <w:p>
      <w:pPr>
        <w:pBdr/>
        <w:pStyle w:val="Normal"/>
        <w:spacing/>
        <w:ind/>
        <w:rPr>
          <w:rFonts w:ascii="Arial" w:eastAsia="Arial" w:hAnsi="Arial" w:cs="Arial"/>
        </w:rPr>
      </w:pPr>
      <w:r>
        <w:rPr>
          <w:rFonts w:ascii="Arial" w:eastAsia="Arial" w:hAnsi="Arial" w:cs="Arial"/>
        </w:rPr>
        <w:t xml:space="preserve">(4) Uputa o sadržaju studije mora se izdati u roku od tri mjeseca od dana objave informacije o zahtjevu za izdavanje upute o sadržaju studije na mrežnim stranicama Ministarstva ili nadležnog upravnog tijela u županiji odnosno u Gradu Zagrebu. </w:t>
      </w:r>
    </w:p>
    <w:p>
      <w:pPr>
        <w:pBdr/>
        <w:pStyle w:val="Normal"/>
        <w:spacing/>
        <w:ind/>
        <w:rPr>
          <w:rFonts w:ascii="Arial" w:eastAsia="Arial" w:hAnsi="Arial" w:cs="Arial"/>
        </w:rPr>
      </w:pPr>
    </w:p>
    <w:p>
      <w:pPr>
        <w:pBdr/>
        <w:pStyle w:val="Heading 2"/>
        <w:spacing/>
        <w:ind/>
        <w:rPr/>
      </w:pPr>
      <w:r>
        <w:rPr/>
        <w:t xml:space="preserve">Rješenja i njihov obvezni sadržaj</w:t>
      </w:r>
    </w:p>
    <w:p>
      <w:pPr>
        <w:pBdr/>
        <w:pStyle w:val="Heading 2"/>
        <w:spacing/>
        <w:ind/>
        <w:rPr/>
      </w:pPr>
      <w:r>
        <w:rPr/>
        <w:t xml:space="preserve">Članak 66.</w:t>
      </w:r>
    </w:p>
    <w:p>
      <w:pPr>
        <w:pBdr/>
        <w:pStyle w:val="Normal"/>
        <w:spacing/>
        <w:ind/>
        <w:rPr>
          <w:rFonts w:ascii="Arial" w:eastAsia="Arial" w:hAnsi="Arial" w:cs="Arial"/>
        </w:rPr>
      </w:pPr>
      <w:r>
        <w:rPr>
          <w:rFonts w:ascii="Arial" w:eastAsia="Arial" w:hAnsi="Arial" w:cs="Arial"/>
        </w:rPr>
        <w:t xml:space="preserve">(1) O zahtjevu za procjenu utjecaja zahvata na okoliš odlučuje se rješenjem koje sadrži obrazloženje razloga prihvatljivosti odnosno razloga neprihvatljivosti zahvata za okoliš.</w:t>
      </w:r>
    </w:p>
    <w:p>
      <w:pPr>
        <w:pBdr/>
        <w:pStyle w:val="Normal"/>
        <w:spacing/>
        <w:ind/>
        <w:rPr>
          <w:rFonts w:ascii="Arial" w:eastAsia="Arial" w:hAnsi="Arial" w:cs="Arial"/>
        </w:rPr>
      </w:pPr>
      <w:r>
        <w:rPr>
          <w:rFonts w:ascii="Arial" w:eastAsia="Arial" w:hAnsi="Arial" w:cs="Arial"/>
        </w:rPr>
        <w:t xml:space="preserve">(2) Rješenjem o prihvatljivosti zahvata za okoliš utvrđuje se da je namjeravani zahvat prihvatljiv za okoliš uz primjenu mjera zaštite okoliša te se određuju svi okolišni uvjeti, opisuju svi dijelovi zahvata i/ili mjere predviđene radi izbjegavanja, sprječavanja ili smanjivanja te, ako je moguće, neutraliziranja značajnih štetnih utjecaja na okoliš i, prema potrebi, utvrđuje program praćenja stanja okoliša.</w:t>
      </w:r>
    </w:p>
    <w:p>
      <w:pPr>
        <w:pBdr/>
        <w:pStyle w:val="Normal"/>
        <w:spacing/>
        <w:ind/>
        <w:rPr>
          <w:rFonts w:ascii="Arial" w:eastAsia="Arial" w:hAnsi="Arial" w:cs="Arial"/>
        </w:rPr>
      </w:pPr>
      <w:r>
        <w:rPr>
          <w:rFonts w:ascii="Arial" w:eastAsia="Arial" w:hAnsi="Arial" w:cs="Arial"/>
        </w:rPr>
        <w:t xml:space="preserve">(3) Rješenje o prihvatljivosti zahvata za okoliš donosi se nakon što nadležno tijelo razmotri:</w:t>
      </w:r>
    </w:p>
    <w:p>
      <w:pPr>
        <w:pBdr/>
        <w:pStyle w:val="Normal"/>
        <w:spacing/>
        <w:ind/>
        <w:rPr>
          <w:rFonts w:ascii="Arial" w:eastAsia="Arial" w:hAnsi="Arial" w:cs="Arial"/>
        </w:rPr>
      </w:pPr>
      <w:r>
        <w:rPr>
          <w:rFonts w:ascii="Arial" w:eastAsia="Arial" w:hAnsi="Arial" w:cs="Arial"/>
        </w:rPr>
        <w:t xml:space="preserve">- rezultate studije </w:t>
      </w:r>
    </w:p>
    <w:p>
      <w:pPr>
        <w:pBdr/>
        <w:pStyle w:val="Normal"/>
        <w:spacing/>
        <w:ind/>
        <w:rPr>
          <w:rFonts w:ascii="Arial" w:eastAsia="Arial" w:hAnsi="Arial" w:cs="Arial"/>
        </w:rPr>
      </w:pPr>
      <w:r>
        <w:rPr>
          <w:rFonts w:ascii="Arial" w:eastAsia="Arial" w:hAnsi="Arial" w:cs="Arial"/>
        </w:rPr>
        <w:t xml:space="preserve">- mišljenje povjerenstva iz članka 64. stavka 2. ovoga Zakona</w:t>
      </w:r>
    </w:p>
    <w:p>
      <w:pPr>
        <w:pBdr/>
        <w:pStyle w:val="Normal"/>
        <w:spacing/>
        <w:ind/>
        <w:rPr>
          <w:rFonts w:ascii="Arial" w:eastAsia="Arial" w:hAnsi="Arial" w:cs="Arial"/>
        </w:rPr>
      </w:pPr>
      <w:r>
        <w:rPr>
          <w:rFonts w:ascii="Arial" w:eastAsia="Arial" w:hAnsi="Arial" w:cs="Arial"/>
        </w:rPr>
        <w:t xml:space="preserve">- mišljenja tijela određenih posebnim propisom i/ili jedinica lokalne i područne (regionalne) samouprave o prihvatljivosti zahvata</w:t>
      </w:r>
    </w:p>
    <w:p>
      <w:pPr>
        <w:pBdr/>
        <w:pStyle w:val="Normal"/>
        <w:spacing/>
        <w:ind/>
        <w:rPr>
          <w:rFonts w:ascii="Arial" w:eastAsia="Arial" w:hAnsi="Arial" w:cs="Arial"/>
        </w:rPr>
      </w:pPr>
      <w:r>
        <w:rPr>
          <w:rFonts w:ascii="Arial" w:eastAsia="Arial" w:hAnsi="Arial" w:cs="Arial"/>
        </w:rPr>
        <w:t xml:space="preserve">- mišljenja, primjedbe i prijedloge javnosti i zainteresirane javnosti dostavljene tijekom javne rasprave te rezultate prekograničnih konzultacija ako su bile obvezne prema ovom Zakonu</w:t>
      </w:r>
    </w:p>
    <w:p>
      <w:pPr>
        <w:pBdr/>
        <w:pStyle w:val="Normal"/>
        <w:spacing/>
        <w:ind/>
        <w:rPr>
          <w:rFonts w:ascii="Arial" w:eastAsia="Arial" w:hAnsi="Arial" w:cs="Arial"/>
        </w:rPr>
      </w:pPr>
      <w:r>
        <w:rPr>
          <w:rFonts w:ascii="Arial" w:eastAsia="Arial" w:hAnsi="Arial" w:cs="Arial"/>
        </w:rPr>
        <w:t xml:space="preserve">- procjenu kumulativnog utjecaja zahvata na okoliš sa svim izvedenim i odobrenim zahvatima.</w:t>
      </w:r>
    </w:p>
    <w:p>
      <w:pPr>
        <w:pBdr/>
        <w:pStyle w:val="Normal"/>
        <w:spacing/>
        <w:ind/>
        <w:rPr>
          <w:rFonts w:ascii="Arial" w:eastAsia="Arial" w:hAnsi="Arial" w:cs="Arial"/>
        </w:rPr>
      </w:pPr>
      <w:r>
        <w:rPr>
          <w:rFonts w:ascii="Arial" w:eastAsia="Arial" w:hAnsi="Arial" w:cs="Arial"/>
        </w:rPr>
        <w:t xml:space="preserve">(4) Prije donošenja rješenja o prihvatljivosti zahvata za okoliš nadležno tijelo objavljuje nacrt rješenja na svojim mrežnim stranicama radi uvida javnosti u trajanju od osam dana od dana objave.</w:t>
      </w:r>
    </w:p>
    <w:p>
      <w:pPr>
        <w:pBdr/>
        <w:pStyle w:val="Normal"/>
        <w:spacing/>
        <w:ind/>
        <w:rPr>
          <w:rFonts w:ascii="Arial" w:eastAsia="Arial" w:hAnsi="Arial" w:cs="Arial"/>
        </w:rPr>
      </w:pPr>
      <w:r>
        <w:rPr>
          <w:rFonts w:ascii="Arial" w:eastAsia="Arial" w:hAnsi="Arial" w:cs="Arial"/>
        </w:rPr>
        <w:t xml:space="preserve">(5) Nadležno tijelo informira javnost i zainteresiranu javnost o rješenju iz stavka 1. ovoga članka objavom na svojim mrežnim stranicama te ga dostavlja drugoj državi koja je sudjelovala u postupku u skladu s ovim Zakonom, pri čemu nadležno upravno tijelo u </w:t>
      </w:r>
      <w:r>
        <w:rPr>
          <w:rFonts w:ascii="Arial" w:eastAsia="Arial" w:hAnsi="Arial" w:cs="Arial"/>
        </w:rPr>
        <w:t xml:space="preserve">županiji odnosno Gradu Zagrebu rješenje dostavlja i Ministarstvu i nadležnoj inspekciji, a Ministarstvo ga odmah dostavlja nadležnoj inspekciji.</w:t>
      </w:r>
    </w:p>
    <w:p>
      <w:pPr>
        <w:pBdr/>
        <w:pStyle w:val="Normal"/>
        <w:spacing/>
        <w:ind/>
        <w:rPr>
          <w:rFonts w:ascii="Arial" w:eastAsia="Arial" w:hAnsi="Arial" w:cs="Arial"/>
        </w:rPr>
      </w:pPr>
      <w:r>
        <w:rPr>
          <w:rFonts w:ascii="Arial" w:eastAsia="Arial" w:hAnsi="Arial" w:cs="Arial"/>
        </w:rPr>
        <w:t xml:space="preserve">(6) Protiv rješenja iz stavka 1. ovoga članka koje donosi Ministarstvo žalba nije dopuštena, ali se može pokrenuti upravni spor, a protiv rješenja koje donosi nadležno upravno tijelo u županiji odnosno Gradu Zagrebu može se izjaviti žalba Ministarstvu.</w:t>
      </w:r>
    </w:p>
    <w:p>
      <w:pPr>
        <w:pBdr/>
        <w:pStyle w:val="Normal"/>
        <w:spacing/>
        <w:ind/>
        <w:rPr>
          <w:rFonts w:ascii="Arial" w:eastAsia="Arial" w:hAnsi="Arial" w:cs="Arial"/>
        </w:rPr>
      </w:pPr>
      <w:r>
        <w:rPr>
          <w:rFonts w:ascii="Arial" w:eastAsia="Arial" w:hAnsi="Arial" w:cs="Arial"/>
        </w:rPr>
        <w:t xml:space="preserve">(7) Ako se rješenjem iz stavka 1. ovoga članka odlučuje i o prihvatljivosti zahvata za ekološku mrežu, rješenje sadržava rezultate glavne ocjene prihvatljivosti za ekološku mrežu, mjere ublažavanja negativnih utjecaja na ciljeve očuvanja i cjelovitost područja ekološke mreže i/ili program praćenja stanja područja ekološke mreže te upravni akt donesen u postupku utvrđivanja prevladavajućeg javnog interesa i odobrenja zahvata uz kompenzacijske uvjete ako je taj postupak proveden prema propisu kojim se uređuje zaštita prirode.</w:t>
      </w:r>
    </w:p>
    <w:p>
      <w:pPr>
        <w:pBdr/>
        <w:pStyle w:val="Normal"/>
        <w:spacing/>
        <w:ind/>
        <w:rPr>
          <w:rFonts w:ascii="Arial" w:eastAsia="Arial" w:hAnsi="Arial" w:cs="Arial"/>
        </w:rPr>
      </w:pPr>
      <w:r>
        <w:rPr>
          <w:rFonts w:ascii="Arial" w:eastAsia="Arial" w:hAnsi="Arial" w:cs="Arial"/>
        </w:rPr>
        <w:t xml:space="preserve">(8) Nositelj zahvata dužan je Ministarstvu odnosno Zavodu i nadležnom tijelu ovisno o vrsti zahvata određenoj uredbom iz članka 56. stavka 4. ovoga Zakona dostavljati rezultate praćenja stanja okoliša i ekološke mreže iz stavaka 2. i 7. ovoga članka, uključujući rezultate svih terenskih istraživanja s prostornim podacima, u strojno čitljivom i vektorskom obliku.</w:t>
      </w:r>
    </w:p>
    <w:p>
      <w:pPr>
        <w:pBdr/>
        <w:pStyle w:val="Normal"/>
        <w:spacing/>
        <w:ind/>
        <w:rPr>
          <w:rFonts w:ascii="Arial" w:eastAsia="Arial" w:hAnsi="Arial" w:cs="Arial"/>
        </w:rPr>
      </w:pPr>
    </w:p>
    <w:p>
      <w:pPr>
        <w:pBdr/>
        <w:pStyle w:val="Heading 2"/>
        <w:spacing/>
        <w:ind/>
        <w:rPr/>
      </w:pPr>
      <w:r>
        <w:rPr/>
        <w:t xml:space="preserve">Članak 67.</w:t>
      </w:r>
    </w:p>
    <w:p>
      <w:pPr>
        <w:pBdr/>
        <w:pStyle w:val="Normal"/>
        <w:spacing/>
        <w:ind/>
        <w:rPr>
          <w:rFonts w:ascii="Arial" w:eastAsia="Arial" w:hAnsi="Arial" w:cs="Arial"/>
        </w:rPr>
      </w:pPr>
      <w:r>
        <w:rPr>
          <w:rFonts w:ascii="Arial" w:eastAsia="Arial" w:hAnsi="Arial" w:cs="Arial"/>
        </w:rPr>
        <w:t xml:space="preserve">(1) Rješenje kojim se utvrđuje da je za zahvat potrebno odnosno da nije potrebno provesti procjenu utjecaja zahvata na okoliš donosi se nakon što nadležno tijelo razmotri mišljenja tijela određenih posebnim propisima i mišljenja jedinica lokalne i područne (regionalne) samouprave na čijem se području zahvat planira. </w:t>
      </w:r>
    </w:p>
    <w:p>
      <w:pPr>
        <w:pBdr/>
        <w:pStyle w:val="Normal"/>
        <w:spacing/>
        <w:ind/>
        <w:rPr>
          <w:rFonts w:ascii="Arial" w:eastAsia="Arial" w:hAnsi="Arial" w:cs="Arial"/>
        </w:rPr>
      </w:pPr>
      <w:r>
        <w:rPr>
          <w:rFonts w:ascii="Arial" w:eastAsia="Arial" w:hAnsi="Arial" w:cs="Arial"/>
        </w:rPr>
        <w:t xml:space="preserve">(2) Rješenje kojim se utvrđuje da je za zahvat potrebno provesti procjenu utjecaja zahvata na okoliš sadrži:</w:t>
      </w:r>
    </w:p>
    <w:p>
      <w:pPr>
        <w:pBdr/>
        <w:pStyle w:val="Normal"/>
        <w:spacing/>
        <w:ind/>
        <w:rPr>
          <w:rFonts w:ascii="Arial" w:eastAsia="Arial" w:hAnsi="Arial" w:cs="Arial"/>
        </w:rPr>
      </w:pPr>
      <w:r>
        <w:rPr>
          <w:rFonts w:ascii="Arial" w:eastAsia="Arial" w:hAnsi="Arial" w:cs="Arial"/>
        </w:rPr>
        <w:t xml:space="preserve">- podatke o nositelju zahvata</w:t>
      </w:r>
    </w:p>
    <w:p>
      <w:pPr>
        <w:pBdr/>
        <w:pStyle w:val="Normal"/>
        <w:spacing/>
        <w:ind/>
        <w:rPr>
          <w:rFonts w:ascii="Arial" w:eastAsia="Arial" w:hAnsi="Arial" w:cs="Arial"/>
        </w:rPr>
      </w:pPr>
      <w:r>
        <w:rPr>
          <w:rFonts w:ascii="Arial" w:eastAsia="Arial" w:hAnsi="Arial" w:cs="Arial"/>
        </w:rPr>
        <w:t xml:space="preserve">- podatke o lokaciji, uključujući naziv katastarske općine i broj katastarske čestice i sažeti opis lokacije zahvata</w:t>
      </w:r>
    </w:p>
    <w:p>
      <w:pPr>
        <w:pBdr/>
        <w:pStyle w:val="Normal"/>
        <w:spacing/>
        <w:ind/>
        <w:rPr>
          <w:rFonts w:ascii="Arial" w:eastAsia="Arial" w:hAnsi="Arial" w:cs="Arial"/>
        </w:rPr>
      </w:pPr>
      <w:r>
        <w:rPr>
          <w:rFonts w:ascii="Arial" w:eastAsia="Arial" w:hAnsi="Arial" w:cs="Arial"/>
        </w:rPr>
        <w:t xml:space="preserve">- podatke o zahvatu i sažeti opis zahvata</w:t>
      </w:r>
    </w:p>
    <w:p>
      <w:pPr>
        <w:pBdr/>
        <w:pStyle w:val="Normal"/>
        <w:spacing/>
        <w:ind/>
        <w:rPr>
          <w:rFonts w:ascii="Arial" w:eastAsia="Arial" w:hAnsi="Arial" w:cs="Arial"/>
        </w:rPr>
      </w:pPr>
      <w:r>
        <w:rPr>
          <w:rFonts w:ascii="Arial" w:eastAsia="Arial" w:hAnsi="Arial" w:cs="Arial"/>
        </w:rPr>
        <w:t xml:space="preserve">- rezultate ocjene prihvatljivosti za ekološku mrežu sukladno posebnom propisu kojim se uređuje zaštita prirode</w:t>
      </w:r>
    </w:p>
    <w:p>
      <w:pPr>
        <w:pBdr/>
        <w:pStyle w:val="Normal"/>
        <w:spacing/>
        <w:ind/>
        <w:rPr>
          <w:rFonts w:ascii="Arial" w:eastAsia="Arial" w:hAnsi="Arial" w:cs="Arial"/>
        </w:rPr>
      </w:pPr>
      <w:r>
        <w:rPr>
          <w:rFonts w:ascii="Arial" w:eastAsia="Arial" w:hAnsi="Arial" w:cs="Arial"/>
        </w:rPr>
        <w:t xml:space="preserve">- rezultate prethodno provedenih odgovarajućih postupaka strateške procjene utjecaja na okoliš i postupaka procjene utjecaja zahvata na okoliš</w:t>
      </w:r>
    </w:p>
    <w:p>
      <w:pPr>
        <w:pBdr/>
        <w:pStyle w:val="Normal"/>
        <w:spacing/>
        <w:ind/>
        <w:rPr>
          <w:rFonts w:ascii="Arial" w:eastAsia="Arial" w:hAnsi="Arial" w:cs="Arial"/>
        </w:rPr>
      </w:pPr>
      <w:r>
        <w:rPr>
          <w:rFonts w:ascii="Arial" w:eastAsia="Arial" w:hAnsi="Arial" w:cs="Arial"/>
        </w:rPr>
        <w:t xml:space="preserve">- obrazloženje razloga zbog kojih je utvrđena potreba procjene utjecaja zahvata na okoliš </w:t>
      </w:r>
    </w:p>
    <w:p>
      <w:pPr>
        <w:pBdr/>
        <w:pStyle w:val="Normal"/>
        <w:spacing/>
        <w:ind/>
        <w:rPr>
          <w:rFonts w:ascii="Arial" w:eastAsia="Arial" w:hAnsi="Arial" w:cs="Arial"/>
        </w:rPr>
      </w:pPr>
      <w:r>
        <w:rPr>
          <w:rFonts w:ascii="Arial" w:eastAsia="Arial" w:hAnsi="Arial" w:cs="Arial"/>
        </w:rPr>
        <w:t xml:space="preserve">- pobliže podatke o obveznom sadržaju studije za predmetni zahvat odnosno uputu da se studija izradi prema obveznom sadržaju propisanom uredbom iz članka 56. stavka 4. ovoga Zakona ako se daje uputa o sadržaju studije.</w:t>
      </w:r>
    </w:p>
    <w:p>
      <w:pPr>
        <w:pBdr/>
        <w:pStyle w:val="Normal"/>
        <w:spacing/>
        <w:ind/>
        <w:rPr>
          <w:rFonts w:ascii="Arial" w:eastAsia="Arial" w:hAnsi="Arial" w:cs="Arial"/>
        </w:rPr>
      </w:pPr>
      <w:r>
        <w:rPr>
          <w:rFonts w:ascii="Arial" w:eastAsia="Arial" w:hAnsi="Arial" w:cs="Arial"/>
        </w:rPr>
        <w:t xml:space="preserve">(3) Ako nadležno tijelo u postupku ocjene o potrebi procjene utjecaja zahvata na okoliš isključi mogućnost značajnijeg utjecaja zahvata na okoliš, donijet će rješenje kojim se utvrđuje da za zahvat nije potrebno provesti procjenu utjecaja zahvata na okoliš. </w:t>
      </w:r>
    </w:p>
    <w:p>
      <w:pPr>
        <w:pBdr/>
        <w:pStyle w:val="Normal"/>
        <w:spacing/>
        <w:ind/>
        <w:rPr>
          <w:rFonts w:ascii="Arial" w:eastAsia="Arial" w:hAnsi="Arial" w:cs="Arial"/>
        </w:rPr>
      </w:pPr>
      <w:r>
        <w:rPr>
          <w:rFonts w:ascii="Arial" w:eastAsia="Arial" w:hAnsi="Arial" w:cs="Arial"/>
        </w:rPr>
        <w:t xml:space="preserve">(4) Rješenje iz stavka 3. ovoga članka sadržava podatke iz stavka 2. podstavaka 1., 2., 3. i 4. ovoga članka, dostupne podatke o stanju svih sastavnica okoliša na predviđenoj lokaciji zahvata, ocjenu kumulativnih utjecaja, rezultate dosadašnjih mjerenja, obrazloženje razloga zbog kojih nije potrebno provesti procjenu utjecaja zahvata na okoliš te, prema potrebi, mjere zaštite okoliša i program praćenja stanja okoliša. </w:t>
      </w:r>
    </w:p>
    <w:p>
      <w:pPr>
        <w:pBdr/>
        <w:pStyle w:val="Normal"/>
        <w:spacing/>
        <w:ind/>
        <w:rPr>
          <w:rFonts w:ascii="Arial" w:eastAsia="Arial" w:hAnsi="Arial" w:cs="Arial"/>
        </w:rPr>
      </w:pPr>
      <w:r>
        <w:rPr>
          <w:rFonts w:ascii="Arial" w:eastAsia="Arial" w:hAnsi="Arial" w:cs="Arial"/>
        </w:rPr>
        <w:t xml:space="preserve">(5) Nadležno tijelo informira javnost o rješenjima iz stavka 1. ovoga članka objavom na svojim mrežnim stranicama te ih dostavlja drugoj državi koja je sudjelovala u postupku u skladu s ovim Zakonom, pri čemu nadležno upravno tijelo u županiji odnosno Gradu Zagrebu rješenje odmah dostavlja Ministarstvu i nadležnoj inspekciji, a Ministarstvo ga dostavlja nadležnoj inspekciji.</w:t>
      </w:r>
    </w:p>
    <w:p>
      <w:pPr>
        <w:pBdr/>
        <w:pStyle w:val="Normal"/>
        <w:spacing/>
        <w:ind/>
        <w:rPr>
          <w:rFonts w:ascii="Arial" w:eastAsia="Arial" w:hAnsi="Arial" w:cs="Arial"/>
        </w:rPr>
      </w:pPr>
      <w:r>
        <w:rPr>
          <w:rFonts w:ascii="Arial" w:eastAsia="Arial" w:hAnsi="Arial" w:cs="Arial"/>
        </w:rPr>
        <w:t xml:space="preserve">(6) Protiv rješenja iz stavka 1. ovoga članka koje donosi Ministarstvo žalba nije dopuštena, ali se može pokrenuti upravni spor, a protiv rješenja koje donosi nadležno upravno tijelo u županiji odnosno Gradu Zagrebu može se izjaviti žalba Ministarstvu.</w:t>
      </w:r>
    </w:p>
    <w:p>
      <w:pPr>
        <w:pBdr/>
        <w:pStyle w:val="Normal"/>
        <w:spacing/>
        <w:ind/>
        <w:rPr>
          <w:rFonts w:ascii="Arial" w:eastAsia="Arial" w:hAnsi="Arial" w:cs="Arial"/>
        </w:rPr>
      </w:pPr>
      <w:r>
        <w:rPr>
          <w:rFonts w:ascii="Arial" w:eastAsia="Arial" w:hAnsi="Arial" w:cs="Arial"/>
        </w:rPr>
        <w:t xml:space="preserve">(7) Nositelj zahvata dužan je Ministarstvu odnosno Zavodu i nadležnom tijelu dostavljati rezultate praćenja stanja okoliša iz stavka 4. ovoga članka, uključujući rezultate svih terenskih istraživanja s prostornim podacima, u strojno čitljivom i vektorskom obliku.</w:t>
      </w:r>
    </w:p>
    <w:p>
      <w:pPr>
        <w:pBdr/>
        <w:pStyle w:val="Normal"/>
        <w:spacing/>
        <w:ind/>
        <w:rPr>
          <w:rFonts w:ascii="Arial" w:eastAsia="Arial" w:hAnsi="Arial" w:cs="Arial"/>
        </w:rPr>
      </w:pPr>
    </w:p>
    <w:p>
      <w:pPr>
        <w:pBdr/>
        <w:pStyle w:val="Heading 2"/>
        <w:spacing/>
        <w:ind/>
        <w:rPr/>
      </w:pPr>
      <w:r>
        <w:rPr/>
        <w:t xml:space="preserve">Članak 68.</w:t>
      </w:r>
    </w:p>
    <w:p>
      <w:pPr>
        <w:pBdr/>
        <w:pStyle w:val="Normal"/>
        <w:spacing/>
        <w:ind/>
        <w:rPr>
          <w:rFonts w:ascii="Arial" w:eastAsia="Arial" w:hAnsi="Arial" w:cs="Arial"/>
        </w:rPr>
      </w:pPr>
      <w:r>
        <w:rPr>
          <w:rFonts w:ascii="Arial" w:eastAsia="Arial" w:hAnsi="Arial" w:cs="Arial"/>
        </w:rPr>
        <w:t xml:space="preserve">(1) Mjere zaštite okoliša i/ili program praćenja stanja okoliša utvrđeni rješenjem o prihvatljivosti zahvata za okoliš odnosno rješenjem donesenim u postupku ocjene o potrebi procjene utjecaja zahvata na okoliš obvezni su sadržaj glavnog projekta koji je sastavni dio akta kojim se odobrava građenje ili drugih akata za provedbu zahvata koji se izdaju prema posebnim propisima.</w:t>
      </w:r>
    </w:p>
    <w:p>
      <w:pPr>
        <w:pBdr/>
        <w:pStyle w:val="Normal"/>
        <w:spacing/>
        <w:ind/>
        <w:rPr>
          <w:rFonts w:ascii="Arial" w:eastAsia="Arial" w:hAnsi="Arial" w:cs="Arial"/>
        </w:rPr>
      </w:pPr>
      <w:r>
        <w:rPr>
          <w:rFonts w:ascii="Arial" w:eastAsia="Arial" w:hAnsi="Arial" w:cs="Arial"/>
        </w:rPr>
        <w:t xml:space="preserve">(2) Rješenje kojim se odobrava građenje i drugi akti za provedbu zahvata koji se izdaju prema posebnim propisima iz područja gradnje ništavi su ako ne sadržavaju mjere zaštite okoliša i/ili program praćenja stanja okoliša iz stavka 1. ovoga članka.</w:t>
      </w:r>
    </w:p>
    <w:p>
      <w:pPr>
        <w:pBdr/>
        <w:pStyle w:val="Normal"/>
        <w:spacing/>
        <w:ind/>
        <w:rPr>
          <w:rFonts w:ascii="Arial" w:eastAsia="Arial" w:hAnsi="Arial" w:cs="Arial"/>
        </w:rPr>
      </w:pPr>
    </w:p>
    <w:p>
      <w:pPr>
        <w:pBdr/>
        <w:pStyle w:val="Heading 2"/>
        <w:spacing/>
        <w:ind/>
        <w:rPr/>
      </w:pPr>
      <w:r>
        <w:rPr/>
        <w:t xml:space="preserve">Članak 69.</w:t>
      </w:r>
    </w:p>
    <w:p>
      <w:pPr>
        <w:pBdr/>
        <w:pStyle w:val="Normal"/>
        <w:spacing/>
        <w:ind/>
        <w:rPr>
          <w:rFonts w:ascii="Arial" w:eastAsia="Arial" w:hAnsi="Arial" w:cs="Arial"/>
        </w:rPr>
      </w:pPr>
      <w:r>
        <w:rPr>
          <w:rFonts w:ascii="Arial" w:eastAsia="Arial" w:hAnsi="Arial" w:cs="Arial"/>
        </w:rPr>
        <w:t xml:space="preserve">(1) Ako nadležno tijelo u postupku ocjene o potrebi procjene utjecaja zahvata na okoliš odlučuje i o utjecaju zahvata na ekološku mrežu te isključi mogućnost značajnog negativnog utjecaja na ciljeve očuvanja i cjelovitost područja ekološke mreže, rješenjem iz članka 67. stavka 1. ovoga Zakona utvrdit će da za zahvat nije potrebno provesti glavnu ocjenu prihvatljivosti za ekološku mrežu prema propisu kojim se uređuje zaštita prirode.</w:t>
      </w:r>
    </w:p>
    <w:p>
      <w:pPr>
        <w:pBdr/>
        <w:pStyle w:val="Normal"/>
        <w:spacing/>
        <w:ind/>
        <w:rPr>
          <w:rFonts w:ascii="Arial" w:eastAsia="Arial" w:hAnsi="Arial" w:cs="Arial"/>
        </w:rPr>
      </w:pPr>
      <w:r>
        <w:rPr>
          <w:rFonts w:ascii="Arial" w:eastAsia="Arial" w:hAnsi="Arial" w:cs="Arial"/>
        </w:rPr>
        <w:t xml:space="preserve">(2) Ako se rješenjem iz članka 67. stavka 1. ovoga Zakona utvrdi da za zahvat nije potrebno provesti procjenu utjecaja zahvata na okoliš, a nije isključena mogućnost značajnog negativnog utjecaja zahvata na ciljeve očuvanja i cjelovitost područja ekološke mreže, glavna ocjena prihvatljivosti za ekološku mrežu provodi se zasebno prema propisu kojim se uređuje zaštita prirode.</w:t>
      </w:r>
    </w:p>
    <w:p>
      <w:pPr>
        <w:pBdr/>
        <w:pStyle w:val="Normal"/>
        <w:spacing/>
        <w:ind/>
        <w:rPr>
          <w:rFonts w:ascii="Arial" w:eastAsia="Arial" w:hAnsi="Arial" w:cs="Arial"/>
        </w:rPr>
      </w:pPr>
      <w:r>
        <w:rPr>
          <w:rFonts w:ascii="Arial" w:eastAsia="Arial" w:hAnsi="Arial" w:cs="Arial"/>
        </w:rPr>
        <w:t xml:space="preserve">(3) Ako se rješenjem iz članka 67. stavka 1. ovoga Zakona utvrdi da je za zahvat potrebno provesti procjenu utjecaja zahvata na okoliš, a nije isključena mogućnost značajnog negativnog utjecaja zahvata na ciljeve očuvanja i cjelovitost područja ekološke mreže, glavna ocjena prihvatljivosti za ekološku mrežu provodi se u okviru postupka procjene utjecaja zahvata na okoliš prema propisu kojim se uređuje zaštita prirode.</w:t>
      </w:r>
    </w:p>
    <w:p>
      <w:pPr>
        <w:pBdr/>
        <w:pStyle w:val="Normal"/>
        <w:spacing/>
        <w:ind/>
        <w:rPr>
          <w:rFonts w:ascii="Arial" w:eastAsia="Arial" w:hAnsi="Arial" w:cs="Arial"/>
        </w:rPr>
      </w:pPr>
    </w:p>
    <w:p>
      <w:pPr>
        <w:pBdr/>
        <w:pStyle w:val="Heading 2"/>
        <w:spacing/>
        <w:ind/>
        <w:rPr/>
      </w:pPr>
      <w:r>
        <w:rPr/>
        <w:t xml:space="preserve">Dostava rješenja</w:t>
      </w:r>
    </w:p>
    <w:p>
      <w:pPr>
        <w:pBdr/>
        <w:pStyle w:val="Heading 2"/>
        <w:spacing/>
        <w:ind/>
        <w:rPr/>
      </w:pPr>
      <w:r>
        <w:rPr/>
        <w:t xml:space="preserve">Članak 70.</w:t>
      </w:r>
    </w:p>
    <w:p>
      <w:pPr>
        <w:pBdr/>
        <w:pStyle w:val="Normal"/>
        <w:spacing/>
        <w:ind/>
        <w:rPr>
          <w:rFonts w:ascii="Arial" w:eastAsia="Arial" w:hAnsi="Arial" w:cs="Arial"/>
        </w:rPr>
      </w:pPr>
      <w:r>
        <w:rPr>
          <w:rFonts w:ascii="Arial" w:eastAsia="Arial" w:hAnsi="Arial" w:cs="Arial"/>
        </w:rPr>
        <w:t xml:space="preserve">Rješenje iz članka 66. stavka 1. ovoga Zakona i rješenje iz članka 67. stavka 1. ovoga Zakona dostavlja se nositelju zahvata poštom i objavljuje na mrežnoj stranici nadležnog tijela.</w:t>
      </w:r>
    </w:p>
    <w:p>
      <w:pPr>
        <w:pBdr/>
        <w:pStyle w:val="Normal"/>
        <w:spacing/>
        <w:ind/>
        <w:rPr>
          <w:rFonts w:ascii="Arial" w:eastAsia="Arial" w:hAnsi="Arial" w:cs="Arial"/>
          <w:i/>
        </w:rPr>
      </w:pPr>
    </w:p>
    <w:p>
      <w:pPr>
        <w:pBdr/>
        <w:pStyle w:val="Heading 2"/>
        <w:spacing/>
        <w:ind/>
        <w:rPr/>
      </w:pPr>
      <w:r>
        <w:rPr/>
        <w:t xml:space="preserve">Važenje rješenja i produljenje njihova važenja</w:t>
      </w:r>
    </w:p>
    <w:p>
      <w:pPr>
        <w:pBdr/>
        <w:pStyle w:val="Heading 2"/>
        <w:spacing/>
        <w:ind/>
        <w:rPr/>
      </w:pPr>
      <w:r>
        <w:rPr/>
        <w:t xml:space="preserve">Članak 71.</w:t>
      </w:r>
    </w:p>
    <w:p>
      <w:pPr>
        <w:pBdr/>
        <w:pStyle w:val="Normal"/>
        <w:spacing/>
        <w:ind/>
        <w:rPr>
          <w:rFonts w:ascii="Arial" w:eastAsia="Arial" w:hAnsi="Arial" w:cs="Arial"/>
        </w:rPr>
      </w:pPr>
      <w:r>
        <w:rPr>
          <w:rFonts w:ascii="Arial" w:eastAsia="Arial" w:hAnsi="Arial" w:cs="Arial"/>
        </w:rPr>
        <w:t xml:space="preserve">(1) Rješenje o prihvatljivosti zahvata za okoliš iz članka 66. stavka 1. i rješenje iz članka 67. stavka 1. ovoga Zakona kojim se utvrđuje da za zahvat nije potrebno provesti procjenu utjecaja zahvata na okoliš prestaju važiti ako se u roku od četiri godine od dana njihove izvršnosti ne podnese zahtjev za izdavanje lokacijske dozvole odnosno drugog akta nadležnog tijela prema posebnom propisu iz područja gradnje.</w:t>
      </w:r>
    </w:p>
    <w:p>
      <w:pPr>
        <w:pBdr/>
        <w:pStyle w:val="Normal"/>
        <w:spacing/>
        <w:ind/>
        <w:rPr>
          <w:rFonts w:ascii="Arial" w:eastAsia="Arial" w:hAnsi="Arial" w:cs="Arial"/>
        </w:rPr>
      </w:pPr>
      <w:r>
        <w:rPr>
          <w:rFonts w:ascii="Arial" w:eastAsia="Arial" w:hAnsi="Arial" w:cs="Arial"/>
        </w:rPr>
        <w:t xml:space="preserve">(2) Rješenje kojim se utvrđuje da je za zahvat potrebno provesti procjenu utjecaja zahvata na okoliš iz članka 67. ovoga Zakona prestaje važiti ako se u roku od dvije godine od dana njegove izvršnosti nadležnom tijelu ne podnese zahtjev za provedbu postupka procjene utjecaja zahvata na okoliš.</w:t>
      </w:r>
    </w:p>
    <w:p>
      <w:pPr>
        <w:pBdr/>
        <w:pStyle w:val="Normal"/>
        <w:spacing/>
        <w:ind/>
        <w:rPr>
          <w:rFonts w:ascii="Arial" w:eastAsia="Arial" w:hAnsi="Arial" w:cs="Arial"/>
        </w:rPr>
      </w:pPr>
      <w:r>
        <w:rPr>
          <w:rFonts w:ascii="Arial" w:eastAsia="Arial" w:hAnsi="Arial" w:cs="Arial"/>
        </w:rPr>
        <w:t xml:space="preserve">(3) Važenje rješenja iz stavaka 1. i 2. ovoga članka može se produljiti za još dvije godine ako se nisu promijenili uvjeti utvrđeni u skladu s ovim Zakonom ni drugi uvjeti na temelju kojih je rješenje izdano, o čemu nadležno tijelo odlučuje rješenjem na zahtjev nositelja zahvata podnesen najkasnije do isteka posljednjeg dana važenja rješenja.</w:t>
      </w:r>
    </w:p>
    <w:p>
      <w:pPr>
        <w:pBdr/>
        <w:pStyle w:val="Normal"/>
        <w:spacing/>
        <w:ind/>
        <w:rPr>
          <w:rFonts w:ascii="Arial" w:eastAsia="Arial" w:hAnsi="Arial" w:cs="Arial"/>
        </w:rPr>
      </w:pPr>
      <w:r>
        <w:rPr>
          <w:rFonts w:ascii="Arial" w:eastAsia="Arial" w:hAnsi="Arial" w:cs="Arial"/>
        </w:rPr>
        <w:t xml:space="preserve">(4) Protiv rješenja iz stavka 3. ovoga članka koje donosi Ministarstvo žalba nije dopuštena, ali se može pokrenuti upravni spor, a protiv rješenja koje donosi nadležno upravno tijelo u županiji odnosno Gradu Zagrebu može se izjaviti žalba Ministarstvu.</w:t>
      </w:r>
    </w:p>
    <w:p>
      <w:pPr>
        <w:pBdr/>
        <w:pStyle w:val="Normal"/>
        <w:spacing/>
        <w:ind/>
        <w:rPr>
          <w:rFonts w:ascii="Arial" w:eastAsia="Arial" w:hAnsi="Arial" w:cs="Arial"/>
        </w:rPr>
      </w:pPr>
    </w:p>
    <w:p>
      <w:pPr>
        <w:pBdr/>
        <w:pStyle w:val="Heading 2"/>
        <w:spacing/>
        <w:ind/>
        <w:rPr/>
      </w:pPr>
      <w:r>
        <w:rPr/>
        <w:t xml:space="preserve">Članak 72.</w:t>
      </w:r>
    </w:p>
    <w:p>
      <w:pPr>
        <w:pBdr/>
        <w:pStyle w:val="Normal"/>
        <w:spacing/>
        <w:ind/>
        <w:rPr>
          <w:rFonts w:ascii="Arial" w:eastAsia="Arial" w:hAnsi="Arial" w:cs="Arial"/>
        </w:rPr>
      </w:pPr>
      <w:r>
        <w:rPr>
          <w:rFonts w:ascii="Arial" w:eastAsia="Arial" w:hAnsi="Arial" w:cs="Arial"/>
        </w:rPr>
        <w:t xml:space="preserve">(1) Nadležno tijelo koje je donijelo rješenje iz članka 66. stavka 1. ili članka 67. stavka 1. ovoga Zakona mišljenjem utvrđuje značajnost izmjene zahvata s obzirom na njezin utjecaj na okoliš.</w:t>
      </w:r>
    </w:p>
    <w:p>
      <w:pPr>
        <w:pBdr/>
        <w:pStyle w:val="Normal"/>
        <w:spacing/>
        <w:ind/>
        <w:rPr>
          <w:rFonts w:ascii="Arial" w:eastAsia="Arial" w:hAnsi="Arial" w:cs="Arial"/>
        </w:rPr>
      </w:pPr>
      <w:r>
        <w:rPr>
          <w:rFonts w:ascii="Arial" w:eastAsia="Arial" w:hAnsi="Arial" w:cs="Arial"/>
        </w:rPr>
        <w:t xml:space="preserve">(2) U slučaju značajnih izmjena ili dopuna zahvata odnosno izmjene propisanih mjera zaštite okoliša i/ili programa praćenja stanja okoliša za zahvat za koji je izdano rješenje iz članka 66. stavka 1. ovoga Zakona ili članka 67. stavka 1. ovoga Zakona, nositelj zahvata obvezan je prije podnošenja zahtjeva za izdavanje lokacijske dozvole, odnosno drugog odobrenja za zahvat, podnijeti zahtjev radi provedbe postupka iz članka 59. ovoga Zakona, o kojemu odlučuje tijelo koje je donijelo to rješenje.</w:t>
      </w:r>
    </w:p>
    <w:p>
      <w:pPr>
        <w:pBdr/>
        <w:pStyle w:val="Normal"/>
        <w:spacing/>
        <w:ind/>
        <w:rPr>
          <w:rFonts w:ascii="Arial" w:eastAsia="Arial" w:hAnsi="Arial" w:cs="Arial"/>
        </w:rPr>
      </w:pPr>
      <w:r>
        <w:rPr>
          <w:rFonts w:ascii="Arial" w:eastAsia="Arial" w:hAnsi="Arial" w:cs="Arial"/>
        </w:rPr>
        <w:t xml:space="preserve">(3) Ako su rješenjem iz članka 66. stavka 1. ovoga Zakona propisane mjere ublažavanja negativnih utjecaja na ciljeve očuvanja i cjelovitost područja ekološke mreže te program praćenja stanja i izvješćivanja, a rezultati provedenog programa praćenja i izvješćivanja pokažu potrebu za uvođenjem dodatnih mjera ili prilagodbom postojećih mjera, nadležno tijelo za zaštitu prirode će po službenoj dužnosti rješenjem utvrditi primjenu tih mjera primjenom posebnog propisa kojim se uređuje zaštita prirode. </w:t>
      </w:r>
    </w:p>
    <w:p>
      <w:pPr>
        <w:pBdr/>
        <w:pStyle w:val="Normal"/>
        <w:spacing/>
        <w:ind/>
        <w:rPr>
          <w:rFonts w:ascii="Arial" w:eastAsia="Arial" w:hAnsi="Arial" w:cs="Arial"/>
        </w:rPr>
      </w:pPr>
      <w:r>
        <w:rPr>
          <w:rFonts w:ascii="Arial" w:eastAsia="Arial" w:hAnsi="Arial" w:cs="Arial"/>
        </w:rPr>
        <w:t xml:space="preserve">(4) Ako se u postupku iz članka 59. ovoga Zakona, provedenom zbog izmjene ili dopune zahvata iz stavka 2. ovoga članka, utvrdi potreba izmjene ili dopune mjera ublažavanja negativnih utjecaja na ciljeve očuvanja i cjelovitost područja ekološke mreže odnosno programa praćenja i izvješćivanja, tijelo nadležno za zaštitu prirode donosi rješenje kojim se te mjere odnosno program mijenjaju ili dopunjuju. </w:t>
      </w:r>
    </w:p>
    <w:p>
      <w:pPr>
        <w:pBdr/>
        <w:pStyle w:val="Normal"/>
        <w:spacing/>
        <w:ind/>
        <w:rPr>
          <w:rFonts w:ascii="Arial" w:eastAsia="Arial" w:hAnsi="Arial" w:cs="Arial"/>
          <w:iCs/>
        </w:rPr>
      </w:pPr>
      <w:r>
        <w:rPr>
          <w:rFonts w:ascii="Arial" w:eastAsia="Arial" w:hAnsi="Arial" w:cs="Arial"/>
          <w:iCs/>
        </w:rPr>
        <w:t xml:space="preserve">(5) Protiv rješenja iz stavaka 3. i 4. ovoga članka koje donosi Ministarstvo žalba nije dopuštena, ali se može pokrenuti upravni spor, a protiv rješenja koje donosi nadležno upravno tijelo u županiji odnosno Gradu Zagrebu može se izjaviti žalba Ministarstvu.</w:t>
      </w:r>
    </w:p>
    <w:p>
      <w:pPr>
        <w:pBdr/>
        <w:pStyle w:val="Normal"/>
        <w:spacing/>
        <w:ind/>
        <w:rPr>
          <w:rFonts w:ascii="Arial" w:eastAsia="Arial" w:hAnsi="Arial" w:cs="Arial"/>
        </w:rPr>
      </w:pPr>
    </w:p>
    <w:p>
      <w:pPr>
        <w:pBdr/>
        <w:pStyle w:val="Heading 2"/>
        <w:spacing/>
        <w:ind/>
        <w:rPr/>
      </w:pPr>
      <w:r>
        <w:rPr/>
        <w:t xml:space="preserve">Obavještavanje druge države o zahvatu</w:t>
      </w:r>
    </w:p>
    <w:p>
      <w:pPr>
        <w:pBdr/>
        <w:pStyle w:val="Heading 2"/>
        <w:spacing/>
        <w:ind/>
        <w:rPr/>
      </w:pPr>
      <w:r>
        <w:rPr/>
        <w:t xml:space="preserve">Članak 73.</w:t>
      </w:r>
    </w:p>
    <w:p>
      <w:pPr>
        <w:pBdr/>
        <w:pStyle w:val="Normal"/>
        <w:spacing/>
        <w:ind/>
        <w:rPr>
          <w:rFonts w:ascii="Arial" w:eastAsia="Arial" w:hAnsi="Arial" w:cs="Arial"/>
        </w:rPr>
      </w:pPr>
      <w:r>
        <w:rPr>
          <w:rFonts w:ascii="Arial" w:eastAsia="Arial" w:hAnsi="Arial" w:cs="Arial"/>
        </w:rPr>
        <w:t xml:space="preserve">(1) Ako Ministarstvo odnosno nadležno upravno tijelo u županiji odnosno Gradu Zagrebu nakon primitka zahtjeva za ocjenu o potrebi procjene utjecaja zahvata na okoliš ili zahtjeva za procjenu utjecaja zahvata na okoliš procijeni da bi zahvat mogao znatnije utjecati na okoliš druge države, dužno je odmah dostaviti nadležnom tijelu druge države obavijest o podnesenom zahtjevu.</w:t>
      </w:r>
    </w:p>
    <w:p>
      <w:pPr>
        <w:pBdr/>
        <w:pStyle w:val="Normal"/>
        <w:spacing/>
        <w:ind/>
        <w:rPr>
          <w:rFonts w:ascii="Arial" w:eastAsia="Arial" w:hAnsi="Arial" w:cs="Arial"/>
        </w:rPr>
      </w:pPr>
      <w:r>
        <w:rPr>
          <w:rFonts w:ascii="Arial" w:eastAsia="Arial" w:hAnsi="Arial" w:cs="Arial"/>
        </w:rPr>
        <w:t xml:space="preserve">(2) Ministarstvo dostavlja obavijest iz stavka 1. ovoga članka i na zahtjev druge države, najkasnije kada o primitku zahtjeva informira javnost u Republici Hrvatskoj.</w:t>
      </w:r>
    </w:p>
    <w:p>
      <w:pPr>
        <w:pBdr/>
        <w:pStyle w:val="Normal"/>
        <w:spacing/>
        <w:ind/>
        <w:rPr>
          <w:rFonts w:ascii="Arial" w:eastAsia="Arial" w:hAnsi="Arial" w:cs="Arial"/>
        </w:rPr>
      </w:pPr>
      <w:r>
        <w:rPr>
          <w:rFonts w:ascii="Arial" w:eastAsia="Arial" w:hAnsi="Arial" w:cs="Arial"/>
        </w:rPr>
        <w:t xml:space="preserve">(3) Nadležno upravno tijelo u županiji odnosno Gradu Zagrebu koje vodi postupak za zahvate propisane uredbom iz članka 56. stavka 4. ovoga Zakona dužno je odmah dostaviti predmet Ministarstvu na daljnje postupanje ako procijeni da bi zahvat mogao znatnije utjecati na okoliš druge države.</w:t>
      </w:r>
    </w:p>
    <w:p>
      <w:pPr>
        <w:pBdr/>
        <w:pStyle w:val="Normal"/>
        <w:spacing/>
        <w:ind/>
        <w:rPr>
          <w:rFonts w:ascii="Arial" w:eastAsia="Arial" w:hAnsi="Arial" w:cs="Arial"/>
        </w:rPr>
      </w:pPr>
      <w:r>
        <w:rPr>
          <w:rFonts w:ascii="Arial" w:eastAsia="Arial" w:hAnsi="Arial" w:cs="Arial"/>
        </w:rPr>
        <w:t xml:space="preserve">(4) Obavijest iz stavka 1. ovoga članka sadržava opis zahvata, raspoložive podatke o njegovim mogućim utjecajima na okoliš, informaciju o postupku koji se provodi te rok u kojem druga država treba obavijestiti Ministarstvo o namjeri sudjelovanja u postupku procjene utjecaja zahvata na okoliš.</w:t>
      </w:r>
    </w:p>
    <w:p>
      <w:pPr>
        <w:pBdr/>
        <w:pStyle w:val="Normal"/>
        <w:spacing/>
        <w:ind/>
        <w:rPr>
          <w:rFonts w:ascii="Arial" w:eastAsia="Arial" w:hAnsi="Arial" w:cs="Arial"/>
        </w:rPr>
      </w:pPr>
      <w:r>
        <w:rPr>
          <w:rFonts w:ascii="Arial" w:eastAsia="Arial" w:hAnsi="Arial" w:cs="Arial"/>
        </w:rPr>
        <w:t xml:space="preserve">(5) Ako druga država obavijesti Ministarstvo o namjeri sudjelovanja u postupku procjene utjecaja zahvata na okoliš, Ministarstvo provodi postupak u skladu s Konvencijom o procjeni utjecaja na okoliš preko državnih granica.</w:t>
      </w:r>
    </w:p>
    <w:p>
      <w:pPr>
        <w:pBdr/>
        <w:pStyle w:val="Normal"/>
        <w:spacing/>
        <w:ind/>
        <w:rPr>
          <w:rFonts w:ascii="Arial" w:eastAsia="Arial" w:hAnsi="Arial" w:cs="Arial"/>
        </w:rPr>
      </w:pPr>
    </w:p>
    <w:p>
      <w:pPr>
        <w:pBdr/>
        <w:pStyle w:val="Heading 2"/>
        <w:spacing/>
        <w:ind/>
        <w:rPr/>
      </w:pPr>
      <w:r>
        <w:rPr/>
        <w:t xml:space="preserve">Sudjelovanje u postupku procjene utjecaja zahvata na okoliš u drugoj državi</w:t>
      </w:r>
    </w:p>
    <w:p>
      <w:pPr>
        <w:pBdr/>
        <w:pStyle w:val="Heading 2"/>
        <w:spacing/>
        <w:ind/>
        <w:rPr/>
      </w:pPr>
      <w:r>
        <w:rPr/>
        <w:t xml:space="preserve">Članak 74.</w:t>
      </w:r>
    </w:p>
    <w:p>
      <w:pPr>
        <w:pBdr/>
        <w:pStyle w:val="Normal"/>
        <w:spacing/>
        <w:ind/>
        <w:rPr>
          <w:rFonts w:ascii="Arial" w:eastAsia="Arial" w:hAnsi="Arial" w:cs="Arial"/>
        </w:rPr>
      </w:pPr>
      <w:r>
        <w:rPr>
          <w:rFonts w:ascii="Arial" w:eastAsia="Arial" w:hAnsi="Arial" w:cs="Arial"/>
        </w:rPr>
        <w:t xml:space="preserve">(1) Ako Ministarstvo utvrdi da bi zahvat na području druge države mogao znatnije utjecati na okoliš u Republici Hrvatskoj ili zaprimi obavijest druge države odnosno informaciju iz drugog izvora o takvom zahvatu, obavijestit će drugu državu o namjeri sudjelovanja u postupku procjene utjecaja zahvata na okoliš te, prema potrebi, o provedbi konzultacija o vjerojatnim prekograničnim utjecajima planiranog zahvata.</w:t>
      </w:r>
    </w:p>
    <w:p>
      <w:pPr>
        <w:pBdr/>
        <w:pStyle w:val="Normal"/>
        <w:spacing/>
        <w:ind/>
        <w:rPr>
          <w:rFonts w:ascii="Arial" w:eastAsia="Arial" w:hAnsi="Arial" w:cs="Arial"/>
        </w:rPr>
      </w:pPr>
      <w:r>
        <w:rPr>
          <w:rFonts w:ascii="Arial" w:eastAsia="Arial" w:hAnsi="Arial" w:cs="Arial"/>
        </w:rPr>
        <w:t xml:space="preserve">(2) Ako Ministarstvo odluči sudjelovati u postupku procjene utjecaja zahvata na okoliš u drugoj državi, dužno je odmah dostaviti podatke o zahvatu na mišljenje tijelima određenim posebnim propisom i nadležnom upravnom tijelu u županiji odnosno Gradu Zagrebu na čije bi područje zahvat mogao utjecati te osigurati informiranje i sudjelovanje javnosti i zainteresirane javnosti u skladu s ovim Zakonom.</w:t>
      </w:r>
    </w:p>
    <w:p>
      <w:pPr>
        <w:pBdr/>
        <w:pStyle w:val="Normal"/>
        <w:spacing/>
        <w:ind/>
        <w:rPr>
          <w:rFonts w:ascii="Arial" w:eastAsia="Arial" w:hAnsi="Arial" w:cs="Arial"/>
        </w:rPr>
      </w:pPr>
      <w:r>
        <w:rPr>
          <w:rFonts w:ascii="Arial" w:eastAsia="Arial" w:hAnsi="Arial" w:cs="Arial"/>
        </w:rPr>
        <w:t xml:space="preserve">(3) Nakon primitka mišljenja iz stavka 2. ovoga članka Ministarstvo izrađuje jedinstveno mišljenje, uzimajući u obzir rezultate prekograničnih konzultacija i primjedbe javnosti i zainteresirane javnosti, te ga u dogovorenom roku dostavlja nadležnom tijelu druge države.</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11" w:id="8"/>
      <w:r>
        <w:rPr>
          <w:rFonts w:ascii="Arial" w:eastAsia="Arial" w:hAnsi="Arial" w:cs="Arial"/>
          <w:szCs w:val="24"/>
        </w:rPr>
        <w:t xml:space="preserve">GLAVA IV. </w:t>
      </w:r>
      <w:bookmarkEnd w:id="8"/>
      <w:r>
        <w:rPr>
          <w:rFonts w:ascii="Arial" w:eastAsia="Arial" w:hAnsi="Arial" w:cs="Arial"/>
          <w:szCs w:val="24"/>
        </w:rPr>
        <w:t xml:space="preserve">OKOLIŠNA DOZVOLA</w:t>
      </w:r>
    </w:p>
    <w:p>
      <w:pPr>
        <w:pBdr/>
        <w:pStyle w:val="Heading 1"/>
        <w:spacing/>
        <w:ind/>
        <w:rPr>
          <w:rFonts w:ascii="Arial" w:eastAsia="Arial" w:hAnsi="Arial" w:cs="Arial"/>
          <w:szCs w:val="24"/>
        </w:rPr>
      </w:pPr>
      <w:r>
        <w:rPr>
          <w:rFonts w:ascii="Arial" w:eastAsia="Arial" w:hAnsi="Arial" w:cs="Arial"/>
          <w:szCs w:val="24"/>
        </w:rPr>
        <w:t xml:space="preserve">POGLAVLJE I. OPĆE ODREDBE O OKOLIŠNOJ DOZVOLI</w:t>
      </w:r>
    </w:p>
    <w:p>
      <w:pPr>
        <w:pBdr/>
        <w:pStyle w:val="Heading 2"/>
        <w:spacing/>
        <w:ind/>
        <w:rPr/>
      </w:pPr>
      <w:r>
        <w:rPr/>
        <w:t xml:space="preserve">Svrha i predmet okolišne dozvole</w:t>
      </w:r>
    </w:p>
    <w:p>
      <w:pPr>
        <w:pBdr/>
        <w:pStyle w:val="Heading 2"/>
        <w:spacing/>
        <w:ind/>
        <w:rPr/>
      </w:pPr>
      <w:r>
        <w:rPr/>
        <w:t xml:space="preserve">Članak 75.</w:t>
      </w:r>
    </w:p>
    <w:p>
      <w:pPr>
        <w:pBdr/>
        <w:pStyle w:val="Normal"/>
        <w:spacing/>
        <w:ind/>
        <w:rPr>
          <w:rFonts w:ascii="Arial" w:eastAsia="Arial" w:hAnsi="Arial" w:cs="Arial"/>
        </w:rPr>
      </w:pPr>
      <w:r>
        <w:rPr>
          <w:rFonts w:ascii="Arial" w:eastAsia="Arial" w:hAnsi="Arial" w:cs="Arial"/>
        </w:rPr>
        <w:t xml:space="preserve">(1) Okolišna dozvola izdaje se s ciljem osiguravanja visoke razine zaštite zdravlja ljudi i okoliša u cjelini putem integriranog sprječavanja i kontrole onečišćenja koje nastaje obavljanjem industrijskih djelatnosti.</w:t>
      </w:r>
    </w:p>
    <w:p>
      <w:pPr>
        <w:pBdr/>
        <w:pStyle w:val="Normal"/>
        <w:spacing/>
        <w:ind/>
        <w:rPr>
          <w:rFonts w:ascii="Arial" w:eastAsia="Arial" w:hAnsi="Arial" w:cs="Arial"/>
        </w:rPr>
      </w:pPr>
      <w:r>
        <w:rPr>
          <w:rFonts w:ascii="Arial" w:eastAsia="Arial" w:hAnsi="Arial" w:cs="Arial"/>
        </w:rPr>
        <w:t xml:space="preserve">(2) Okolišnom dozvolom određuju se mjere i uvjeti radi sprječavanja emisija u zrak, vode i tlo ili, ako to nije izvedivo, njihova kontinuiranog smanjenja, sprječavanje nastanka otpada, učinkovitijeg korištenja resursa te promicanja kružnog gospodarstva i dekarbonizacije. </w:t>
      </w:r>
    </w:p>
    <w:p>
      <w:pPr>
        <w:pBdr/>
        <w:pStyle w:val="Normal"/>
        <w:spacing/>
        <w:ind/>
        <w:rPr>
          <w:rFonts w:ascii="Arial" w:eastAsia="Arial" w:hAnsi="Arial" w:cs="Arial"/>
        </w:rPr>
      </w:pPr>
    </w:p>
    <w:p>
      <w:pPr>
        <w:pBdr/>
        <w:pStyle w:val="Heading 2"/>
        <w:spacing/>
        <w:ind/>
        <w:rPr/>
      </w:pPr>
      <w:r>
        <w:rPr/>
        <w:t xml:space="preserve">Obveza ishođenja okolišne dozvole</w:t>
      </w:r>
    </w:p>
    <w:p>
      <w:pPr>
        <w:pBdr/>
        <w:pStyle w:val="Heading 2"/>
        <w:spacing/>
        <w:ind/>
        <w:rPr/>
      </w:pPr>
      <w:r>
        <w:rPr/>
        <w:t xml:space="preserve">Članak 76.</w:t>
      </w:r>
    </w:p>
    <w:p>
      <w:pPr>
        <w:pBdr/>
        <w:pStyle w:val="Normal"/>
        <w:spacing/>
        <w:ind/>
        <w:rPr>
          <w:rFonts w:ascii="Arial" w:eastAsia="Arial" w:hAnsi="Arial" w:cs="Arial"/>
        </w:rPr>
      </w:pPr>
      <w:r>
        <w:rPr>
          <w:rFonts w:ascii="Arial" w:eastAsia="Arial" w:hAnsi="Arial" w:cs="Arial"/>
        </w:rPr>
        <w:t xml:space="preserve">(1) Operater je dužan ishoditi okolišnu dozvolu u skladu s ovim Zakonom i uredbom iz stavka 5. ovoga članka prije puštanja u rad novog postrojenja, uključujući probni rad, te prije značajne promjene u radu postojećeg postrojenja. </w:t>
      </w:r>
    </w:p>
    <w:p>
      <w:pPr>
        <w:pBdr/>
        <w:pStyle w:val="Normal"/>
        <w:spacing/>
        <w:ind/>
        <w:rPr>
          <w:rFonts w:ascii="Arial" w:eastAsia="Arial" w:hAnsi="Arial" w:cs="Arial"/>
        </w:rPr>
      </w:pPr>
      <w:r>
        <w:rPr>
          <w:rFonts w:ascii="Arial" w:eastAsia="Arial" w:hAnsi="Arial" w:cs="Arial"/>
        </w:rPr>
        <w:t xml:space="preserve">(2) Popis djelatnosti kojima se mogu prouzročiti industrijske emisije i pragovi kapaciteta za koje je operater dužan ishoditi okolišnu dozvolu utvrđuju se uredbom iz stavka 5. ovoga članka. </w:t>
      </w:r>
    </w:p>
    <w:p>
      <w:pPr>
        <w:pBdr/>
        <w:pStyle w:val="Normal"/>
        <w:spacing/>
        <w:ind/>
        <w:rPr>
          <w:rFonts w:ascii="Arial" w:eastAsia="Arial" w:hAnsi="Arial" w:cs="Arial"/>
        </w:rPr>
      </w:pPr>
      <w:r>
        <w:rPr>
          <w:rFonts w:ascii="Arial" w:eastAsia="Arial" w:hAnsi="Arial" w:cs="Arial"/>
        </w:rPr>
        <w:t xml:space="preserve">(3) Postrojenje ne smije započeti s radom, uključujući probni rad, niti raditi bez izvršne okolišne dozvole.</w:t>
      </w:r>
    </w:p>
    <w:p>
      <w:pPr>
        <w:pBdr/>
        <w:pStyle w:val="Normal"/>
        <w:spacing/>
        <w:ind/>
        <w:rPr>
          <w:rFonts w:ascii="Arial" w:eastAsia="Arial" w:hAnsi="Arial" w:cs="Arial"/>
        </w:rPr>
      </w:pPr>
      <w:r>
        <w:rPr>
          <w:rFonts w:ascii="Arial" w:eastAsia="Arial" w:hAnsi="Arial" w:cs="Arial"/>
        </w:rPr>
        <w:t xml:space="preserve">(4) Svaka promjena u karakteristikama ili funkcioniranju postrojenja ili proširenje postrojenja smatra se značajnom ako promjena ili proširenje sami po sebi dosegnu pragove kapaciteta utvrđene uredbom iz stavka 5. ovoga članka.</w:t>
      </w:r>
    </w:p>
    <w:p>
      <w:pPr>
        <w:pBdr/>
        <w:pStyle w:val="Normal"/>
        <w:spacing/>
        <w:ind/>
        <w:rPr>
          <w:rFonts w:ascii="Arial" w:eastAsia="Arial" w:hAnsi="Arial" w:cs="Arial"/>
        </w:rPr>
      </w:pPr>
      <w:r>
        <w:rPr>
          <w:rFonts w:ascii="Arial" w:eastAsia="Arial" w:hAnsi="Arial" w:cs="Arial"/>
        </w:rPr>
        <w:t xml:space="preserve">(5) Popis djelatnosti kojima se mogu prouzročiti industrijske emisije i pragove kapaciteta za koje se ishodi okolišna dozvola, pobliže uređivanje načina sudjelovanja nadležnih tijela i/ili osoba  u postupcima okolišne dozvole, sadržaj obrazaca za mišljenja nadležnih tijela i/ili osoba, tehničke kriterije za određivanje NRT-</w:t>
      </w:r>
      <w:r>
        <w:rPr>
          <w:rFonts w:ascii="Arial" w:eastAsia="Arial" w:hAnsi="Arial" w:cs="Arial"/>
        </w:rPr>
        <w:t xml:space="preserve">a i način njihove primjene, način primjene zaključaka o NRT-</w:t>
      </w:r>
      <w:r>
        <w:rPr>
          <w:rFonts w:ascii="Arial" w:eastAsia="Arial" w:hAnsi="Arial" w:cs="Arial"/>
        </w:rPr>
        <w:t xml:space="preserve">u, način primjene posebnih propisa kojima se uređuje zaštita pojedinih sastavnica okoliša i zaštita od opterećenja okoliša pri utvrđivanju uvjeta u okolišnoj dozvoli, pobližu razradu sadržaja Knjige uvjeta utvrđene Dodatkom II. ovoga Zakona, postupak i način primjene općih obvezujućih pravila Vlada pobliže uređuje uredbom.</w:t>
      </w:r>
    </w:p>
    <w:p>
      <w:pPr>
        <w:pBdr/>
        <w:pStyle w:val="Normal"/>
        <w:spacing/>
        <w:ind/>
        <w:rPr>
          <w:rFonts w:ascii="Arial" w:eastAsia="Arial" w:hAnsi="Arial" w:cs="Arial"/>
        </w:rPr>
      </w:pPr>
    </w:p>
    <w:p>
      <w:pPr>
        <w:pBdr/>
        <w:pStyle w:val="Heading 2"/>
        <w:spacing/>
        <w:ind/>
        <w:rPr/>
      </w:pPr>
      <w:r>
        <w:rPr/>
        <w:t xml:space="preserve">Izuzeće od primjene</w:t>
      </w:r>
    </w:p>
    <w:p>
      <w:pPr>
        <w:pBdr/>
        <w:pStyle w:val="Heading 2"/>
        <w:spacing/>
        <w:ind/>
        <w:rPr/>
      </w:pPr>
      <w:r>
        <w:rPr/>
        <w:t xml:space="preserve">Članak 77.</w:t>
      </w:r>
    </w:p>
    <w:p>
      <w:pPr>
        <w:pBdr/>
        <w:pStyle w:val="Normal"/>
        <w:spacing/>
        <w:ind/>
        <w:rPr>
          <w:rFonts w:ascii="Arial" w:eastAsia="Arial" w:hAnsi="Arial" w:cs="Arial"/>
        </w:rPr>
      </w:pPr>
      <w:r>
        <w:rPr>
          <w:rFonts w:ascii="Arial" w:eastAsia="Arial" w:hAnsi="Arial" w:cs="Arial"/>
        </w:rPr>
        <w:t xml:space="preserve">Odredbe ove Glave ne primjenjuju se na istraživačke i razvojne aktivnosti ni na testiranje novih proizvoda i postupaka.</w:t>
      </w:r>
    </w:p>
    <w:p>
      <w:pPr>
        <w:pBdr/>
        <w:pStyle w:val="Normal"/>
        <w:spacing/>
        <w:ind/>
        <w:rPr>
          <w:rFonts w:ascii="Arial" w:eastAsia="Arial" w:hAnsi="Arial" w:cs="Arial"/>
        </w:rPr>
      </w:pPr>
    </w:p>
    <w:p>
      <w:pPr>
        <w:pBdr/>
        <w:pStyle w:val="Heading 2"/>
        <w:spacing/>
        <w:ind/>
        <w:rPr/>
      </w:pPr>
      <w:r>
        <w:rPr/>
        <w:t xml:space="preserve">Emisije stakleničkih plinova</w:t>
      </w:r>
    </w:p>
    <w:p>
      <w:pPr>
        <w:pBdr/>
        <w:pStyle w:val="Heading 2"/>
        <w:spacing/>
        <w:ind/>
        <w:rPr/>
      </w:pPr>
      <w:r>
        <w:rPr/>
        <w:t xml:space="preserve">Članak 78.</w:t>
      </w:r>
    </w:p>
    <w:p>
      <w:pPr>
        <w:pBdr/>
        <w:pStyle w:val="Normal"/>
        <w:spacing/>
        <w:ind/>
        <w:rPr>
          <w:rFonts w:ascii="Arial" w:eastAsia="Arial" w:hAnsi="Arial" w:cs="Arial"/>
        </w:rPr>
      </w:pPr>
      <w:r>
        <w:rPr>
          <w:rFonts w:ascii="Arial" w:eastAsia="Arial" w:hAnsi="Arial" w:cs="Arial"/>
        </w:rPr>
        <w:t xml:space="preserve">(1) Ako su emisije određenog stakleničkog plina iz postrojenja obuhvaćene propisom kojim se uređuje sustav trgovanja emisijama stakleničkih plinova u odnosu na djelatnost koja se obavlja u tom postrojenju, okolišna dozvola ne sadržava granične vrijednosti za izravne emisije tog plina, osim ako je to  potrebno radi sprječavanja značajnog lokalnog onečišćenja.</w:t>
      </w:r>
    </w:p>
    <w:p>
      <w:pPr>
        <w:pBdr/>
        <w:pStyle w:val="Normal"/>
        <w:spacing/>
        <w:ind/>
        <w:rPr>
          <w:rFonts w:ascii="Arial" w:eastAsia="Arial" w:hAnsi="Arial" w:cs="Arial"/>
        </w:rPr>
      </w:pPr>
      <w:r>
        <w:rPr>
          <w:rFonts w:ascii="Arial" w:eastAsia="Arial" w:hAnsi="Arial" w:cs="Arial"/>
        </w:rPr>
        <w:t xml:space="preserve">(2) Za postrojenja na koja se primjenjuje propis iz stavka 1. ovoga članka, u dijelu koji se odnosi na energetsku učinkovitost jedinica za loženje ili drugih jedinica na lokaciji postrojenja koje ispuštaju ugljikov dioksid, okolišna dozvola ne sadržava granične vrijednosti okolišne učinkovitosti iz točke 2.2. Dodatka II. ovoga Zakona niti zahtjeve iz članka 104. ovoga Zakona. </w:t>
      </w:r>
    </w:p>
    <w:p>
      <w:pPr>
        <w:pBdr/>
        <w:pStyle w:val="Normal"/>
        <w:spacing/>
        <w:ind/>
        <w:rPr>
          <w:rFonts w:ascii="Arial" w:eastAsia="Arial" w:hAnsi="Arial" w:cs="Arial"/>
        </w:rPr>
      </w:pPr>
      <w:r>
        <w:rPr>
          <w:rFonts w:ascii="Arial" w:eastAsia="Arial" w:hAnsi="Arial" w:cs="Arial"/>
        </w:rPr>
        <w:t xml:space="preserve">(3) Odredbe stavaka 1. i 2. ovoga članka ne primjenjuju se na postrojenja koja su privremeno isključena iz sustava trgovanja emisijama stakleničkih plinova u skladu s propisom iz stavka 1. ovoga članka.</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POGLAVLJE II. OSNOVNE OBVEZE OPERATERA I SUSTAV UPRAVLJANJA OKOLIŠEM</w:t>
      </w:r>
    </w:p>
    <w:p>
      <w:pPr>
        <w:pBdr/>
        <w:pStyle w:val="Heading 2"/>
        <w:spacing/>
        <w:ind/>
        <w:rPr/>
      </w:pPr>
      <w:r>
        <w:rPr/>
        <w:t xml:space="preserve">Osnovne obveze operatera</w:t>
      </w:r>
    </w:p>
    <w:p>
      <w:pPr>
        <w:pBdr/>
        <w:pStyle w:val="Heading 2"/>
        <w:spacing/>
        <w:ind/>
        <w:rPr/>
      </w:pPr>
      <w:r>
        <w:rPr/>
        <w:t xml:space="preserve">Članak 79.</w:t>
      </w:r>
    </w:p>
    <w:p>
      <w:pPr>
        <w:pBdr/>
        <w:pStyle w:val="Normal"/>
        <w:spacing/>
        <w:ind/>
        <w:rPr>
          <w:rFonts w:ascii="Arial" w:eastAsia="Arial" w:hAnsi="Arial" w:cs="Arial"/>
        </w:rPr>
      </w:pPr>
      <w:r>
        <w:rPr>
          <w:rFonts w:ascii="Arial" w:eastAsia="Arial" w:hAnsi="Arial" w:cs="Arial"/>
        </w:rPr>
        <w:t xml:space="preserve">Radi integriranog sprječavanja i kontrole onečišćenja operater je dužan pri obavljanju djelatnosti u postrojenju osigurati:</w:t>
      </w:r>
    </w:p>
    <w:p>
      <w:pPr>
        <w:pBdr/>
        <w:pStyle w:val="Normal"/>
        <w:spacing/>
        <w:ind/>
        <w:rPr>
          <w:rFonts w:ascii="Arial" w:eastAsia="Arial" w:hAnsi="Arial" w:cs="Arial"/>
        </w:rPr>
      </w:pPr>
      <w:r>
        <w:rPr>
          <w:rFonts w:ascii="Arial" w:eastAsia="Arial" w:hAnsi="Arial" w:cs="Arial"/>
        </w:rPr>
        <w:t xml:space="preserve">- poduzimanje svih potrebnih mjera za sprječavanje onečišćenja, uključujući mjere propisane propisima kojima se uređuje zaštita okoliša, zaštita pojedinih sastavnica okoliša, zaštita od opterećenja okoliša i upravljanje kemikalijama te mjere utvrđene aktima donesenima na temelju tih propisa</w:t>
      </w:r>
    </w:p>
    <w:p>
      <w:pPr>
        <w:pBdr/>
        <w:pStyle w:val="Normal"/>
        <w:spacing/>
        <w:ind/>
        <w:rPr>
          <w:rFonts w:ascii="Arial" w:eastAsia="Arial" w:hAnsi="Arial" w:cs="Arial"/>
        </w:rPr>
      </w:pPr>
      <w:r>
        <w:rPr>
          <w:rFonts w:ascii="Arial" w:eastAsia="Arial" w:hAnsi="Arial" w:cs="Arial"/>
        </w:rPr>
        <w:t xml:space="preserve">– primjenu NRT-</w:t>
      </w:r>
      <w:r>
        <w:rPr>
          <w:rFonts w:ascii="Arial" w:eastAsia="Arial" w:hAnsi="Arial" w:cs="Arial"/>
        </w:rPr>
        <w:t xml:space="preserve">a</w:t>
      </w:r>
    </w:p>
    <w:p>
      <w:pPr>
        <w:pBdr/>
        <w:pStyle w:val="Normal"/>
        <w:spacing/>
        <w:ind/>
        <w:rPr>
          <w:rFonts w:ascii="Arial" w:eastAsia="Arial" w:hAnsi="Arial" w:cs="Arial"/>
        </w:rPr>
      </w:pPr>
      <w:r>
        <w:rPr>
          <w:rFonts w:ascii="Arial" w:eastAsia="Arial" w:hAnsi="Arial" w:cs="Arial"/>
        </w:rPr>
        <w:t xml:space="preserve">– da ne uzrokuje značajno onečišćenje okoliša</w:t>
      </w:r>
    </w:p>
    <w:p>
      <w:pPr>
        <w:pBdr/>
        <w:pStyle w:val="Normal"/>
        <w:spacing/>
        <w:ind/>
        <w:rPr>
          <w:rFonts w:ascii="Arial" w:eastAsia="Arial" w:hAnsi="Arial" w:cs="Arial"/>
        </w:rPr>
      </w:pPr>
      <w:r>
        <w:rPr>
          <w:rFonts w:ascii="Arial" w:eastAsia="Arial" w:hAnsi="Arial" w:cs="Arial"/>
        </w:rPr>
        <w:t xml:space="preserve">– sprječavanje nastanka otpada u skladu s propisom kojim se uređuje gospodarenje otpadom</w:t>
      </w:r>
    </w:p>
    <w:p>
      <w:pPr>
        <w:pBdr/>
        <w:pStyle w:val="Normal"/>
        <w:spacing/>
        <w:ind/>
        <w:rPr>
          <w:rFonts w:ascii="Arial" w:eastAsia="Arial" w:hAnsi="Arial" w:cs="Arial"/>
        </w:rPr>
      </w:pPr>
      <w:r>
        <w:rPr>
          <w:rFonts w:ascii="Arial" w:eastAsia="Arial" w:hAnsi="Arial" w:cs="Arial"/>
        </w:rPr>
        <w:t xml:space="preserve">– postupanje s nastalim otpadom prema redoslijedu prvenstva: pripremu za ponovnu uporabu, recikliranje, oporabu, odnosno, ako to nije tehnički i ekonomski moguće, zbrinjavanje na način kojim se izbjegavaju ili smanjuju utjecaji na okoliš, u skladu s propisom kojim se uređuje gospodarenje otpadom</w:t>
      </w:r>
    </w:p>
    <w:p>
      <w:pPr>
        <w:pBdr/>
        <w:pStyle w:val="Normal"/>
        <w:spacing/>
        <w:ind/>
        <w:rPr>
          <w:rFonts w:ascii="Arial" w:eastAsia="Arial" w:hAnsi="Arial" w:cs="Arial"/>
        </w:rPr>
      </w:pPr>
      <w:r>
        <w:rPr>
          <w:rFonts w:ascii="Arial" w:eastAsia="Arial" w:hAnsi="Arial" w:cs="Arial"/>
        </w:rPr>
        <w:t xml:space="preserve">– učinkovito korištenje energije te promicanje uporabe i, ako je moguće, proizvodnje obnovljive energije</w:t>
      </w:r>
    </w:p>
    <w:p>
      <w:pPr>
        <w:pBdr/>
        <w:pStyle w:val="Normal"/>
        <w:spacing/>
        <w:ind/>
        <w:rPr>
          <w:rFonts w:ascii="Arial" w:eastAsia="Arial" w:hAnsi="Arial" w:cs="Arial"/>
        </w:rPr>
      </w:pPr>
      <w:r>
        <w:rPr>
          <w:rFonts w:ascii="Arial" w:eastAsia="Arial" w:hAnsi="Arial" w:cs="Arial"/>
        </w:rPr>
        <w:t xml:space="preserve">– učinkovito korištenje materijalnih resursa i vode, uključujući njihovu ponovnu uporabu</w:t>
      </w:r>
    </w:p>
    <w:p>
      <w:pPr>
        <w:pBdr/>
        <w:pStyle w:val="Normal"/>
        <w:spacing/>
        <w:ind/>
        <w:rPr>
          <w:rFonts w:ascii="Arial" w:eastAsia="Arial" w:hAnsi="Arial" w:cs="Arial"/>
        </w:rPr>
      </w:pPr>
      <w:r>
        <w:rPr>
          <w:rFonts w:ascii="Arial" w:eastAsia="Arial" w:hAnsi="Arial" w:cs="Arial"/>
        </w:rPr>
        <w:t xml:space="preserve">– provedbu sustava upravljanja okolišem u skladu sa člankom 80. ovog Zakona</w:t>
      </w:r>
    </w:p>
    <w:p>
      <w:pPr>
        <w:pBdr/>
        <w:pStyle w:val="Normal"/>
        <w:spacing/>
        <w:ind/>
        <w:rPr>
          <w:rFonts w:ascii="Arial" w:eastAsia="Arial" w:hAnsi="Arial" w:cs="Arial"/>
        </w:rPr>
      </w:pPr>
      <w:r>
        <w:rPr>
          <w:rFonts w:ascii="Arial" w:eastAsia="Arial" w:hAnsi="Arial" w:cs="Arial"/>
        </w:rPr>
        <w:t xml:space="preserve">– poduzimanje potrebnih mjera za sprječavanje nesreća i sanaciju njihovih posljedica</w:t>
      </w:r>
    </w:p>
    <w:p>
      <w:pPr>
        <w:pBdr/>
        <w:pStyle w:val="Normal"/>
        <w:spacing/>
        <w:ind/>
        <w:rPr>
          <w:rFonts w:ascii="Arial" w:eastAsia="Arial" w:hAnsi="Arial" w:cs="Arial"/>
        </w:rPr>
      </w:pPr>
      <w:r>
        <w:rPr>
          <w:rFonts w:ascii="Arial" w:eastAsia="Arial" w:hAnsi="Arial" w:cs="Arial"/>
        </w:rPr>
        <w:t xml:space="preserve">– poduzimanje svih mjera nakon konačnog prestanka aktivnosti u postrojenju radi izbjegavanja rizika onečišćenja okoliša i vraćanja lokacije postrojenja u zadovoljavajuće stanje, u skladu s poglavljem VIII. ovoga Zakona.</w:t>
      </w:r>
    </w:p>
    <w:p>
      <w:pPr>
        <w:pBdr/>
        <w:pStyle w:val="Normal"/>
        <w:spacing/>
        <w:ind/>
        <w:rPr>
          <w:rFonts w:ascii="Arial" w:eastAsia="Arial" w:hAnsi="Arial" w:cs="Arial"/>
        </w:rPr>
      </w:pPr>
    </w:p>
    <w:p>
      <w:pPr>
        <w:pBdr/>
        <w:pStyle w:val="Heading 2"/>
        <w:spacing/>
        <w:ind/>
        <w:rPr/>
      </w:pPr>
      <w:r>
        <w:rPr/>
        <w:t xml:space="preserve">Sustav upravljanja okolišem</w:t>
      </w:r>
    </w:p>
    <w:p>
      <w:pPr>
        <w:pBdr/>
        <w:pStyle w:val="Heading 2"/>
        <w:spacing/>
        <w:ind/>
        <w:rPr/>
      </w:pPr>
      <w:r>
        <w:rPr/>
        <w:t xml:space="preserve">Članak 80.</w:t>
      </w:r>
    </w:p>
    <w:p>
      <w:pPr>
        <w:pBdr/>
        <w:pStyle w:val="Normal"/>
        <w:spacing/>
        <w:ind/>
        <w:rPr>
          <w:rFonts w:ascii="Arial" w:eastAsia="Arial" w:hAnsi="Arial" w:cs="Arial"/>
        </w:rPr>
      </w:pPr>
      <w:r>
        <w:rPr>
          <w:rFonts w:ascii="Arial" w:eastAsia="Arial" w:hAnsi="Arial" w:cs="Arial"/>
        </w:rPr>
        <w:t xml:space="preserve">(1) Operater je dužan za svako postrojenje pripremiti, uspostaviti, provoditi i redovito ažurirati sustav upravljanja okolišem (u daljnjem tekstu: EMS) u skladu s predmetnim zaključcima o NRT-u.</w:t>
      </w:r>
    </w:p>
    <w:p>
      <w:pPr>
        <w:pBdr/>
        <w:pStyle w:val="Normal"/>
        <w:spacing/>
        <w:ind/>
        <w:rPr>
          <w:rFonts w:ascii="Arial" w:eastAsia="Arial" w:hAnsi="Arial" w:cs="Arial"/>
        </w:rPr>
      </w:pPr>
      <w:r>
        <w:rPr>
          <w:rFonts w:ascii="Arial" w:eastAsia="Arial" w:hAnsi="Arial" w:cs="Arial"/>
        </w:rPr>
        <w:t xml:space="preserve">(2) EMS iz stavka 1. ovoga članka obuhvaća:</w:t>
      </w:r>
    </w:p>
    <w:p>
      <w:pPr>
        <w:pBdr/>
        <w:pStyle w:val="Normal"/>
        <w:spacing/>
        <w:ind/>
        <w:rPr>
          <w:rFonts w:ascii="Arial" w:eastAsia="Arial" w:hAnsi="Arial" w:cs="Arial"/>
        </w:rPr>
      </w:pPr>
      <w:r>
        <w:rPr>
          <w:rFonts w:ascii="Arial" w:eastAsia="Arial" w:hAnsi="Arial" w:cs="Arial"/>
        </w:rPr>
        <w:t xml:space="preserve">- ciljeve politike u području okoliša za kontinuirano poboljšanje okolišne učinkovitosti i sigurnosti postrojenja što uključuje mjere za sprječavanje nastajanja otpada, učinkovitu uporabu resursa i energije, ponovnu uporabu vode te sprječavanje ili smanjenje uporabe i emisija opasnih tvari</w:t>
      </w:r>
    </w:p>
    <w:p>
      <w:pPr>
        <w:pBdr/>
        <w:pStyle w:val="Normal"/>
        <w:spacing/>
        <w:ind/>
        <w:rPr>
          <w:rFonts w:ascii="Arial" w:eastAsia="Arial" w:hAnsi="Arial" w:cs="Arial"/>
        </w:rPr>
      </w:pPr>
      <w:r>
        <w:rPr>
          <w:rFonts w:ascii="Arial" w:eastAsia="Arial" w:hAnsi="Arial" w:cs="Arial"/>
        </w:rPr>
        <w:t xml:space="preserve">- ciljeve i pokazatelje učinkovitosti za značajne aspekte okoliša u kojima se uzimaju u obzir referentne vrijednosti utvrđene u relevantnim zaključcima o NRT-</w:t>
      </w:r>
      <w:r>
        <w:rPr>
          <w:rFonts w:ascii="Arial" w:eastAsia="Arial" w:hAnsi="Arial" w:cs="Arial"/>
        </w:rPr>
        <w:t xml:space="preserve">u </w:t>
      </w:r>
    </w:p>
    <w:p>
      <w:pPr>
        <w:pBdr/>
        <w:pStyle w:val="Normal"/>
        <w:spacing/>
        <w:ind/>
        <w:rPr>
          <w:rFonts w:ascii="Arial" w:eastAsia="Arial" w:hAnsi="Arial" w:cs="Arial"/>
        </w:rPr>
      </w:pPr>
      <w:r>
        <w:rPr>
          <w:rFonts w:ascii="Arial" w:eastAsia="Arial" w:hAnsi="Arial" w:cs="Arial"/>
        </w:rPr>
        <w:t xml:space="preserve">- rezultate energetskog pregleda ili sustava upravljanja energijom za postrojenja obuhvaćena obvezom provedbe energetskog pregleda ili provedbe sustava gospodarenja energijom sukladno posebnom propisu kojim se uređuje energetska učinkovitost, te mjere za provedbu preporuka koje iz njih proizlaze</w:t>
      </w:r>
    </w:p>
    <w:p>
      <w:pPr>
        <w:pBdr/>
        <w:pStyle w:val="Normal"/>
        <w:spacing/>
        <w:ind/>
        <w:rPr>
          <w:rFonts w:ascii="Arial" w:eastAsia="Arial" w:hAnsi="Arial" w:cs="Arial"/>
        </w:rPr>
      </w:pPr>
      <w:r>
        <w:rPr>
          <w:rFonts w:ascii="Arial" w:eastAsia="Arial" w:hAnsi="Arial" w:cs="Arial"/>
        </w:rPr>
        <w:t xml:space="preserve">- inventar kemikalija za opasne tvari prisutne u postrojenju ili ispuštene iz postrojenja, kao takve, kao sastojci drugih tvari ili kao dio smjesa s posebnim osvrtom na tvari koje ispunjavaju kriterije iz članka 57. Uredbe (EZ) br. 1907/2006 i tvari obuhvaćene ograničenjima iz Priloga XVII. te Uredbe, s procjenom rizika njihova utjecaja na zdravlje ljudi i okoliš te analizom mogućnosti njihove zamjene sigurnijim alternativama ili smanjenja njihove uporabe ili emisija</w:t>
      </w:r>
    </w:p>
    <w:p>
      <w:pPr>
        <w:pBdr/>
        <w:pStyle w:val="Normal"/>
        <w:spacing/>
        <w:ind/>
        <w:rPr>
          <w:rFonts w:ascii="Arial" w:eastAsia="Arial" w:hAnsi="Arial" w:cs="Arial"/>
        </w:rPr>
      </w:pPr>
      <w:r>
        <w:rPr>
          <w:rFonts w:ascii="Arial" w:eastAsia="Arial" w:hAnsi="Arial" w:cs="Arial"/>
        </w:rPr>
        <w:t xml:space="preserve">- mjere poduzete za postizanje okolišnih ciljeva i izbjegavanje rizika za zdravlje ljudi ili okoliš, uključujući korektivne i preventivne mjere ako su potrebne</w:t>
      </w:r>
    </w:p>
    <w:p>
      <w:pPr>
        <w:pBdr/>
        <w:pStyle w:val="Normal"/>
        <w:spacing/>
        <w:ind/>
        <w:rPr>
          <w:rFonts w:ascii="Arial" w:eastAsia="Arial" w:hAnsi="Arial" w:cs="Arial"/>
        </w:rPr>
      </w:pPr>
      <w:r>
        <w:rPr>
          <w:rFonts w:ascii="Arial" w:eastAsia="Arial" w:hAnsi="Arial" w:cs="Arial"/>
        </w:rPr>
        <w:t xml:space="preserve">- plan preobrazbe postrojenja iz članka 135. ovoga Zakona.</w:t>
      </w:r>
    </w:p>
    <w:p>
      <w:pPr>
        <w:pBdr/>
        <w:pStyle w:val="Normal"/>
        <w:spacing/>
        <w:ind/>
        <w:rPr>
          <w:rFonts w:ascii="Arial" w:eastAsia="Arial" w:hAnsi="Arial" w:cs="Arial"/>
        </w:rPr>
      </w:pPr>
      <w:r>
        <w:rPr>
          <w:rFonts w:ascii="Arial" w:eastAsia="Arial" w:hAnsi="Arial" w:cs="Arial"/>
        </w:rPr>
        <w:t xml:space="preserve">(3) Operater je dužan osigurati da su relevantne informacije iz EMS-</w:t>
      </w:r>
      <w:r>
        <w:rPr>
          <w:rFonts w:ascii="Arial" w:eastAsia="Arial" w:hAnsi="Arial" w:cs="Arial"/>
        </w:rPr>
        <w:t xml:space="preserve">a besplatno i bez ograničenja prava pristupa dostupne na njegovim mrežnim stranicama, a poveznica na te informacije objavljuje se u ISZOP-</w:t>
      </w:r>
      <w:r>
        <w:rPr>
          <w:rFonts w:ascii="Arial" w:eastAsia="Arial" w:hAnsi="Arial" w:cs="Arial"/>
        </w:rPr>
        <w:t xml:space="preserve">u.</w:t>
      </w:r>
    </w:p>
    <w:p>
      <w:pPr>
        <w:pBdr/>
        <w:pStyle w:val="Normal"/>
        <w:spacing/>
        <w:ind/>
        <w:rPr>
          <w:rFonts w:ascii="Arial" w:eastAsia="Arial" w:hAnsi="Arial" w:cs="Arial"/>
        </w:rPr>
      </w:pPr>
      <w:r>
        <w:rPr>
          <w:rFonts w:ascii="Arial" w:eastAsia="Arial" w:hAnsi="Arial" w:cs="Arial"/>
        </w:rPr>
        <w:t xml:space="preserve">(4) Iznimno od stavka 3. ovoga članka, pri objavi informacija iz EMS-</w:t>
      </w:r>
      <w:r>
        <w:rPr>
          <w:rFonts w:ascii="Arial" w:eastAsia="Arial" w:hAnsi="Arial" w:cs="Arial"/>
        </w:rPr>
        <w:t xml:space="preserve">a mogu se izostaviti zaštićeni dijelovi informacije ili, ako to nije moguće, informacija se može izuzeti od objave, u skladu s odredbama ovoga Zakona kojima se uređuje pristup informacijama o okolišu i propisima kojima se uređuje pravo na pristup informacijama.</w:t>
      </w:r>
    </w:p>
    <w:p>
      <w:pPr>
        <w:pBdr/>
        <w:pStyle w:val="Normal"/>
        <w:spacing/>
        <w:ind/>
        <w:rPr>
          <w:rFonts w:ascii="Arial" w:eastAsia="Arial" w:hAnsi="Arial" w:cs="Arial"/>
        </w:rPr>
      </w:pPr>
    </w:p>
    <w:p>
      <w:pPr>
        <w:pBdr/>
        <w:pStyle w:val="Heading 2"/>
        <w:spacing/>
        <w:ind/>
        <w:rPr/>
      </w:pPr>
      <w:r>
        <w:rPr/>
        <w:t xml:space="preserve">Revizija EMS-a</w:t>
      </w:r>
    </w:p>
    <w:p>
      <w:pPr>
        <w:pBdr/>
        <w:pStyle w:val="Heading 2"/>
        <w:spacing/>
        <w:ind/>
        <w:rPr/>
      </w:pPr>
      <w:r>
        <w:rPr/>
        <w:t xml:space="preserve">Članak 81.</w:t>
      </w:r>
    </w:p>
    <w:p>
      <w:pPr>
        <w:pBdr/>
        <w:pStyle w:val="Normal"/>
        <w:spacing/>
        <w:ind/>
        <w:rPr>
          <w:rFonts w:ascii="Arial" w:eastAsia="Arial" w:hAnsi="Arial" w:cs="Arial"/>
        </w:rPr>
      </w:pPr>
      <w:r>
        <w:rPr>
          <w:rFonts w:ascii="Arial" w:eastAsia="Arial" w:hAnsi="Arial" w:cs="Arial"/>
        </w:rPr>
        <w:t xml:space="preserve">(1) Operater je dužan najmanje jednom u tri godine osigurati reviziju EMS-</w:t>
      </w:r>
      <w:r>
        <w:rPr>
          <w:rFonts w:ascii="Arial" w:eastAsia="Arial" w:hAnsi="Arial" w:cs="Arial"/>
        </w:rPr>
        <w:t xml:space="preserve">a radi potvrđivanja njegove prikladnosti, primjerenosti i djelotvornosti te usklađenosti njegove provedbe s ovim Zakonom. </w:t>
      </w:r>
    </w:p>
    <w:p>
      <w:pPr>
        <w:pBdr/>
        <w:pStyle w:val="Normal"/>
        <w:spacing/>
        <w:ind/>
        <w:rPr>
          <w:rFonts w:ascii="Arial" w:eastAsia="Arial" w:hAnsi="Arial" w:cs="Arial"/>
        </w:rPr>
      </w:pPr>
      <w:r>
        <w:rPr>
          <w:rFonts w:ascii="Arial" w:eastAsia="Arial" w:hAnsi="Arial" w:cs="Arial"/>
        </w:rPr>
        <w:t xml:space="preserve">(2) Reviziju iz stavka 1. ovoga članka provodi ovlašteno certifikacijsko tijelo akreditirano za certificiranje sustava upravljanja okolišem prema normi HRN EN ISO 14001 ili ovlašteni EMAS (</w:t>
      </w:r>
      <w:r>
        <w:rPr>
          <w:rFonts w:ascii="Arial" w:eastAsia="Arial" w:hAnsi="Arial" w:cs="Arial"/>
          <w:i/>
          <w:iCs/>
        </w:rPr>
        <w:t xml:space="preserve">Eco-Management and Audit Scheme</w:t>
      </w:r>
      <w:r>
        <w:rPr>
          <w:rFonts w:ascii="Arial" w:eastAsia="Arial" w:hAnsi="Arial" w:cs="Arial"/>
        </w:rPr>
        <w:t xml:space="preserve">) verifikator sukladno posebnom propisu kojim se uređuje sustav ekološkog upravljanja i neovisnog ocjenjivanja (u daljnjem tekstu: EMAS).</w:t>
      </w:r>
    </w:p>
    <w:p>
      <w:pPr>
        <w:pBdr/>
        <w:pStyle w:val="Normal"/>
        <w:spacing/>
        <w:ind/>
        <w:rPr>
          <w:rFonts w:ascii="Arial" w:eastAsia="Arial" w:hAnsi="Arial" w:cs="Arial"/>
        </w:rPr>
      </w:pPr>
      <w:r>
        <w:rPr>
          <w:rFonts w:ascii="Arial" w:eastAsia="Arial" w:hAnsi="Arial" w:cs="Arial"/>
        </w:rPr>
        <w:t xml:space="preserve">(3) Razina i složenost EMS-</w:t>
      </w:r>
      <w:r>
        <w:rPr>
          <w:rFonts w:ascii="Arial" w:eastAsia="Arial" w:hAnsi="Arial" w:cs="Arial"/>
        </w:rPr>
        <w:t xml:space="preserve">a, pobliži sadržaj njegovih elemenata iz članka 80. stavka 2. ovoga Zakona, način provedbe revizije iz stavka 1. ovoga članka te način javne objave </w:t>
      </w:r>
      <w:r>
        <w:rPr>
          <w:rFonts w:ascii="Arial" w:eastAsia="Arial" w:hAnsi="Arial" w:cs="Arial"/>
        </w:rPr>
        <w:t xml:space="preserve">informacija iz članka 80. stavka 3. ovoga Zakona propisuje se uredbom iz članka 76. stavka 5. ovoga Zakona.</w:t>
      </w:r>
    </w:p>
    <w:p>
      <w:pPr>
        <w:pBdr/>
        <w:pStyle w:val="Normal"/>
        <w:spacing/>
        <w:ind/>
        <w:rPr>
          <w:rFonts w:ascii="Arial" w:eastAsia="Arial" w:hAnsi="Arial" w:cs="Arial"/>
          <w:b/>
          <w:bCs/>
        </w:rPr>
      </w:pPr>
    </w:p>
    <w:p>
      <w:pPr>
        <w:pBdr/>
        <w:pStyle w:val="Heading 1"/>
        <w:spacing/>
        <w:ind/>
        <w:rPr>
          <w:rFonts w:ascii="Arial" w:eastAsia="Arial" w:hAnsi="Arial" w:cs="Arial"/>
          <w:szCs w:val="24"/>
        </w:rPr>
      </w:pPr>
      <w:r>
        <w:rPr>
          <w:rFonts w:ascii="Arial" w:eastAsia="Arial" w:hAnsi="Arial" w:cs="Arial"/>
          <w:szCs w:val="24"/>
        </w:rPr>
        <w:t xml:space="preserve">POGLAVLJE III. POSTUPAK IZDAVANJA OKOLIŠNE DOZVOLE</w:t>
      </w:r>
    </w:p>
    <w:p>
      <w:pPr>
        <w:pBdr/>
        <w:pStyle w:val="Heading 2"/>
        <w:spacing/>
        <w:ind/>
        <w:rPr/>
      </w:pPr>
      <w:r>
        <w:rPr/>
        <w:t xml:space="preserve">Nadležnost i povezanost postupaka</w:t>
      </w:r>
    </w:p>
    <w:p>
      <w:pPr>
        <w:pBdr/>
        <w:pStyle w:val="Heading 2"/>
        <w:spacing/>
        <w:ind/>
        <w:rPr/>
      </w:pPr>
      <w:r>
        <w:rPr/>
        <w:t xml:space="preserve">Članak 82.</w:t>
      </w:r>
    </w:p>
    <w:p>
      <w:pPr>
        <w:pBdr/>
        <w:pStyle w:val="Normal"/>
        <w:spacing/>
        <w:ind/>
        <w:rPr>
          <w:rFonts w:ascii="Arial" w:eastAsia="Arial" w:hAnsi="Arial" w:cs="Arial"/>
        </w:rPr>
      </w:pPr>
      <w:r>
        <w:rPr>
          <w:rFonts w:ascii="Arial" w:eastAsia="Arial" w:hAnsi="Arial" w:cs="Arial"/>
        </w:rPr>
        <w:t xml:space="preserve">(1) Okolišnu dozvolu izdaje Ministarstvo.</w:t>
      </w:r>
    </w:p>
    <w:p>
      <w:pPr>
        <w:pBdr/>
        <w:pStyle w:val="Normal"/>
        <w:spacing/>
        <w:ind/>
        <w:rPr>
          <w:rFonts w:ascii="Arial" w:eastAsia="Arial" w:hAnsi="Arial" w:cs="Arial"/>
        </w:rPr>
      </w:pPr>
      <w:r>
        <w:rPr>
          <w:rFonts w:ascii="Arial" w:eastAsia="Arial" w:hAnsi="Arial" w:cs="Arial"/>
        </w:rPr>
        <w:t xml:space="preserve">(2) Okolišna dozvola izdaje se u skladu s rješenjem o prihvatljivosti zahvata za okoliš i/ili rješenjem donesenim u postupku ocjene o potrebi procjene utjecaja na okoliš te, ako je primjenjivo, temeljnim izvješćem na koje je Ministarstvo dalo suglasnost u skladu sa člankom 142. stavkom 4. ovoga Zakona.</w:t>
      </w:r>
    </w:p>
    <w:p>
      <w:pPr>
        <w:pBdr/>
        <w:pStyle w:val="Normal"/>
        <w:spacing/>
        <w:ind/>
        <w:rPr>
          <w:rFonts w:ascii="Arial" w:eastAsia="Arial" w:hAnsi="Arial" w:cs="Arial"/>
        </w:rPr>
      </w:pPr>
      <w:r>
        <w:rPr>
          <w:rFonts w:ascii="Arial" w:eastAsia="Arial" w:hAnsi="Arial" w:cs="Arial"/>
        </w:rPr>
        <w:t xml:space="preserve">(3) Akti kojima se prema posebnim propisima odobrava obavljanje djelatnosti u postrojenjima za koja je propisana obveza ishođenja okolišne dozvole moraju biti usklađeni s uvjetima utvrđenima u okolišnoj dozvoli.</w:t>
      </w:r>
    </w:p>
    <w:p>
      <w:pPr>
        <w:pBdr/>
        <w:pStyle w:val="Normal"/>
        <w:spacing/>
        <w:ind/>
        <w:rPr>
          <w:rFonts w:ascii="Arial" w:eastAsia="Arial" w:hAnsi="Arial" w:cs="Arial"/>
        </w:rPr>
      </w:pPr>
    </w:p>
    <w:p>
      <w:pPr>
        <w:pBdr/>
        <w:pStyle w:val="Heading 2"/>
        <w:spacing/>
        <w:ind/>
        <w:rPr/>
      </w:pPr>
      <w:r>
        <w:rPr/>
        <w:t xml:space="preserve">Zahtjev za ishođenje okolišne dozvole</w:t>
      </w:r>
    </w:p>
    <w:p>
      <w:pPr>
        <w:pBdr/>
        <w:pStyle w:val="Heading 2"/>
        <w:spacing/>
        <w:ind/>
        <w:rPr/>
      </w:pPr>
      <w:r>
        <w:rPr/>
        <w:t xml:space="preserve">Članak 83.</w:t>
      </w:r>
    </w:p>
    <w:p>
      <w:pPr>
        <w:pBdr/>
        <w:pStyle w:val="Normal"/>
        <w:spacing/>
        <w:ind/>
        <w:rPr>
          <w:rFonts w:ascii="Arial" w:eastAsia="Arial" w:hAnsi="Arial" w:cs="Arial"/>
        </w:rPr>
      </w:pPr>
      <w:r>
        <w:rPr>
          <w:rFonts w:ascii="Arial" w:eastAsia="Arial" w:hAnsi="Arial" w:cs="Arial"/>
        </w:rPr>
        <w:t xml:space="preserve">(1) Zahtjev za ishođenje okolišne dozvole (u daljnjem tekstu: zahtjev) podnosi se Ministarstvu pisanim putem do uspostave elektroničkog sustava za provedbu postupaka u zaštiti okoliša, u skladu s rokovima utvrđenim ovim Zakonom.</w:t>
      </w:r>
    </w:p>
    <w:p>
      <w:pPr>
        <w:pBdr/>
        <w:pStyle w:val="Normal"/>
        <w:spacing/>
        <w:ind/>
        <w:rPr>
          <w:rFonts w:ascii="Arial" w:eastAsia="Arial" w:hAnsi="Arial" w:cs="Arial"/>
        </w:rPr>
      </w:pPr>
      <w:r>
        <w:rPr>
          <w:rFonts w:ascii="Arial" w:eastAsia="Arial" w:hAnsi="Arial" w:cs="Arial"/>
        </w:rPr>
        <w:t xml:space="preserve">(2) Zahtjev sadrži:</w:t>
      </w:r>
    </w:p>
    <w:p>
      <w:pPr>
        <w:pBdr/>
        <w:pStyle w:val="Normal"/>
        <w:spacing/>
        <w:ind/>
        <w:rPr>
          <w:rFonts w:ascii="Arial" w:eastAsia="Arial" w:hAnsi="Arial" w:cs="Arial"/>
        </w:rPr>
      </w:pPr>
      <w:r>
        <w:rPr>
          <w:rFonts w:ascii="Arial" w:eastAsia="Arial" w:hAnsi="Arial" w:cs="Arial"/>
        </w:rPr>
        <w:t xml:space="preserve">podatke o operateru: naziv i sjedište tvrtke, osobni identifikacijski broj (OIB), ime i prezime odgovorne osobe, adresu za dostavu pismena, broj telefona i adresu elektroničke pošte</w:t>
      </w:r>
    </w:p>
    <w:p>
      <w:pPr>
        <w:pBdr/>
        <w:pStyle w:val="Normal"/>
        <w:spacing/>
        <w:ind/>
        <w:rPr>
          <w:rFonts w:ascii="Arial" w:eastAsia="Arial" w:hAnsi="Arial" w:cs="Arial"/>
        </w:rPr>
      </w:pPr>
      <w:r>
        <w:rPr>
          <w:rFonts w:ascii="Arial" w:eastAsia="Arial" w:hAnsi="Arial" w:cs="Arial"/>
        </w:rPr>
        <w:t xml:space="preserve">podatke o lokaciji i postrojenju: naziv jedinice lokalne i područne (regionalne) samouprave na čijem se području postrojenje nalazi, podatke o katastarskoj općini i katastarskim česticama, prostorne koordinate lokacije te naziv i opis postrojenja prema djelatnostima i pragovima kapaciteta utvrđenima uredbom iz članka 76. stavka 5. ovoga Zakona. </w:t>
      </w:r>
    </w:p>
    <w:p>
      <w:pPr>
        <w:pBdr/>
        <w:pStyle w:val="Normal"/>
        <w:spacing/>
        <w:ind/>
        <w:rPr>
          <w:rFonts w:ascii="Arial" w:eastAsia="Arial" w:hAnsi="Arial" w:cs="Arial"/>
        </w:rPr>
      </w:pPr>
      <w:r>
        <w:rPr>
          <w:rFonts w:ascii="Arial" w:eastAsia="Arial" w:hAnsi="Arial" w:cs="Arial"/>
        </w:rPr>
        <w:t xml:space="preserve">(3) Uz zahtjev iz stavka 1. ovoga članka prilaže se stručna podloga za ishođenje okolišne dozvole,  u pisanom i elektroničkom obliku, koja sadržava najmanje podatke i opis:</w:t>
      </w:r>
    </w:p>
    <w:p>
      <w:pPr>
        <w:pBdr/>
        <w:pStyle w:val="Normal"/>
        <w:spacing/>
        <w:ind/>
        <w:rPr>
          <w:rFonts w:ascii="Arial" w:eastAsia="Arial" w:hAnsi="Arial" w:cs="Arial"/>
        </w:rPr>
      </w:pPr>
      <w:r>
        <w:rPr>
          <w:rFonts w:ascii="Arial" w:eastAsia="Arial" w:hAnsi="Arial" w:cs="Arial"/>
        </w:rPr>
        <w:t xml:space="preserve">1. postrojenja i djelatnosti koje se u njemu obavljaju ili se namjeravaju obavljati</w:t>
      </w:r>
    </w:p>
    <w:p>
      <w:pPr>
        <w:pBdr/>
        <w:pStyle w:val="Normal"/>
        <w:spacing/>
        <w:ind/>
        <w:rPr>
          <w:rFonts w:ascii="Arial" w:eastAsia="Arial" w:hAnsi="Arial" w:cs="Arial"/>
        </w:rPr>
      </w:pPr>
      <w:r>
        <w:rPr>
          <w:rFonts w:ascii="Arial" w:eastAsia="Arial" w:hAnsi="Arial" w:cs="Arial"/>
        </w:rPr>
        <w:t xml:space="preserve">2. sirovina i pomoćnih materijala, ostalih tvari, energije i vode koji se koriste u postrojenju ili ih postrojenje proizvodi</w:t>
      </w:r>
    </w:p>
    <w:p>
      <w:pPr>
        <w:pBdr/>
        <w:pStyle w:val="Normal"/>
        <w:spacing/>
        <w:ind/>
        <w:rPr>
          <w:rFonts w:ascii="Arial" w:eastAsia="Arial" w:hAnsi="Arial" w:cs="Arial"/>
        </w:rPr>
      </w:pPr>
      <w:r>
        <w:rPr>
          <w:rFonts w:ascii="Arial" w:eastAsia="Arial" w:hAnsi="Arial" w:cs="Arial"/>
        </w:rPr>
        <w:t xml:space="preserve">3. izvora emisija iz postrojenja, uključujući neugodnih mirisa</w:t>
      </w:r>
    </w:p>
    <w:p>
      <w:pPr>
        <w:pBdr/>
        <w:pStyle w:val="Normal"/>
        <w:spacing/>
        <w:ind/>
        <w:rPr>
          <w:rFonts w:ascii="Arial" w:eastAsia="Arial" w:hAnsi="Arial" w:cs="Arial"/>
        </w:rPr>
      </w:pPr>
      <w:r>
        <w:rPr>
          <w:rFonts w:ascii="Arial" w:eastAsia="Arial" w:hAnsi="Arial" w:cs="Arial"/>
        </w:rPr>
        <w:t xml:space="preserve">4. stanja lokacije na kojoj se postrojenje nalazi</w:t>
      </w:r>
    </w:p>
    <w:p>
      <w:pPr>
        <w:pBdr/>
        <w:pStyle w:val="Normal"/>
        <w:spacing/>
        <w:ind/>
        <w:rPr>
          <w:rFonts w:ascii="Arial" w:eastAsia="Arial" w:hAnsi="Arial" w:cs="Arial"/>
        </w:rPr>
      </w:pPr>
      <w:r>
        <w:rPr>
          <w:rFonts w:ascii="Arial" w:eastAsia="Arial" w:hAnsi="Arial" w:cs="Arial"/>
        </w:rPr>
        <w:t xml:space="preserve">5. ako je primjenjivo, podataka iz temeljnog izvješća iz članka 141. ovoga Zakona na koje je Ministarstvo dalo suglasnost</w:t>
      </w:r>
    </w:p>
    <w:p>
      <w:pPr>
        <w:pBdr/>
        <w:pStyle w:val="Normal"/>
        <w:spacing/>
        <w:ind/>
        <w:rPr>
          <w:rFonts w:ascii="Arial" w:eastAsia="Arial" w:hAnsi="Arial" w:cs="Arial"/>
        </w:rPr>
      </w:pPr>
      <w:r>
        <w:rPr>
          <w:rFonts w:ascii="Arial" w:eastAsia="Arial" w:hAnsi="Arial" w:cs="Arial"/>
        </w:rPr>
        <w:t xml:space="preserve">6. prirode i količine predvidivih emisija, uključujući neugodne mirise, iz postrojenja u pojedine sastavnice okoliša, te njihovih mogućih značajnih učinaka na okoliš</w:t>
      </w:r>
    </w:p>
    <w:p>
      <w:pPr>
        <w:pBdr/>
        <w:pStyle w:val="Normal"/>
        <w:spacing/>
        <w:ind/>
        <w:rPr>
          <w:rFonts w:ascii="Arial" w:eastAsia="Arial" w:hAnsi="Arial" w:cs="Arial"/>
        </w:rPr>
      </w:pPr>
      <w:r>
        <w:rPr>
          <w:rFonts w:ascii="Arial" w:eastAsia="Arial" w:hAnsi="Arial" w:cs="Arial"/>
        </w:rPr>
        <w:t xml:space="preserve">7. predloženih tehnologija i drugih tehnika za sprječavanje ili, ako to nije moguće, smanjenje emisija iz postrojenja</w:t>
      </w:r>
    </w:p>
    <w:p>
      <w:pPr>
        <w:pBdr/>
        <w:pStyle w:val="Normal"/>
        <w:spacing/>
        <w:ind/>
        <w:rPr>
          <w:rFonts w:ascii="Arial" w:eastAsia="Arial" w:hAnsi="Arial" w:cs="Arial"/>
        </w:rPr>
      </w:pPr>
      <w:r>
        <w:rPr>
          <w:rFonts w:ascii="Arial" w:eastAsia="Arial" w:hAnsi="Arial" w:cs="Arial"/>
        </w:rPr>
        <w:t xml:space="preserve">8. mjera za sprječavanje nastanka otpada te pripremu za ponovnu uporabu, recikliranje ili oporabu otpada nastalog u postrojenju</w:t>
      </w:r>
    </w:p>
    <w:p>
      <w:pPr>
        <w:pBdr/>
        <w:pStyle w:val="Normal"/>
        <w:spacing/>
        <w:ind/>
        <w:rPr>
          <w:rFonts w:ascii="Arial" w:eastAsia="Arial" w:hAnsi="Arial" w:cs="Arial"/>
        </w:rPr>
      </w:pPr>
      <w:r>
        <w:rPr>
          <w:rFonts w:ascii="Arial" w:eastAsia="Arial" w:hAnsi="Arial" w:cs="Arial"/>
        </w:rPr>
        <w:t xml:space="preserve">9. daljnjih mjera planiranih radi ispunjavanja osnovnih obveza operatera iz članka 79. ovoga Zakona</w:t>
      </w:r>
    </w:p>
    <w:p>
      <w:pPr>
        <w:pBdr/>
        <w:pStyle w:val="Normal"/>
        <w:spacing/>
        <w:ind/>
        <w:rPr>
          <w:rFonts w:ascii="Arial" w:eastAsia="Arial" w:hAnsi="Arial" w:cs="Arial"/>
        </w:rPr>
      </w:pPr>
      <w:r>
        <w:rPr>
          <w:rFonts w:ascii="Arial" w:eastAsia="Arial" w:hAnsi="Arial" w:cs="Arial"/>
        </w:rPr>
        <w:t xml:space="preserve">10. mjera planiranih za praćenje emisija u okoliš</w:t>
      </w:r>
    </w:p>
    <w:p>
      <w:pPr>
        <w:pBdr/>
        <w:pStyle w:val="Normal"/>
        <w:spacing/>
        <w:ind/>
        <w:rPr>
          <w:rFonts w:ascii="Arial" w:eastAsia="Arial" w:hAnsi="Arial" w:cs="Arial"/>
        </w:rPr>
      </w:pPr>
      <w:r>
        <w:rPr>
          <w:rFonts w:ascii="Arial" w:eastAsia="Arial" w:hAnsi="Arial" w:cs="Arial"/>
        </w:rPr>
        <w:t xml:space="preserve">11. glavnih alternativa predloženim tehnologijama, tehnikama i mjerama koje je operater razmotrio.</w:t>
      </w:r>
    </w:p>
    <w:p>
      <w:pPr>
        <w:pBdr/>
        <w:pStyle w:val="Normal"/>
        <w:spacing/>
        <w:ind/>
        <w:rPr>
          <w:rFonts w:ascii="Arial" w:eastAsia="Arial" w:hAnsi="Arial" w:cs="Arial"/>
        </w:rPr>
      </w:pPr>
      <w:r>
        <w:rPr>
          <w:rFonts w:ascii="Arial" w:eastAsia="Arial" w:hAnsi="Arial" w:cs="Arial"/>
        </w:rPr>
        <w:t xml:space="preserve">(4) Stručna podloga iz stavka 3. ovoga članka sadržava i netehnički sažetak podataka iz toga stavka te se izrađuje na temelju primjene NRT-</w:t>
      </w:r>
      <w:r>
        <w:rPr>
          <w:rFonts w:ascii="Arial" w:eastAsia="Arial" w:hAnsi="Arial" w:cs="Arial"/>
        </w:rPr>
        <w:t xml:space="preserve">a, zahtjeva propisanih ovim Zakonom i propisima donesenim na temelju ovoga Zakona te primjenjivih zahtjeva propisa kojima se uređuje zaštita pojedinih sastavnica okoliša, zaštita od opterećenja okoliša, gospodarenje otpadom, upravljanje kemikalijama i zaštita zdravlja ljudi od štetnih utjecaja okoliša. </w:t>
      </w:r>
    </w:p>
    <w:p>
      <w:pPr>
        <w:pBdr/>
        <w:pStyle w:val="Normal"/>
        <w:spacing/>
        <w:ind/>
        <w:rPr>
          <w:rFonts w:ascii="Arial" w:eastAsia="Arial" w:hAnsi="Arial" w:cs="Arial"/>
        </w:rPr>
      </w:pPr>
      <w:r>
        <w:rPr>
          <w:rFonts w:ascii="Arial" w:eastAsia="Arial" w:hAnsi="Arial" w:cs="Arial"/>
        </w:rPr>
        <w:t xml:space="preserve">(5) Podaci iz studije o utjecaju zahvata na okoliš na temelju koje je doneseno rješenje o prihvatljivosti zahvata za okoliš, izvješća o sigurnosti za koje je dana suglasnost Ministarstva ili drugi podaci izrađeni odnosno dostavljeni u skladu s drugim propisima mogu se koristiti pri izradi stručne podloge iz stavka 3. ovoga članka ako ispunjavaju zahtjeve za njezin sadržaj propisane ovim Zakonom i uredbom iz članka 76. stavka 5. ovoga Zakona.</w:t>
      </w:r>
    </w:p>
    <w:p>
      <w:pPr>
        <w:pBdr/>
        <w:pStyle w:val="Normal"/>
        <w:spacing/>
        <w:ind/>
        <w:rPr>
          <w:rFonts w:ascii="Arial" w:eastAsia="Arial" w:hAnsi="Arial" w:cs="Arial"/>
        </w:rPr>
      </w:pPr>
      <w:r>
        <w:rPr>
          <w:rFonts w:ascii="Arial" w:eastAsia="Arial" w:hAnsi="Arial" w:cs="Arial"/>
        </w:rPr>
        <w:t xml:space="preserve">(6) Pobliži sadržaj zahtjeva iz stavka 2. ovoga članka, pobliži sadržaj i način izrade stručne podloge iz stavaka 3. i 4. ovoga članka, dokumentacija i dokaze koji se prilažu uz zahtjev te obrasce propisuju se uredbom iz članka 76. stavka 5. ovoga Zakona.</w:t>
      </w:r>
    </w:p>
    <w:p>
      <w:pPr>
        <w:pBdr/>
        <w:pStyle w:val="Normal"/>
        <w:spacing/>
        <w:ind/>
        <w:rPr>
          <w:rFonts w:ascii="Arial" w:eastAsia="Arial" w:hAnsi="Arial" w:cs="Arial"/>
        </w:rPr>
      </w:pPr>
    </w:p>
    <w:p>
      <w:pPr>
        <w:pBdr/>
        <w:pStyle w:val="Heading 2"/>
        <w:spacing/>
        <w:ind/>
        <w:rPr/>
      </w:pPr>
      <w:r>
        <w:rPr/>
        <w:t xml:space="preserve">Zahtjev za više postrojenja ili više operatera</w:t>
      </w:r>
    </w:p>
    <w:p>
      <w:pPr>
        <w:pBdr/>
        <w:pStyle w:val="Heading 2"/>
        <w:spacing/>
        <w:ind/>
        <w:rPr/>
      </w:pPr>
      <w:r>
        <w:rPr/>
        <w:t xml:space="preserve">Članak 84.</w:t>
      </w:r>
    </w:p>
    <w:p>
      <w:pPr>
        <w:pBdr/>
        <w:pStyle w:val="Normal"/>
        <w:spacing/>
        <w:ind/>
        <w:rPr>
          <w:rFonts w:ascii="Arial" w:eastAsia="Arial" w:hAnsi="Arial" w:cs="Arial"/>
        </w:rPr>
      </w:pPr>
      <w:r>
        <w:rPr>
          <w:rFonts w:ascii="Arial" w:eastAsia="Arial" w:hAnsi="Arial" w:cs="Arial"/>
        </w:rPr>
        <w:t xml:space="preserve">(1) Zahtjev za ishođenje okolišne dozvole podnosi se za jedno ili više postrojenja odnosno dijelova postrojenja na istoj lokaciji u kojima isti operater obavlja ili namjerava obavljati djelatnost za koju je propisana obveza ishođenja okolišne dozvole.</w:t>
      </w:r>
    </w:p>
    <w:p>
      <w:pPr>
        <w:pBdr/>
        <w:pStyle w:val="Normal"/>
        <w:spacing/>
        <w:ind/>
        <w:rPr>
          <w:rFonts w:ascii="Arial" w:eastAsia="Arial" w:hAnsi="Arial" w:cs="Arial"/>
        </w:rPr>
      </w:pPr>
      <w:r>
        <w:rPr>
          <w:rFonts w:ascii="Arial" w:eastAsia="Arial" w:hAnsi="Arial" w:cs="Arial"/>
        </w:rPr>
        <w:t xml:space="preserve">(2) Iznimno od stavka 1. ovoga članka, zahtjev može podnijeti više operatera ako postrojenje čini tehnološku cjelinu sastavljenu od više dijelova postrojenja kojima upravljaju različiti operateri, pri čemu se okolišnom dozvolom zasebno utvrđuju obveze i odgovornosti svakog operatera, a dozvola se dostavlja svim operaterima koji su podnijeli zahtjev.</w:t>
      </w:r>
    </w:p>
    <w:p>
      <w:pPr>
        <w:pBdr/>
        <w:pStyle w:val="Normal"/>
        <w:spacing/>
        <w:ind/>
        <w:rPr>
          <w:rFonts w:ascii="Arial" w:eastAsia="Arial" w:hAnsi="Arial" w:cs="Arial"/>
        </w:rPr>
      </w:pPr>
      <w:r>
        <w:rPr>
          <w:rFonts w:ascii="Arial" w:eastAsia="Arial" w:hAnsi="Arial" w:cs="Arial"/>
        </w:rPr>
        <w:t xml:space="preserve">(3) Ako se okolišna dozvola izdaje za dva ili više postrojenja, svako postrojenje mora ispunjavati uvjete propisane ovim Zakonom.</w:t>
      </w:r>
    </w:p>
    <w:p>
      <w:pPr>
        <w:pBdr/>
        <w:pStyle w:val="Normal"/>
        <w:spacing/>
        <w:ind/>
        <w:rPr>
          <w:rFonts w:ascii="Arial" w:eastAsia="Arial" w:hAnsi="Arial" w:cs="Arial"/>
        </w:rPr>
      </w:pPr>
    </w:p>
    <w:p>
      <w:pPr>
        <w:pBdr/>
        <w:pStyle w:val="Heading 2"/>
        <w:spacing/>
        <w:ind/>
        <w:rPr/>
      </w:pPr>
      <w:r>
        <w:rPr/>
        <w:t xml:space="preserve">Odgovornost za dokumentaciju i podatke</w:t>
      </w:r>
    </w:p>
    <w:p>
      <w:pPr>
        <w:pBdr/>
        <w:pStyle w:val="Heading 2"/>
        <w:spacing/>
        <w:ind/>
        <w:rPr/>
      </w:pPr>
      <w:r>
        <w:rPr/>
        <w:t xml:space="preserve">Članak 85.</w:t>
      </w:r>
    </w:p>
    <w:p>
      <w:pPr>
        <w:pBdr/>
        <w:pStyle w:val="Normal"/>
        <w:spacing/>
        <w:ind/>
        <w:rPr>
          <w:rFonts w:ascii="Arial" w:eastAsia="Arial" w:hAnsi="Arial" w:cs="Arial"/>
        </w:rPr>
      </w:pPr>
      <w:r>
        <w:rPr>
          <w:rFonts w:ascii="Arial" w:eastAsia="Arial" w:hAnsi="Arial" w:cs="Arial"/>
        </w:rPr>
        <w:t xml:space="preserve">(1) Operater je odgovoran za potpunost, istinitost i vjerodostojnost dokumentacije i podataka koje dostavlja u postupku ishođenja okolišne dozvole te njezinih izmjena i/ili dopuna.</w:t>
      </w:r>
    </w:p>
    <w:p>
      <w:pPr>
        <w:pBdr/>
        <w:pStyle w:val="Normal"/>
        <w:spacing/>
        <w:ind/>
        <w:rPr>
          <w:rFonts w:ascii="Arial" w:eastAsia="Arial" w:hAnsi="Arial" w:cs="Arial"/>
        </w:rPr>
      </w:pPr>
      <w:r>
        <w:rPr>
          <w:rFonts w:ascii="Arial" w:eastAsia="Arial" w:hAnsi="Arial" w:cs="Arial"/>
        </w:rPr>
        <w:t xml:space="preserve">(2) Dokumentacija iz stavka 1. ovoga članka smatra se vjerodostojnom ako se temelji na važećim zaključcima o NRT-</w:t>
      </w:r>
      <w:r>
        <w:rPr>
          <w:rFonts w:ascii="Arial" w:eastAsia="Arial" w:hAnsi="Arial" w:cs="Arial"/>
        </w:rPr>
        <w:t xml:space="preserve">u, posebnim propisima kojima se uređuju pojedine sastavnice i opterećenja okoliša te upravljanje kemikalijama, tehničkoj dokumentaciji postrojenja, izvješćima o mjerenjima ovlaštenih osoba i drugim službenim podacima.</w:t>
      </w:r>
    </w:p>
    <w:p>
      <w:pPr>
        <w:pBdr/>
        <w:pStyle w:val="Normal"/>
        <w:spacing/>
        <w:ind/>
        <w:rPr>
          <w:rFonts w:ascii="Arial" w:eastAsia="Arial" w:hAnsi="Arial" w:cs="Arial"/>
        </w:rPr>
      </w:pPr>
    </w:p>
    <w:p>
      <w:pPr>
        <w:pBdr/>
        <w:pStyle w:val="Heading 2"/>
        <w:spacing/>
        <w:ind/>
        <w:rPr/>
      </w:pPr>
      <w:r>
        <w:rPr/>
        <w:t xml:space="preserve">Ocjena zahtjeva i otklanjanje nedostataka</w:t>
      </w:r>
    </w:p>
    <w:p>
      <w:pPr>
        <w:pBdr/>
        <w:pStyle w:val="Heading 2"/>
        <w:spacing/>
        <w:ind/>
        <w:rPr/>
      </w:pPr>
      <w:r>
        <w:rPr/>
        <w:t xml:space="preserve">Članak 86.</w:t>
      </w:r>
    </w:p>
    <w:p>
      <w:pPr>
        <w:pBdr/>
        <w:pStyle w:val="Normal"/>
        <w:spacing/>
        <w:ind/>
        <w:rPr>
          <w:rFonts w:ascii="Arial" w:eastAsia="Arial" w:hAnsi="Arial" w:cs="Arial"/>
        </w:rPr>
      </w:pPr>
      <w:r>
        <w:rPr>
          <w:rFonts w:ascii="Arial" w:eastAsia="Arial" w:hAnsi="Arial" w:cs="Arial"/>
        </w:rPr>
        <w:t xml:space="preserve">(1) Pri odlučivanju o zahtjevu Ministarstvo primjenjuje načelo integriranog sprječavanja i kontrole onečišćenja iz članka 12. ovoga Zakona.</w:t>
      </w:r>
    </w:p>
    <w:p>
      <w:pPr>
        <w:pBdr/>
        <w:pStyle w:val="Normal"/>
        <w:spacing/>
        <w:ind/>
        <w:rPr>
          <w:rFonts w:ascii="Arial" w:eastAsia="Arial" w:hAnsi="Arial" w:cs="Arial"/>
        </w:rPr>
      </w:pPr>
      <w:r>
        <w:rPr>
          <w:rFonts w:ascii="Arial" w:eastAsia="Arial" w:hAnsi="Arial" w:cs="Arial"/>
        </w:rPr>
        <w:t xml:space="preserve">(2) Ako Ministarstvo tijekom postupka utvrdi da stručna podloga, dokumentacija ili predložene tehnike i mjere ne ispunjavaju zahtjeve ovoga Zakona, propisa donesenih na temelju njega, primjenjivih zaključaka o NRT-</w:t>
      </w:r>
      <w:r>
        <w:rPr>
          <w:rFonts w:ascii="Arial" w:eastAsia="Arial" w:hAnsi="Arial" w:cs="Arial"/>
        </w:rPr>
        <w:t xml:space="preserve">u odnosno NRT-</w:t>
      </w:r>
      <w:r>
        <w:rPr>
          <w:rFonts w:ascii="Arial" w:eastAsia="Arial" w:hAnsi="Arial" w:cs="Arial"/>
        </w:rPr>
        <w:t xml:space="preserve">a utvrđenih u skladu s člankom 98. ovoga Zakona, standarda kakvoće okoliša ili propisa kojima se uređuje zaštita pojedinih sastavnica okoliša, zaštita od opterećenja i upravljanje kemikalijama, zaključkom će pozvati operatera da u primjerenom roku, koji ne može biti dulji od 60 dana, izmijeni ili dopuni zahtjev odnosno dostavljenu dokumentaciju, a iznimno, ako su za izradu dopune potrebna dodatna mjerenja, ispitivanja ili složene stručne analize, taj rok može iznositi najdulje tri mjeseca. </w:t>
      </w:r>
    </w:p>
    <w:p>
      <w:pPr>
        <w:pBdr/>
        <w:pStyle w:val="Normal"/>
        <w:spacing/>
        <w:ind/>
        <w:rPr>
          <w:rFonts w:ascii="Arial" w:eastAsia="Arial" w:hAnsi="Arial" w:cs="Arial"/>
          <w:b/>
          <w:bCs/>
        </w:rPr>
      </w:pPr>
    </w:p>
    <w:p>
      <w:pPr>
        <w:pBdr/>
        <w:pStyle w:val="Heading 2"/>
        <w:spacing/>
        <w:ind/>
        <w:rPr/>
      </w:pPr>
      <w:r>
        <w:rPr/>
        <w:t xml:space="preserve">Sudjelovanje nadležnih tijela u postupku</w:t>
      </w:r>
    </w:p>
    <w:p>
      <w:pPr>
        <w:pBdr/>
        <w:pStyle w:val="Heading 2"/>
        <w:spacing/>
        <w:ind/>
        <w:rPr/>
      </w:pPr>
      <w:r>
        <w:rPr/>
        <w:t xml:space="preserve">Članak 87.</w:t>
      </w:r>
    </w:p>
    <w:p>
      <w:pPr>
        <w:pBdr/>
        <w:pStyle w:val="Normal"/>
        <w:spacing/>
        <w:ind/>
        <w:rPr>
          <w:rFonts w:ascii="Arial" w:eastAsia="Arial" w:hAnsi="Arial" w:cs="Arial"/>
        </w:rPr>
      </w:pPr>
      <w:r>
        <w:rPr>
          <w:rFonts w:ascii="Arial" w:eastAsia="Arial" w:hAnsi="Arial" w:cs="Arial"/>
        </w:rPr>
        <w:t xml:space="preserve">(1) U postupku izdavanja okolišne dozvole sudjeluju tijela državne uprave i pravne osobe s javnim ovlastima nadležni prema posebnim propisima za zaštitu pojedinih sastavnica okoliša, zaštitu od opterećenja okoliša, upravljanje kemikalijama i zaštitu zdravlja.</w:t>
      </w:r>
    </w:p>
    <w:p>
      <w:pPr>
        <w:pBdr/>
        <w:pStyle w:val="Normal"/>
        <w:spacing/>
        <w:ind/>
        <w:rPr>
          <w:rFonts w:ascii="Arial" w:eastAsia="Arial" w:hAnsi="Arial" w:cs="Arial"/>
        </w:rPr>
      </w:pPr>
      <w:r>
        <w:rPr>
          <w:rFonts w:ascii="Arial" w:eastAsia="Arial" w:hAnsi="Arial" w:cs="Arial"/>
        </w:rPr>
        <w:t xml:space="preserve">(2) Nadležna tijela i pravne osobe iz stavka 1. ovoga članka daju mišljenje o usklađenosti stručne podloge, predloženih tehnika, mjera i uvjeta s primjenjivim zaključcima o NRT-</w:t>
      </w:r>
      <w:r>
        <w:rPr>
          <w:rFonts w:ascii="Arial" w:eastAsia="Arial" w:hAnsi="Arial" w:cs="Arial"/>
        </w:rPr>
        <w:t xml:space="preserve">u odnosno NRT-</w:t>
      </w:r>
      <w:r>
        <w:rPr>
          <w:rFonts w:ascii="Arial" w:eastAsia="Arial" w:hAnsi="Arial" w:cs="Arial"/>
        </w:rPr>
        <w:t xml:space="preserve">om utvrđenim u skladu s člankom 98. ovoga Zakona te s primjenjivim zahtjevima posebnih propisa relevantnima za utvrđivanje mjera i uvjeta okolišne dozvole u skladu s člankom 94. i Dodatkom II. ovoga Zakona te, prema potrebi, predlažu izmjene ili dopune predloženih mjera i uvjeta.</w:t>
      </w:r>
    </w:p>
    <w:p>
      <w:pPr>
        <w:pBdr/>
        <w:pStyle w:val="Normal"/>
        <w:spacing/>
        <w:ind/>
        <w:rPr>
          <w:rFonts w:ascii="Arial" w:eastAsia="Arial" w:hAnsi="Arial" w:cs="Arial"/>
          <w:b/>
          <w:bCs/>
        </w:rPr>
      </w:pPr>
      <w:r>
        <w:rPr>
          <w:rFonts w:ascii="Arial" w:eastAsia="Arial" w:hAnsi="Arial" w:cs="Arial"/>
        </w:rPr>
        <w:t xml:space="preserve">(3) Ako dostavljena dokumentacija ne sadržava sve podatke potrebne za davanje mišljenja iz stavka 2. ovoga članka, nadležna tijela i pravne osobe dužni su navesti koje je podatke potrebno dostaviti te obrazložiti razloge za to, a ako posebni propisi kojima se uređuju pojedine sastavnice i opterećenja okoliša ili standardi kakvoće okoliša zahtijevaju strože uvjete od onih koji se mogu postići primjenom NRT-</w:t>
      </w:r>
      <w:r>
        <w:rPr>
          <w:rFonts w:ascii="Arial" w:eastAsia="Arial" w:hAnsi="Arial" w:cs="Arial"/>
        </w:rPr>
        <w:t xml:space="preserve">a, dužni su obrazložiti potrebu za utvrđivanjem takvih uvjeta te navesti dodatne podatke potrebne za njihovo utvrđivanje.</w:t>
      </w:r>
    </w:p>
    <w:p>
      <w:pPr>
        <w:pBdr/>
        <w:pStyle w:val="Normal"/>
        <w:spacing/>
        <w:ind/>
        <w:rPr>
          <w:rFonts w:ascii="Arial" w:eastAsia="Arial" w:hAnsi="Arial" w:cs="Arial"/>
        </w:rPr>
      </w:pPr>
      <w:r>
        <w:rPr>
          <w:rFonts w:ascii="Arial" w:eastAsia="Arial" w:hAnsi="Arial" w:cs="Arial"/>
        </w:rPr>
        <w:t xml:space="preserve">(4) Ministarstvo može zatražiti mišljenje i drugih nadležnih tijela, stručnih ustanova ili pravnih osoba s javnim ovlastima. </w:t>
      </w:r>
    </w:p>
    <w:p>
      <w:pPr>
        <w:pBdr/>
        <w:pStyle w:val="Normal"/>
        <w:spacing/>
        <w:ind/>
        <w:rPr>
          <w:rFonts w:ascii="Arial" w:eastAsia="Arial" w:hAnsi="Arial" w:cs="Arial"/>
          <w:i/>
        </w:rPr>
      </w:pPr>
    </w:p>
    <w:p>
      <w:pPr>
        <w:pBdr/>
        <w:pStyle w:val="Heading 2"/>
        <w:spacing/>
        <w:ind/>
        <w:rPr/>
      </w:pPr>
      <w:r>
        <w:rPr/>
        <w:t xml:space="preserve">Informiranje javnosti i javna rasprava</w:t>
      </w:r>
    </w:p>
    <w:p>
      <w:pPr>
        <w:pBdr/>
        <w:pStyle w:val="Heading 2"/>
        <w:spacing/>
        <w:ind/>
        <w:rPr/>
      </w:pPr>
      <w:r>
        <w:rPr/>
        <w:t xml:space="preserve">Članak 88.</w:t>
      </w:r>
    </w:p>
    <w:p>
      <w:pPr>
        <w:pBdr/>
        <w:pStyle w:val="Normal"/>
        <w:spacing/>
        <w:ind/>
        <w:rPr>
          <w:rFonts w:ascii="Arial" w:eastAsia="Arial" w:hAnsi="Arial" w:cs="Arial"/>
          <w:b/>
          <w:bCs/>
        </w:rPr>
      </w:pPr>
      <w:r>
        <w:rPr>
          <w:rFonts w:ascii="Arial" w:eastAsia="Arial" w:hAnsi="Arial" w:cs="Arial"/>
        </w:rPr>
        <w:t xml:space="preserve">(1) Ministarstvo informira javnost o zahtjevu u postupcima izdavanja, izmjene i/ili dopune okolišne dozvole te preispitivanja njezinih uvjeta objavom informacije na svojim mrežnim stranicama nakon što provjeri potpunost zahtjeva i usklađenost stručne podloge s primjenjivim zaključcima o NRT-</w:t>
      </w:r>
      <w:r>
        <w:rPr>
          <w:rFonts w:ascii="Arial" w:eastAsia="Arial" w:hAnsi="Arial" w:cs="Arial"/>
        </w:rPr>
        <w:t xml:space="preserve">u odnosno NRT-</w:t>
      </w:r>
      <w:r>
        <w:rPr>
          <w:rFonts w:ascii="Arial" w:eastAsia="Arial" w:hAnsi="Arial" w:cs="Arial"/>
        </w:rPr>
        <w:t xml:space="preserve">om utvrđenim u skladu s člankom 98. ovoga Zakona.</w:t>
      </w:r>
    </w:p>
    <w:p>
      <w:pPr>
        <w:pBdr/>
        <w:pStyle w:val="Normal"/>
        <w:spacing/>
        <w:ind/>
        <w:rPr>
          <w:rFonts w:ascii="Arial" w:eastAsia="Arial" w:hAnsi="Arial" w:cs="Arial"/>
        </w:rPr>
      </w:pPr>
      <w:r>
        <w:rPr>
          <w:rFonts w:ascii="Arial" w:eastAsia="Arial" w:hAnsi="Arial" w:cs="Arial"/>
        </w:rPr>
        <w:t xml:space="preserve">(2) Nakon primitka mišljenja nadležnih tijela iz kojih proizlazi da je zahtjev iz članka 83. stavka 1. ovoga Zakona utemeljen na primjeni NRT-</w:t>
      </w:r>
      <w:r>
        <w:rPr>
          <w:rFonts w:ascii="Arial" w:eastAsia="Arial" w:hAnsi="Arial" w:cs="Arial"/>
        </w:rPr>
        <w:t xml:space="preserve">a i propisa kojima se uređuju zaštita pojedinih sastavnica okoliša, zaštita od opterećenja okoliša i upravljanje kemikalijama, Ministarstvo donosi odluku o upućivanju zahtjeva na javnu raspravu.</w:t>
      </w:r>
    </w:p>
    <w:p>
      <w:pPr>
        <w:pBdr/>
        <w:pStyle w:val="Normal"/>
        <w:spacing/>
        <w:ind/>
        <w:rPr>
          <w:rFonts w:ascii="Arial" w:eastAsia="Arial" w:hAnsi="Arial" w:cs="Arial"/>
        </w:rPr>
      </w:pPr>
      <w:r>
        <w:rPr>
          <w:rFonts w:ascii="Arial" w:eastAsia="Arial" w:hAnsi="Arial" w:cs="Arial"/>
        </w:rPr>
        <w:t xml:space="preserve">(3) Ako nakon završetka javne rasprave zaprimi stručna mišljenja, izvješća ili savjete za koje utvrdi da bitno utječu na određivanje uvjeta okolišne dozvole, Ministarstvo ponavlja javnu raspravu u trajanju od najviše osam dana, uz odgovarajuću primjenu odredaba članka 245. ovoga Zakona.</w:t>
      </w:r>
    </w:p>
    <w:p>
      <w:pPr>
        <w:pBdr/>
        <w:pStyle w:val="Normal"/>
        <w:spacing/>
        <w:ind/>
        <w:rPr>
          <w:rFonts w:ascii="Arial" w:eastAsia="Arial" w:hAnsi="Arial" w:cs="Arial"/>
        </w:rPr>
      </w:pPr>
    </w:p>
    <w:p>
      <w:pPr>
        <w:pBdr/>
        <w:pStyle w:val="Heading 2"/>
        <w:spacing/>
        <w:ind/>
        <w:rPr/>
      </w:pPr>
      <w:r>
        <w:rPr/>
        <w:t xml:space="preserve">Odlučivanje o zahtjevu za izdavanje okolišne dozvole</w:t>
      </w:r>
    </w:p>
    <w:p>
      <w:pPr>
        <w:pBdr/>
        <w:pStyle w:val="Heading 2"/>
        <w:spacing/>
        <w:ind/>
        <w:rPr/>
      </w:pPr>
      <w:r>
        <w:rPr/>
        <w:t xml:space="preserve">Članak 89.</w:t>
      </w:r>
    </w:p>
    <w:p>
      <w:pPr>
        <w:pBdr/>
        <w:pStyle w:val="Normal"/>
        <w:spacing/>
        <w:ind/>
        <w:rPr>
          <w:rFonts w:ascii="Arial" w:eastAsia="Arial" w:hAnsi="Arial" w:cs="Arial"/>
        </w:rPr>
      </w:pPr>
      <w:r>
        <w:rPr>
          <w:rFonts w:ascii="Arial" w:eastAsia="Arial" w:hAnsi="Arial" w:cs="Arial"/>
        </w:rPr>
        <w:t xml:space="preserve">(1) Ministarstvo izdaje okolišnu dozvolu ako na temelju zahtjeva, stručne podloge, dokumentacije i dokaza, mišljenja nadležnih tijela i/ili osoba, rezultata sudjelovanja javnosti i zainteresirane javnosti te, ako je primjenjivo, rezultata prekograničnih konzultacija utvrdi da su ispunjeni zahtjevi propisani ovim Zakonom, propisima donesenim na temelju njega i primjenjivim propisima kojima se uređuju zaštita pojedinih sastavnica okoliša, zaštita od opterećenja okoliša i upravljanje kemikalijama.</w:t>
      </w:r>
    </w:p>
    <w:p>
      <w:pPr>
        <w:pBdr/>
        <w:pStyle w:val="Normal"/>
        <w:spacing/>
        <w:ind/>
        <w:rPr>
          <w:rFonts w:ascii="Arial" w:eastAsia="Arial" w:hAnsi="Arial" w:cs="Arial"/>
        </w:rPr>
      </w:pPr>
      <w:r>
        <w:rPr>
          <w:rFonts w:ascii="Arial" w:eastAsia="Arial" w:hAnsi="Arial" w:cs="Arial"/>
        </w:rPr>
        <w:t xml:space="preserve">(2) Ministarstvo će rješenjem odbiti zahtjev za izdavanje okolišne dozvole ako utvrdi da nisu ispunjeni propisani uvjeti za njezino izdavanje ili ako operater u roku određenom zaključkom iz članka 86. stavka 2. ovoga Zakona ne otkloni nedostatke zbog kojih nije moguće utvrditi ispunjenost tih uvjeta. </w:t>
      </w:r>
    </w:p>
    <w:p>
      <w:pPr>
        <w:pBdr/>
        <w:pStyle w:val="Normal"/>
        <w:spacing/>
        <w:ind/>
        <w:rPr>
          <w:rFonts w:ascii="Arial" w:eastAsia="Arial" w:hAnsi="Arial" w:cs="Arial"/>
        </w:rPr>
      </w:pPr>
      <w:r>
        <w:rPr>
          <w:rFonts w:ascii="Arial" w:eastAsia="Arial" w:hAnsi="Arial" w:cs="Arial"/>
        </w:rPr>
        <w:t xml:space="preserve">(3) Protiv rješenja iz stavka 2. ovoga članka žalba nije dopuštena, ali se može pokrenuti upravni spor.</w:t>
      </w:r>
    </w:p>
    <w:p>
      <w:pPr>
        <w:pBdr/>
        <w:pStyle w:val="Normal"/>
        <w:spacing/>
        <w:ind/>
        <w:rPr>
          <w:rFonts w:ascii="Arial" w:eastAsia="Arial" w:hAnsi="Arial" w:cs="Arial"/>
        </w:rPr>
      </w:pPr>
    </w:p>
    <w:p>
      <w:pPr>
        <w:pBdr/>
        <w:pStyle w:val="Heading 2"/>
        <w:spacing/>
        <w:ind/>
        <w:rPr/>
      </w:pPr>
      <w:r>
        <w:rPr/>
        <w:t xml:space="preserve">Nacrt okolišne dozvole</w:t>
      </w:r>
    </w:p>
    <w:p>
      <w:pPr>
        <w:pBdr/>
        <w:pStyle w:val="Heading 2"/>
        <w:spacing/>
        <w:ind/>
        <w:rPr/>
      </w:pPr>
      <w:r>
        <w:rPr/>
        <w:t xml:space="preserve">Članak 90.</w:t>
      </w:r>
    </w:p>
    <w:p>
      <w:pPr>
        <w:pBdr/>
        <w:pStyle w:val="Normal"/>
        <w:spacing/>
        <w:ind/>
        <w:rPr>
          <w:rFonts w:ascii="Arial" w:eastAsia="Arial" w:hAnsi="Arial" w:cs="Arial"/>
        </w:rPr>
      </w:pPr>
      <w:r>
        <w:rPr>
          <w:rFonts w:ascii="Arial" w:eastAsia="Arial" w:hAnsi="Arial" w:cs="Arial"/>
        </w:rPr>
        <w:t xml:space="preserve">Ministarstvo objavljuje nacrt okolišne dozvole odnosno nacrt njezine izmjene i/ili dopune na svojim mrežnim stranicama radi uvida javnosti u trajanju od osam dana od dana objave, osim u postupcima izmjene i/ili dopune okolišne dozvole zbog promjena u radu postrojenja koje nisu značajne te u postupcima preispitivanja njezinih uvjeta iz članka 130. stavka 1. točke 4. ovoga Zakona.</w:t>
      </w:r>
    </w:p>
    <w:p>
      <w:pPr>
        <w:pBdr/>
        <w:pStyle w:val="Normal"/>
        <w:spacing/>
        <w:ind/>
        <w:rPr>
          <w:rFonts w:ascii="Arial" w:eastAsia="Arial" w:hAnsi="Arial" w:cs="Arial"/>
        </w:rPr>
      </w:pPr>
    </w:p>
    <w:p>
      <w:pPr>
        <w:pBdr/>
        <w:pStyle w:val="Heading 2"/>
        <w:spacing/>
        <w:ind/>
        <w:rPr/>
      </w:pPr>
      <w:r>
        <w:rPr/>
        <w:t xml:space="preserve">Izdavanje okolišne dozvole</w:t>
      </w:r>
    </w:p>
    <w:p>
      <w:pPr>
        <w:pBdr/>
        <w:pStyle w:val="Heading 2"/>
        <w:spacing/>
        <w:ind/>
        <w:rPr/>
      </w:pPr>
      <w:r>
        <w:rPr/>
        <w:t xml:space="preserve">Članak 91.</w:t>
      </w:r>
    </w:p>
    <w:p>
      <w:pPr>
        <w:pBdr/>
        <w:pStyle w:val="Normal"/>
        <w:spacing/>
        <w:ind/>
        <w:rPr>
          <w:rFonts w:ascii="Arial" w:eastAsia="Arial" w:hAnsi="Arial" w:cs="Arial"/>
        </w:rPr>
      </w:pPr>
      <w:r>
        <w:rPr>
          <w:rFonts w:ascii="Arial" w:eastAsia="Arial" w:hAnsi="Arial" w:cs="Arial"/>
        </w:rPr>
        <w:t xml:space="preserve">(1) Postupak izdavanja okolišne dozvole, njezine izmjene i/ili dopune te preispitivanja njezinih uvjeta koji se pokreće na zahtjev operatera i u kojem se u skladu s člankom 238. ovoga Zakona provodi javna rasprava mora se provesti u roku od 90 dana, a iznimno zbog složenosti predmeta u roku od 150 dana, od dana zaprimanja izvješća o provedenoj javnoj raspravi iz članka 241. stavka 3. ovoga Zakona odnosno od dana sastavljanja izvješća iz članka 244. stavka 1. ovoga Zakona, ako ga izrađuje Ministarstvo.</w:t>
      </w:r>
    </w:p>
    <w:p>
      <w:pPr>
        <w:pBdr/>
        <w:pStyle w:val="Normal"/>
        <w:spacing/>
        <w:ind/>
        <w:rPr>
          <w:rFonts w:ascii="Arial" w:eastAsia="Arial" w:hAnsi="Arial" w:cs="Arial"/>
        </w:rPr>
      </w:pPr>
      <w:r>
        <w:rPr>
          <w:rFonts w:ascii="Arial" w:eastAsia="Arial" w:hAnsi="Arial" w:cs="Arial"/>
        </w:rPr>
        <w:t xml:space="preserve">(2) U postupcima izmjene i/ili dopune okolišne dozvole te preispitivanja njezinih uvjeta koji se pokreću na zahtjev operatera i u kojima se ne provodi javna rasprava, rok iz stavka 1. ovoga članka računa se od dana objave informacije o urednom zahtjevu na mrežnim stranicama Ministarstva, pri čemu se u taj rok ne uračunava razdoblje od dana dostave zaključka iz članka 86. stavka 2. ovoga Zakona do dana zaprimanja izmijenjenog ili dopunjenog zahtjeva odnosno dokumentacije. (3) Okolišna dozvola je upravni akt.</w:t>
      </w:r>
    </w:p>
    <w:p>
      <w:pPr>
        <w:pBdr/>
        <w:pStyle w:val="Normal"/>
        <w:spacing/>
        <w:ind/>
        <w:rPr>
          <w:rFonts w:ascii="Arial" w:eastAsia="Arial" w:hAnsi="Arial" w:cs="Arial"/>
        </w:rPr>
      </w:pPr>
    </w:p>
    <w:p>
      <w:pPr>
        <w:pBdr/>
        <w:pStyle w:val="Heading 2"/>
        <w:spacing/>
        <w:ind/>
        <w:rPr/>
      </w:pPr>
      <w:r>
        <w:rPr/>
        <w:t xml:space="preserve">Pravna zaštita, dostava i objava okolišne dozvole</w:t>
      </w:r>
    </w:p>
    <w:p>
      <w:pPr>
        <w:pBdr/>
        <w:pStyle w:val="Heading 2"/>
        <w:spacing/>
        <w:ind/>
        <w:rPr/>
      </w:pPr>
      <w:r>
        <w:rPr/>
        <w:t xml:space="preserve">Članak 92.</w:t>
      </w:r>
    </w:p>
    <w:p>
      <w:pPr>
        <w:pBdr/>
        <w:pStyle w:val="Normal"/>
        <w:spacing/>
        <w:ind/>
        <w:rPr>
          <w:rFonts w:ascii="Arial" w:eastAsia="Arial" w:hAnsi="Arial" w:cs="Arial"/>
        </w:rPr>
      </w:pPr>
      <w:r>
        <w:rPr>
          <w:rFonts w:ascii="Arial" w:eastAsia="Arial" w:hAnsi="Arial" w:cs="Arial"/>
        </w:rPr>
        <w:t xml:space="preserve">(1) Protiv okolišne dozvole žalba nije dopuštena, ali se može pokrenuti upravni spor.</w:t>
      </w:r>
    </w:p>
    <w:p>
      <w:pPr>
        <w:pBdr/>
        <w:pStyle w:val="Normal"/>
        <w:spacing/>
        <w:ind/>
        <w:rPr>
          <w:rFonts w:ascii="Arial" w:eastAsia="Arial" w:hAnsi="Arial" w:cs="Arial"/>
        </w:rPr>
      </w:pPr>
      <w:r>
        <w:rPr>
          <w:rFonts w:ascii="Arial" w:eastAsia="Arial" w:hAnsi="Arial" w:cs="Arial"/>
        </w:rPr>
        <w:t xml:space="preserve">(2) Upravni spor protiv okolišne dozvole može pokrenuti i zainteresirana javnost, za koju rok za pokretanje upravnog spora počinje teći istekom osmoga dana od dana objave okolišne dozvole na mrežnim stranicama Ministarstva.</w:t>
      </w:r>
    </w:p>
    <w:p>
      <w:pPr>
        <w:pBdr/>
        <w:pStyle w:val="Normal"/>
        <w:spacing/>
        <w:ind/>
        <w:rPr>
          <w:rFonts w:ascii="Arial" w:eastAsia="Arial" w:hAnsi="Arial" w:cs="Arial"/>
        </w:rPr>
      </w:pPr>
      <w:r>
        <w:rPr>
          <w:rFonts w:ascii="Arial" w:eastAsia="Arial" w:hAnsi="Arial" w:cs="Arial"/>
        </w:rPr>
        <w:t xml:space="preserve">(3) Okolišna dozvola uključujući njezine izmjene i/ili dopune dostavlja se operateru i tijelu nadležnom za obavljanje inspekcijskih poslova u području zaštite okoliša te se objavljuje na mrežnim stranicama Ministarstva.</w:t>
      </w:r>
    </w:p>
    <w:p>
      <w:pPr>
        <w:pBdr/>
        <w:pStyle w:val="Normal"/>
        <w:spacing/>
        <w:ind/>
        <w:rPr>
          <w:rFonts w:ascii="Arial" w:eastAsia="Arial" w:hAnsi="Arial" w:cs="Arial"/>
        </w:rPr>
      </w:pPr>
      <w:r>
        <w:rPr>
          <w:rFonts w:ascii="Arial" w:eastAsia="Arial" w:hAnsi="Arial" w:cs="Arial"/>
        </w:rPr>
        <w:t xml:space="preserve">(4) U slučaju izmjene i/ili dopune okolišne dozvole Ministarstvo na svojim mrežnim stranicama objavljuje pročišćeni tekst Knjige uvjeta iz Dodatka II. ovoga Zakona.</w:t>
      </w:r>
    </w:p>
    <w:p>
      <w:pPr>
        <w:pBdr/>
        <w:pStyle w:val="Normal"/>
        <w:spacing/>
        <w:ind/>
        <w:rPr>
          <w:rFonts w:ascii="Arial" w:eastAsia="Arial" w:hAnsi="Arial" w:cs="Arial"/>
        </w:rPr>
      </w:pPr>
    </w:p>
    <w:p>
      <w:pPr>
        <w:pBdr/>
        <w:pStyle w:val="Heading 2"/>
        <w:spacing/>
        <w:ind/>
        <w:rPr/>
      </w:pPr>
      <w:r>
        <w:rPr/>
        <w:t xml:space="preserve">Sadržaj okolišne dozvole</w:t>
      </w:r>
    </w:p>
    <w:p>
      <w:pPr>
        <w:pBdr/>
        <w:pStyle w:val="Heading 2"/>
        <w:spacing/>
        <w:ind/>
        <w:rPr/>
      </w:pPr>
      <w:r>
        <w:rPr/>
        <w:t xml:space="preserve">Članak 93.</w:t>
      </w:r>
    </w:p>
    <w:p>
      <w:pPr>
        <w:pBdr/>
        <w:pStyle w:val="Normal"/>
        <w:spacing/>
        <w:ind/>
        <w:rPr>
          <w:rFonts w:ascii="Arial" w:eastAsia="Arial" w:hAnsi="Arial" w:cs="Arial"/>
        </w:rPr>
      </w:pPr>
      <w:r>
        <w:rPr>
          <w:rFonts w:ascii="Arial" w:eastAsia="Arial" w:hAnsi="Arial" w:cs="Arial"/>
        </w:rPr>
        <w:t xml:space="preserve">(1) Okolišna dozvola sadržava:</w:t>
      </w:r>
    </w:p>
    <w:p>
      <w:pPr>
        <w:pBdr/>
        <w:pStyle w:val="Normal"/>
        <w:spacing/>
        <w:ind/>
        <w:rPr>
          <w:rFonts w:ascii="Arial" w:eastAsia="Arial" w:hAnsi="Arial" w:cs="Arial"/>
        </w:rPr>
      </w:pPr>
      <w:r>
        <w:rPr>
          <w:rFonts w:ascii="Arial" w:eastAsia="Arial" w:hAnsi="Arial" w:cs="Arial"/>
        </w:rPr>
        <w:t xml:space="preserve">1. popis djelatnosti koje se obavljaju u postrojenju u skladu s uredbom iz članka 76. stavka 5. ovoga Zakona</w:t>
      </w:r>
    </w:p>
    <w:p>
      <w:pPr>
        <w:pBdr/>
        <w:pStyle w:val="Normal"/>
        <w:spacing/>
        <w:ind/>
        <w:rPr>
          <w:rFonts w:ascii="Arial" w:eastAsia="Arial" w:hAnsi="Arial" w:cs="Arial"/>
        </w:rPr>
      </w:pPr>
      <w:r>
        <w:rPr>
          <w:rFonts w:ascii="Arial" w:eastAsia="Arial" w:hAnsi="Arial" w:cs="Arial"/>
        </w:rPr>
        <w:t xml:space="preserve">2. Knjigu uvjeta s utvrđenim mjerama i uvjetima za rad postrojenja, koja je prilog okolišnoj dozvoli i njezin sastavni dio</w:t>
      </w:r>
    </w:p>
    <w:p>
      <w:pPr>
        <w:pBdr/>
        <w:pStyle w:val="Normal"/>
        <w:spacing/>
        <w:ind/>
        <w:rPr>
          <w:rFonts w:ascii="Arial" w:eastAsia="Arial" w:hAnsi="Arial" w:cs="Arial"/>
        </w:rPr>
      </w:pPr>
      <w:r>
        <w:rPr>
          <w:rFonts w:ascii="Arial" w:eastAsia="Arial" w:hAnsi="Arial" w:cs="Arial"/>
        </w:rPr>
        <w:t xml:space="preserve">3. odredbu o upisu okolišne dozvole u Očevidnik okolišnih dozvola. </w:t>
      </w:r>
    </w:p>
    <w:p>
      <w:pPr>
        <w:pBdr/>
        <w:pStyle w:val="Normal"/>
        <w:spacing/>
        <w:ind/>
        <w:rPr>
          <w:rFonts w:ascii="Arial" w:eastAsia="Arial" w:hAnsi="Arial" w:cs="Arial"/>
        </w:rPr>
      </w:pPr>
      <w:r>
        <w:rPr>
          <w:rFonts w:ascii="Arial" w:eastAsia="Arial" w:hAnsi="Arial" w:cs="Arial"/>
        </w:rPr>
        <w:t xml:space="preserve">(2) Obrazloženje okolišne dozvole obvezno sadržava:</w:t>
      </w:r>
    </w:p>
    <w:p>
      <w:pPr>
        <w:pBdr/>
        <w:pStyle w:val="Normal"/>
        <w:spacing/>
        <w:ind/>
        <w:rPr>
          <w:rFonts w:ascii="Arial" w:eastAsia="Arial" w:hAnsi="Arial" w:cs="Arial"/>
        </w:rPr>
      </w:pPr>
      <w:r>
        <w:rPr>
          <w:rFonts w:ascii="Arial" w:eastAsia="Arial" w:hAnsi="Arial" w:cs="Arial"/>
        </w:rPr>
        <w:t xml:space="preserve">- razloge na kojima se temelji okolišna dozvola</w:t>
      </w:r>
    </w:p>
    <w:p>
      <w:pPr>
        <w:pBdr/>
        <w:pStyle w:val="Normal"/>
        <w:spacing/>
        <w:ind/>
        <w:rPr>
          <w:rFonts w:ascii="Arial" w:eastAsia="Arial" w:hAnsi="Arial" w:cs="Arial"/>
        </w:rPr>
      </w:pPr>
      <w:r>
        <w:rPr>
          <w:rFonts w:ascii="Arial" w:eastAsia="Arial" w:hAnsi="Arial" w:cs="Arial"/>
        </w:rPr>
        <w:t xml:space="preserve">- rezultate savjetovanja s javnošću, zainteresiranom javnošću i nadležnim tijelima te prekograničnih konzultacija, uz objašnjenje načina na koji su ti rezultati, zaprimljena mišljenja i primjedbe uzeti u obzir pri donošenju okolišne dozvole</w:t>
      </w:r>
    </w:p>
    <w:p>
      <w:pPr>
        <w:pBdr/>
        <w:pStyle w:val="Normal"/>
        <w:spacing/>
        <w:ind/>
        <w:rPr>
          <w:rFonts w:ascii="Arial" w:eastAsia="Arial" w:hAnsi="Arial" w:cs="Arial"/>
        </w:rPr>
      </w:pPr>
      <w:r>
        <w:rPr>
          <w:rFonts w:ascii="Arial" w:eastAsia="Arial" w:hAnsi="Arial" w:cs="Arial"/>
        </w:rPr>
        <w:t xml:space="preserve">- nazive RDNRT-</w:t>
      </w:r>
      <w:r>
        <w:rPr>
          <w:rFonts w:ascii="Arial" w:eastAsia="Arial" w:hAnsi="Arial" w:cs="Arial"/>
        </w:rPr>
        <w:t xml:space="preserve">a relevantnih za postrojenje ili djelatnost koja se u njemu obavlja</w:t>
      </w:r>
    </w:p>
    <w:p>
      <w:pPr>
        <w:pBdr/>
        <w:pStyle w:val="Normal"/>
        <w:spacing/>
        <w:ind/>
        <w:rPr>
          <w:rFonts w:ascii="Arial" w:eastAsia="Arial" w:hAnsi="Arial" w:cs="Arial"/>
        </w:rPr>
      </w:pPr>
      <w:r>
        <w:rPr>
          <w:rFonts w:ascii="Arial" w:eastAsia="Arial" w:hAnsi="Arial" w:cs="Arial"/>
        </w:rPr>
        <w:t xml:space="preserve">- obrazloženje mjera i uvjeta iz stavka 1. točke 2. ovoga članka, uključujući granične vrijednosti emisija, razine okolišne učinkovitosti i granične vrijednosti okolišne učinkovitosti, u odnosu na NRT te razine emisija i okolišne učinkovitosti povezane s NRT-</w:t>
      </w:r>
      <w:r>
        <w:rPr>
          <w:rFonts w:ascii="Arial" w:eastAsia="Arial" w:hAnsi="Arial" w:cs="Arial"/>
        </w:rPr>
        <w:t xml:space="preserve">om </w:t>
      </w:r>
    </w:p>
    <w:p>
      <w:pPr>
        <w:pBdr/>
        <w:pStyle w:val="Normal"/>
        <w:spacing/>
        <w:ind/>
        <w:rPr>
          <w:rFonts w:ascii="Arial" w:eastAsia="Arial" w:hAnsi="Arial" w:cs="Arial"/>
        </w:rPr>
      </w:pPr>
      <w:r>
        <w:rPr>
          <w:rFonts w:ascii="Arial" w:eastAsia="Arial" w:hAnsi="Arial" w:cs="Arial"/>
        </w:rPr>
        <w:t xml:space="preserve">- ako je odobreno odstupanje u skladu sa člancima 107., 109., 110., 133. i 134. ovoga Zakona, detaljno obrazloženje razloga za odobravanje odstupanja na temelju propisanih kriterija te uvjete utvrđene u vezi s odstupanjem.</w:t>
      </w:r>
    </w:p>
    <w:p>
      <w:pPr>
        <w:pBdr/>
        <w:pStyle w:val="Normal"/>
        <w:spacing/>
        <w:ind/>
        <w:rPr>
          <w:rFonts w:ascii="Arial" w:eastAsia="Arial" w:hAnsi="Arial" w:cs="Arial"/>
        </w:rPr>
      </w:pPr>
    </w:p>
    <w:p>
      <w:pPr>
        <w:pBdr/>
        <w:pStyle w:val="Heading 2"/>
        <w:spacing/>
        <w:ind/>
        <w:rPr/>
      </w:pPr>
      <w:r>
        <w:rPr/>
        <w:t xml:space="preserve">Knjiga uvjeta okolišne dozvole</w:t>
      </w:r>
    </w:p>
    <w:p>
      <w:pPr>
        <w:pBdr/>
        <w:pStyle w:val="Heading 2"/>
        <w:spacing/>
        <w:ind/>
        <w:rPr/>
      </w:pPr>
      <w:r>
        <w:rPr/>
        <w:t xml:space="preserve">Članak 94.</w:t>
      </w:r>
    </w:p>
    <w:p>
      <w:pPr>
        <w:pBdr/>
        <w:pStyle w:val="Normal"/>
        <w:spacing/>
        <w:ind/>
        <w:rPr>
          <w:rFonts w:ascii="Arial" w:eastAsia="Arial" w:hAnsi="Arial" w:cs="Arial"/>
        </w:rPr>
      </w:pPr>
      <w:r>
        <w:rPr>
          <w:rFonts w:ascii="Arial" w:eastAsia="Arial" w:hAnsi="Arial" w:cs="Arial"/>
        </w:rPr>
        <w:t xml:space="preserve">(1) Knjiga uvjeta iz članka 93. stavka 1. točke 2. ovoga Zakona temelji se na primjeni NRT-a, pri čemu se pri utvrđivanju mjera i uvjeta uzimaju u obzir značajke postrojenja i tehnološki procesi koji se u njemu odvijaju te zahtjevi zaštite pojedinih sastavnica okoliša i standardi kakvoće okoliša, a njezin sadržaj propisan je Dodatkom II. ovoga Zakona.</w:t>
      </w:r>
    </w:p>
    <w:p>
      <w:pPr>
        <w:pBdr/>
        <w:pStyle w:val="Normal"/>
        <w:spacing/>
        <w:ind/>
        <w:rPr>
          <w:rFonts w:ascii="Arial" w:eastAsia="Arial" w:hAnsi="Arial" w:cs="Arial"/>
        </w:rPr>
      </w:pPr>
      <w:r>
        <w:rPr>
          <w:rFonts w:ascii="Arial" w:eastAsia="Arial" w:hAnsi="Arial" w:cs="Arial"/>
        </w:rPr>
        <w:t xml:space="preserve">(2) Mjerama i uvjetima utvrđenim u Knjizi uvjeta osigurava se ispunjavanje obveza operatera iz članka 79. ovoga Zakona i zahtjeva iz članka 105. ovoga Zakona.</w:t>
      </w:r>
    </w:p>
    <w:p>
      <w:pPr>
        <w:pBdr/>
        <w:pStyle w:val="Normal"/>
        <w:spacing/>
        <w:ind/>
        <w:rPr>
          <w:rFonts w:ascii="Arial" w:eastAsia="Arial" w:hAnsi="Arial" w:cs="Arial"/>
        </w:rPr>
      </w:pPr>
      <w:r>
        <w:rPr>
          <w:rFonts w:ascii="Arial" w:eastAsia="Arial" w:hAnsi="Arial" w:cs="Arial"/>
        </w:rPr>
        <w:t xml:space="preserve">(3) Pobliža razrada sadržaja pojedinih dijelova Knjige uvjeta iz Dodatka II. ovoga Zakona propisuje se uredbom iz članka 76. stavka 5. ovoga Zakona.</w:t>
      </w:r>
    </w:p>
    <w:p>
      <w:pPr>
        <w:pBdr/>
        <w:pStyle w:val="Normal"/>
        <w:spacing/>
        <w:ind/>
        <w:rPr>
          <w:rFonts w:ascii="Arial" w:eastAsia="Arial" w:hAnsi="Arial" w:cs="Arial"/>
        </w:rPr>
      </w:pPr>
    </w:p>
    <w:p>
      <w:pPr>
        <w:pBdr/>
        <w:pStyle w:val="Heading 2"/>
        <w:spacing/>
        <w:ind/>
        <w:rPr/>
      </w:pPr>
      <w:r>
        <w:rPr/>
        <w:t xml:space="preserve">Očevidnik izdanih okolišnih dozvola</w:t>
      </w:r>
    </w:p>
    <w:p>
      <w:pPr>
        <w:pBdr/>
        <w:pStyle w:val="Heading 2"/>
        <w:spacing/>
        <w:ind/>
        <w:rPr/>
      </w:pPr>
      <w:r>
        <w:rPr/>
        <w:t xml:space="preserve">Članak 95.</w:t>
      </w:r>
    </w:p>
    <w:p>
      <w:pPr>
        <w:pBdr/>
        <w:pStyle w:val="Normal"/>
        <w:spacing/>
        <w:ind/>
        <w:rPr>
          <w:rFonts w:ascii="Arial" w:eastAsia="Arial" w:hAnsi="Arial" w:cs="Arial"/>
        </w:rPr>
      </w:pPr>
      <w:r>
        <w:rPr>
          <w:rFonts w:ascii="Arial" w:eastAsia="Arial" w:hAnsi="Arial" w:cs="Arial"/>
        </w:rPr>
        <w:t xml:space="preserve">(1) Ministarstvo odnosno Zavod vodi očevidnik izdanih okolišnih dozvola za postrojenja (u daljnjem tekstu: očevidnik) u elektroničkom obliku kao modul ISZOP-</w:t>
      </w:r>
      <w:r>
        <w:rPr>
          <w:rFonts w:ascii="Arial" w:eastAsia="Arial" w:hAnsi="Arial" w:cs="Arial"/>
        </w:rPr>
        <w:t xml:space="preserve">a.</w:t>
      </w:r>
    </w:p>
    <w:p>
      <w:pPr>
        <w:pBdr/>
        <w:pStyle w:val="Normal"/>
        <w:spacing/>
        <w:ind/>
        <w:rPr>
          <w:rFonts w:ascii="Arial" w:eastAsia="Arial" w:hAnsi="Arial" w:cs="Arial"/>
        </w:rPr>
      </w:pPr>
      <w:r>
        <w:rPr>
          <w:rFonts w:ascii="Arial" w:eastAsia="Arial" w:hAnsi="Arial" w:cs="Arial"/>
        </w:rPr>
        <w:t xml:space="preserve">(2) Očevidnik obvezno sadržava:</w:t>
      </w:r>
    </w:p>
    <w:p>
      <w:pPr>
        <w:pBdr/>
        <w:pStyle w:val="Normal"/>
        <w:spacing/>
        <w:ind/>
        <w:rPr>
          <w:rFonts w:ascii="Arial" w:eastAsia="Arial" w:hAnsi="Arial" w:cs="Arial"/>
        </w:rPr>
      </w:pPr>
      <w:r>
        <w:rPr>
          <w:rFonts w:ascii="Arial" w:eastAsia="Arial" w:hAnsi="Arial" w:cs="Arial"/>
        </w:rPr>
        <w:t xml:space="preserve">1. podatke o operateru i lokaciji postrojenja</w:t>
      </w:r>
    </w:p>
    <w:p>
      <w:pPr>
        <w:pBdr/>
        <w:pStyle w:val="Normal"/>
        <w:spacing/>
        <w:ind/>
        <w:rPr>
          <w:rFonts w:ascii="Arial" w:eastAsia="Arial" w:hAnsi="Arial" w:cs="Arial"/>
        </w:rPr>
      </w:pPr>
      <w:r>
        <w:rPr>
          <w:rFonts w:ascii="Arial" w:eastAsia="Arial" w:hAnsi="Arial" w:cs="Arial"/>
        </w:rPr>
        <w:t xml:space="preserve">2. podatke o djelatnostima koje se obavljaju u postrojenju i njihovom kapacitetu prema uredbi iz članka 76. stavka 5. ovoga Zakona</w:t>
      </w:r>
    </w:p>
    <w:p>
      <w:pPr>
        <w:pBdr/>
        <w:pStyle w:val="Normal"/>
        <w:spacing/>
        <w:ind/>
        <w:rPr>
          <w:rFonts w:ascii="Arial" w:eastAsia="Arial" w:hAnsi="Arial" w:cs="Arial"/>
        </w:rPr>
      </w:pPr>
      <w:r>
        <w:rPr>
          <w:rFonts w:ascii="Arial" w:eastAsia="Arial" w:hAnsi="Arial" w:cs="Arial"/>
        </w:rPr>
        <w:t xml:space="preserve">3. podatke o izdavanju, izmjenama i/ili dopunama, provedenom preispitivanju, prijenosu, ukidanju okolišne dozvole </w:t>
      </w:r>
    </w:p>
    <w:p>
      <w:pPr>
        <w:pBdr/>
        <w:pStyle w:val="Normal"/>
        <w:spacing/>
        <w:ind/>
        <w:rPr>
          <w:rFonts w:ascii="Arial" w:eastAsia="Arial" w:hAnsi="Arial" w:cs="Arial"/>
        </w:rPr>
      </w:pPr>
      <w:r>
        <w:rPr>
          <w:rFonts w:ascii="Arial" w:eastAsia="Arial" w:hAnsi="Arial" w:cs="Arial"/>
        </w:rPr>
        <w:t xml:space="preserve">4. okolišnu dozvolu i rješenja kojima se ona mijenja i/ili dopunjuje, prenosi ili ukida</w:t>
      </w:r>
    </w:p>
    <w:p>
      <w:pPr>
        <w:pBdr/>
        <w:pStyle w:val="Normal"/>
        <w:spacing/>
        <w:ind/>
        <w:rPr>
          <w:rFonts w:ascii="Arial" w:eastAsia="Arial" w:hAnsi="Arial" w:cs="Arial"/>
        </w:rPr>
      </w:pPr>
      <w:r>
        <w:rPr>
          <w:rFonts w:ascii="Arial" w:eastAsia="Arial" w:hAnsi="Arial" w:cs="Arial"/>
        </w:rPr>
        <w:t xml:space="preserve">5. pročišćeni tekst Knjige uvjeta iz članka 92. stavka 4. ovoga Zakona</w:t>
      </w:r>
    </w:p>
    <w:p>
      <w:pPr>
        <w:pBdr/>
        <w:pStyle w:val="Normal"/>
        <w:spacing/>
        <w:ind/>
        <w:rPr>
          <w:rFonts w:ascii="Arial" w:eastAsia="Arial" w:hAnsi="Arial" w:cs="Arial"/>
        </w:rPr>
      </w:pPr>
      <w:r>
        <w:rPr>
          <w:rFonts w:ascii="Arial" w:eastAsia="Arial" w:hAnsi="Arial" w:cs="Arial"/>
        </w:rPr>
        <w:t xml:space="preserve">6. podatke o RDNRT-</w:t>
      </w:r>
      <w:r>
        <w:rPr>
          <w:rFonts w:ascii="Arial" w:eastAsia="Arial" w:hAnsi="Arial" w:cs="Arial"/>
        </w:rPr>
        <w:t xml:space="preserve">ima relevantnima za postrojenje i zaključcima o NRT-</w:t>
      </w:r>
      <w:r>
        <w:rPr>
          <w:rFonts w:ascii="Arial" w:eastAsia="Arial" w:hAnsi="Arial" w:cs="Arial"/>
        </w:rPr>
        <w:t xml:space="preserve">u primijenjenima pri utvrđivanju uvjeta okolišne dozvole</w:t>
      </w:r>
    </w:p>
    <w:p>
      <w:pPr>
        <w:pBdr/>
        <w:pStyle w:val="Normal"/>
        <w:spacing/>
        <w:ind/>
        <w:rPr>
          <w:rFonts w:ascii="Arial" w:eastAsia="Arial" w:hAnsi="Arial" w:cs="Arial"/>
        </w:rPr>
      </w:pPr>
      <w:r>
        <w:rPr>
          <w:rFonts w:ascii="Arial" w:eastAsia="Arial" w:hAnsi="Arial" w:cs="Arial"/>
        </w:rPr>
        <w:t xml:space="preserve">7. podatke o odobrenim odstupanjima i razlozima za njihovo odobrenje</w:t>
      </w:r>
    </w:p>
    <w:p>
      <w:pPr>
        <w:pBdr/>
        <w:pStyle w:val="Normal"/>
        <w:spacing/>
        <w:ind/>
        <w:rPr>
          <w:rFonts w:ascii="Arial" w:eastAsia="Arial" w:hAnsi="Arial" w:cs="Arial"/>
        </w:rPr>
      </w:pPr>
      <w:r>
        <w:rPr>
          <w:rFonts w:ascii="Arial" w:eastAsia="Arial" w:hAnsi="Arial" w:cs="Arial"/>
        </w:rPr>
        <w:t xml:space="preserve">8. podatke o temeljnom izvješću.</w:t>
      </w:r>
    </w:p>
    <w:p>
      <w:pPr>
        <w:pBdr/>
        <w:pStyle w:val="Normal"/>
        <w:spacing/>
        <w:ind/>
        <w:rPr>
          <w:rFonts w:ascii="Arial" w:eastAsia="Arial" w:hAnsi="Arial" w:cs="Arial"/>
        </w:rPr>
      </w:pPr>
      <w:r>
        <w:rPr>
          <w:rFonts w:ascii="Arial" w:eastAsia="Arial" w:hAnsi="Arial" w:cs="Arial"/>
        </w:rPr>
        <w:t xml:space="preserve">(3) Putem očevidnika javnosti su dostupne okolišne dozvole, njihove izmjene i/ili dopune te pročišćeni tekstovi Knjige uvjeta.</w:t>
      </w:r>
    </w:p>
    <w:p>
      <w:pPr>
        <w:pBdr/>
        <w:pStyle w:val="Normal"/>
        <w:spacing/>
        <w:ind/>
        <w:rPr>
          <w:rFonts w:ascii="Arial" w:eastAsia="Arial" w:hAnsi="Arial" w:cs="Arial"/>
        </w:rPr>
      </w:pPr>
      <w:r>
        <w:rPr>
          <w:rFonts w:ascii="Arial" w:eastAsia="Arial" w:hAnsi="Arial" w:cs="Arial"/>
        </w:rPr>
        <w:t xml:space="preserve">(4) Pobliži sadržaj podataka iz stavka 2. ovoga članka, oblik i način vođenja očevidnika, način unosa i ažuriranja podataka te druga pitanja potrebna za provedbu obveza izvješćivanja Europske komisije propisuje ministar pravilnikom.</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POGLAVLJE IV. UTVRĐIVANJE UVJETA OKOLIŠNE DOZVOLE I PRIMJENA NRT-a</w:t>
      </w:r>
    </w:p>
    <w:p>
      <w:pPr>
        <w:pBdr/>
        <w:pStyle w:val="Heading 1"/>
        <w:spacing/>
        <w:ind/>
        <w:rPr>
          <w:rFonts w:ascii="Arial" w:eastAsia="Arial" w:hAnsi="Arial" w:cs="Arial"/>
          <w:szCs w:val="24"/>
        </w:rPr>
      </w:pPr>
      <w:r>
        <w:rPr>
          <w:rFonts w:ascii="Arial" w:eastAsia="Arial" w:hAnsi="Arial" w:cs="Arial"/>
          <w:szCs w:val="24"/>
        </w:rPr>
        <w:t xml:space="preserve">ODJELJAK 1. PRIMJENA NRT-a I UTVRĐIVANJE NRT-a</w:t>
      </w:r>
    </w:p>
    <w:p>
      <w:pPr>
        <w:pBdr/>
        <w:pStyle w:val="Heading 2"/>
        <w:spacing/>
        <w:ind/>
        <w:rPr/>
      </w:pPr>
      <w:r>
        <w:rPr/>
        <w:t xml:space="preserve">Praćenje razvoja NRT-a</w:t>
      </w:r>
    </w:p>
    <w:p>
      <w:pPr>
        <w:pBdr/>
        <w:pStyle w:val="Heading 2"/>
        <w:spacing/>
        <w:ind/>
        <w:rPr/>
      </w:pPr>
      <w:r>
        <w:rPr/>
        <w:t xml:space="preserve">Članak 96.</w:t>
      </w:r>
    </w:p>
    <w:p>
      <w:pPr>
        <w:pBdr/>
        <w:pStyle w:val="Normal"/>
        <w:spacing/>
        <w:ind/>
        <w:rPr>
          <w:rFonts w:ascii="Arial" w:eastAsia="Arial" w:hAnsi="Arial" w:cs="Arial"/>
        </w:rPr>
      </w:pPr>
      <w:r>
        <w:rPr>
          <w:rFonts w:ascii="Arial" w:eastAsia="Arial" w:hAnsi="Arial" w:cs="Arial"/>
        </w:rPr>
        <w:t xml:space="preserve">(1) Ministarstvo prati razvoj NRT-</w:t>
      </w:r>
      <w:r>
        <w:rPr>
          <w:rFonts w:ascii="Arial" w:eastAsia="Arial" w:hAnsi="Arial" w:cs="Arial"/>
        </w:rPr>
        <w:t xml:space="preserve">a, sudjeluje u razmjeni informacija na razini Europske unije te u postupcima izrade RDNRT-</w:t>
      </w:r>
      <w:r>
        <w:rPr>
          <w:rFonts w:ascii="Arial" w:eastAsia="Arial" w:hAnsi="Arial" w:cs="Arial"/>
        </w:rPr>
        <w:t xml:space="preserve">a i donošenju zaključaka o NRT-</w:t>
      </w:r>
      <w:r>
        <w:rPr>
          <w:rFonts w:ascii="Arial" w:eastAsia="Arial" w:hAnsi="Arial" w:cs="Arial"/>
        </w:rPr>
        <w:t xml:space="preserve">u, uključujući primjenu tehnika u nastajanju.</w:t>
      </w:r>
    </w:p>
    <w:p>
      <w:pPr>
        <w:pBdr/>
        <w:pStyle w:val="Normal"/>
        <w:spacing/>
        <w:ind/>
        <w:rPr>
          <w:rFonts w:ascii="Arial" w:eastAsia="Arial" w:hAnsi="Arial" w:cs="Arial"/>
        </w:rPr>
      </w:pPr>
      <w:r>
        <w:rPr>
          <w:rFonts w:ascii="Arial" w:eastAsia="Arial" w:hAnsi="Arial" w:cs="Arial"/>
        </w:rPr>
        <w:t xml:space="preserve">(2) Nakon objave odluke Europske komisije o zaključcima o NRT-</w:t>
      </w:r>
      <w:r>
        <w:rPr>
          <w:rFonts w:ascii="Arial" w:eastAsia="Arial" w:hAnsi="Arial" w:cs="Arial"/>
        </w:rPr>
        <w:t xml:space="preserve">u u Službenom listu Europske unije Ministarstvo na svojim mrežnim stranicama objavljuje informaciju o toj objavi, te, prema potrebi, informacije o drugim odlukama, smjernicama, metodologijama i drugim dokumentima Europske komisije od značaja za razvoj i primjenu NRT-</w:t>
      </w:r>
      <w:r>
        <w:rPr>
          <w:rFonts w:ascii="Arial" w:eastAsia="Arial" w:hAnsi="Arial" w:cs="Arial"/>
        </w:rPr>
        <w:t xml:space="preserve">a te provedbu sustava okolišnih dozvola.</w:t>
      </w:r>
    </w:p>
    <w:p>
      <w:pPr>
        <w:pBdr/>
        <w:pStyle w:val="Normal"/>
        <w:spacing/>
        <w:ind/>
        <w:rPr>
          <w:rFonts w:ascii="Arial" w:eastAsia="Arial" w:hAnsi="Arial" w:cs="Arial"/>
        </w:rPr>
      </w:pPr>
      <w:r>
        <w:rPr>
          <w:rFonts w:ascii="Arial" w:eastAsia="Arial" w:hAnsi="Arial" w:cs="Arial"/>
        </w:rPr>
        <w:t xml:space="preserve">(3) Poslove iz stavka 1. ovoga članka Ministarstvo obavlja samostalno ili u suradnji s drugim tijelima državne uprave, pravnim osobama s javnim ovlastima, znanstvenim i stručnim ustanovama, komorama, gospodarskim i strukovnim udruženjima, gospodarskim subjektima, organizacijama civilnoga društva i drugim zainteresiranim dionicima. </w:t>
      </w:r>
    </w:p>
    <w:p>
      <w:pPr>
        <w:pBdr/>
        <w:pStyle w:val="Normal"/>
        <w:spacing/>
        <w:ind/>
        <w:rPr>
          <w:rFonts w:ascii="Arial" w:eastAsia="Arial" w:hAnsi="Arial" w:cs="Arial"/>
        </w:rPr>
      </w:pPr>
      <w:r>
        <w:rPr>
          <w:rFonts w:ascii="Arial" w:eastAsia="Arial" w:hAnsi="Arial" w:cs="Arial"/>
        </w:rPr>
        <w:t xml:space="preserve">(4) Radi obavljanja poslova iz stavka 1. ovoga članka ministar može odlukom osnovati stručno savjetodavno tijelo pri Ministarstvu te stručne i sektorske radne skupine.</w:t>
      </w:r>
    </w:p>
    <w:p>
      <w:pPr>
        <w:pBdr/>
        <w:pStyle w:val="Normal"/>
        <w:spacing/>
        <w:ind/>
        <w:rPr>
          <w:rFonts w:ascii="Arial" w:eastAsia="Arial" w:hAnsi="Arial" w:cs="Arial"/>
        </w:rPr>
      </w:pPr>
      <w:r>
        <w:rPr>
          <w:rFonts w:ascii="Arial" w:eastAsia="Arial" w:hAnsi="Arial" w:cs="Arial"/>
        </w:rPr>
        <w:t xml:space="preserve">(5) Za obavljanje pojedinih stručnih, tehničkih, organizacijskih i administrativnih poslova potrebnih za provedbu aktivnosti iz stavka 1. ovoga članka Ministarstvo može angažirati pravnu osobu s javnim ovlastima, znanstvenu ili stručnu ustanovu, komoru, drugu pravnu osobu ili stručnjaka.</w:t>
      </w:r>
    </w:p>
    <w:p>
      <w:pPr>
        <w:pBdr/>
        <w:pStyle w:val="Normal"/>
        <w:spacing/>
        <w:ind/>
        <w:rPr>
          <w:rFonts w:ascii="Arial" w:eastAsia="Arial" w:hAnsi="Arial" w:cs="Arial"/>
        </w:rPr>
      </w:pPr>
      <w:r>
        <w:rPr>
          <w:rFonts w:ascii="Arial" w:eastAsia="Arial" w:hAnsi="Arial" w:cs="Arial"/>
        </w:rPr>
        <w:t xml:space="preserve">(6) Način provedbe aktivnosti iz stavaka 1. i 3. ovoga članka te sadržaj i način dostave podataka potrebnih za izradu i reviziju RDNRT-</w:t>
      </w:r>
      <w:r>
        <w:rPr>
          <w:rFonts w:ascii="Arial" w:eastAsia="Arial" w:hAnsi="Arial" w:cs="Arial"/>
        </w:rPr>
        <w:t xml:space="preserve">a propisuju se uredbom iz članka 76. stavka 5. ovoga Zakona.</w:t>
      </w:r>
    </w:p>
    <w:p>
      <w:pPr>
        <w:pBdr/>
        <w:pStyle w:val="Normal"/>
        <w:spacing/>
        <w:ind/>
        <w:rPr>
          <w:rFonts w:ascii="Arial" w:eastAsia="Arial" w:hAnsi="Arial" w:cs="Arial"/>
        </w:rPr>
      </w:pPr>
    </w:p>
    <w:p>
      <w:pPr>
        <w:pBdr/>
        <w:pStyle w:val="Heading 2"/>
        <w:spacing/>
        <w:ind/>
        <w:rPr/>
      </w:pPr>
      <w:r>
        <w:rPr/>
        <w:t xml:space="preserve">Određivanje uvjeta na temelju zaključaka o NRT-u</w:t>
      </w:r>
    </w:p>
    <w:p>
      <w:pPr>
        <w:pBdr/>
        <w:pStyle w:val="Heading 2"/>
        <w:spacing/>
        <w:ind/>
        <w:rPr/>
      </w:pPr>
      <w:r>
        <w:rPr/>
        <w:t xml:space="preserve">Članak 97.</w:t>
      </w:r>
    </w:p>
    <w:p>
      <w:pPr>
        <w:pBdr/>
        <w:pStyle w:val="Normal"/>
        <w:spacing/>
        <w:ind/>
        <w:rPr>
          <w:rFonts w:ascii="Arial" w:eastAsia="Arial" w:hAnsi="Arial" w:cs="Arial"/>
        </w:rPr>
      </w:pPr>
      <w:r>
        <w:rPr>
          <w:rFonts w:ascii="Arial" w:eastAsia="Arial" w:hAnsi="Arial" w:cs="Arial"/>
        </w:rPr>
        <w:t xml:space="preserve">(1) Uvjeti okolišne dozvole utvrđuju se na temelju zaključaka o NRT-</w:t>
      </w:r>
      <w:r>
        <w:rPr>
          <w:rFonts w:ascii="Arial" w:eastAsia="Arial" w:hAnsi="Arial" w:cs="Arial"/>
        </w:rPr>
        <w:t xml:space="preserve">u.</w:t>
      </w:r>
    </w:p>
    <w:p>
      <w:pPr>
        <w:pBdr/>
        <w:pStyle w:val="Normal"/>
        <w:spacing/>
        <w:ind/>
        <w:rPr>
          <w:rFonts w:ascii="Arial" w:eastAsia="Arial" w:hAnsi="Arial" w:cs="Arial"/>
        </w:rPr>
      </w:pPr>
      <w:r>
        <w:rPr>
          <w:rFonts w:ascii="Arial" w:eastAsia="Arial" w:hAnsi="Arial" w:cs="Arial"/>
        </w:rPr>
        <w:t xml:space="preserve">(2) Ministarstvo može odrediti strože uvjete okolišne dozvole od onih koji se mogu postići primjenom NRT-</w:t>
      </w:r>
      <w:r>
        <w:rPr>
          <w:rFonts w:ascii="Arial" w:eastAsia="Arial" w:hAnsi="Arial" w:cs="Arial"/>
        </w:rPr>
        <w:t xml:space="preserve">a opisanih u zaključcima o NRT-</w:t>
      </w:r>
      <w:r>
        <w:rPr>
          <w:rFonts w:ascii="Arial" w:eastAsia="Arial" w:hAnsi="Arial" w:cs="Arial"/>
        </w:rPr>
        <w:t xml:space="preserve">u, uz obvezno poštivanje standarda kakvoće okoliša propisanih posebnim propisima iz članka 105. ovoga Zakona.</w:t>
      </w:r>
    </w:p>
    <w:p>
      <w:pPr>
        <w:pBdr/>
        <w:pStyle w:val="Normal"/>
        <w:spacing/>
        <w:ind/>
        <w:rPr>
          <w:rFonts w:ascii="Arial" w:eastAsia="Arial" w:hAnsi="Arial" w:cs="Arial"/>
        </w:rPr>
      </w:pPr>
    </w:p>
    <w:p>
      <w:pPr>
        <w:pBdr/>
        <w:pStyle w:val="Heading 2"/>
        <w:spacing/>
        <w:ind/>
        <w:rPr/>
      </w:pPr>
      <w:r>
        <w:rPr/>
        <w:t xml:space="preserve">Određivanje uvjeta kada NRT ili djelatnost nisu obuhvaćeni zaključcima o NRT-u</w:t>
      </w:r>
    </w:p>
    <w:p>
      <w:pPr>
        <w:pBdr/>
        <w:pStyle w:val="Heading 2"/>
        <w:spacing/>
        <w:ind/>
        <w:rPr/>
      </w:pPr>
      <w:r>
        <w:rPr/>
        <w:t xml:space="preserve">Članak 98.</w:t>
      </w:r>
    </w:p>
    <w:p>
      <w:pPr>
        <w:pBdr/>
        <w:pStyle w:val="Normal"/>
        <w:spacing/>
        <w:ind/>
        <w:rPr>
          <w:rFonts w:ascii="Arial" w:eastAsia="Arial" w:hAnsi="Arial" w:cs="Arial"/>
        </w:rPr>
      </w:pPr>
      <w:r>
        <w:rPr>
          <w:rFonts w:ascii="Arial" w:eastAsia="Arial" w:hAnsi="Arial" w:cs="Arial"/>
        </w:rPr>
        <w:t xml:space="preserve">(1) Ako Ministarstvo utvrđuje uvjete okolišne dozvole na temelju najbolje raspoložive tehnike koja nije opisana ni u jednim relevantnim zaključcima o NRT-</w:t>
      </w:r>
      <w:r>
        <w:rPr>
          <w:rFonts w:ascii="Arial" w:eastAsia="Arial" w:hAnsi="Arial" w:cs="Arial"/>
        </w:rPr>
        <w:t xml:space="preserve">u, dužno je osigurati:</w:t>
      </w:r>
    </w:p>
    <w:p>
      <w:pPr>
        <w:pBdr/>
        <w:pStyle w:val="Normal"/>
        <w:spacing/>
        <w:ind/>
        <w:rPr>
          <w:rFonts w:ascii="Arial" w:eastAsia="Arial" w:hAnsi="Arial" w:cs="Arial"/>
        </w:rPr>
      </w:pPr>
      <w:r>
        <w:rPr>
          <w:rFonts w:ascii="Arial" w:eastAsia="Arial" w:hAnsi="Arial" w:cs="Arial"/>
        </w:rPr>
        <w:t xml:space="preserve">1. da se pri utvrđivanju te tehnike posebna pozornost posveti tehničkim kriterijima iz uredbe iz članka 76. stavka 5. ovoga Zakona </w:t>
      </w:r>
    </w:p>
    <w:p>
      <w:pPr>
        <w:pBdr/>
        <w:pStyle w:val="Normal"/>
        <w:spacing/>
        <w:ind/>
        <w:rPr>
          <w:rFonts w:ascii="Arial" w:eastAsia="Arial" w:hAnsi="Arial" w:cs="Arial"/>
        </w:rPr>
      </w:pPr>
      <w:r>
        <w:rPr>
          <w:rFonts w:ascii="Arial" w:eastAsia="Arial" w:hAnsi="Arial" w:cs="Arial"/>
        </w:rPr>
        <w:t xml:space="preserve">2. da se poštuju zahtjevi iz članaka 100. do 104. i članaka 107. do 112. ovoga Zakona, kada su primjenjivi.</w:t>
      </w:r>
    </w:p>
    <w:p>
      <w:pPr>
        <w:pBdr/>
        <w:pStyle w:val="Normal"/>
        <w:spacing/>
        <w:ind/>
        <w:rPr>
          <w:rFonts w:ascii="Arial" w:eastAsia="Arial" w:hAnsi="Arial" w:cs="Arial"/>
        </w:rPr>
      </w:pPr>
      <w:r>
        <w:rPr>
          <w:rFonts w:ascii="Arial" w:eastAsia="Arial" w:hAnsi="Arial" w:cs="Arial"/>
        </w:rPr>
        <w:t xml:space="preserve">(2) Ako relevantni zaključci o NRT-</w:t>
      </w:r>
      <w:r>
        <w:rPr>
          <w:rFonts w:ascii="Arial" w:eastAsia="Arial" w:hAnsi="Arial" w:cs="Arial"/>
        </w:rPr>
        <w:t xml:space="preserve">u iz stavka 1. ovoga članka ne sadržavaju razine emisija povezane s NRT-</w:t>
      </w:r>
      <w:r>
        <w:rPr>
          <w:rFonts w:ascii="Arial" w:eastAsia="Arial" w:hAnsi="Arial" w:cs="Arial"/>
        </w:rPr>
        <w:t xml:space="preserve">om, Ministarstvo je dužno osigurati da tehnika iz stavka 1. ovoga članka osigurava razinu zaštite okoliša jednaku onoj koja se postiže primjenom NRT-</w:t>
      </w:r>
      <w:r>
        <w:rPr>
          <w:rFonts w:ascii="Arial" w:eastAsia="Arial" w:hAnsi="Arial" w:cs="Arial"/>
        </w:rPr>
        <w:t xml:space="preserve">a opisanih u tim zaključcima.</w:t>
      </w:r>
    </w:p>
    <w:p>
      <w:pPr>
        <w:pBdr/>
        <w:pStyle w:val="Normal"/>
        <w:spacing/>
        <w:ind/>
        <w:rPr>
          <w:rFonts w:ascii="Arial" w:eastAsia="Arial" w:hAnsi="Arial" w:cs="Arial"/>
        </w:rPr>
      </w:pPr>
      <w:r>
        <w:rPr>
          <w:rFonts w:ascii="Arial" w:eastAsia="Arial" w:hAnsi="Arial" w:cs="Arial"/>
        </w:rPr>
        <w:t xml:space="preserve">(3) Ako aktivnost ili vrsta proizvodnog procesa u postrojenju nije obuhvaćena nijednim zaključcima o NRT-</w:t>
      </w:r>
      <w:r>
        <w:rPr>
          <w:rFonts w:ascii="Arial" w:eastAsia="Arial" w:hAnsi="Arial" w:cs="Arial"/>
        </w:rPr>
        <w:t xml:space="preserve">u ili ti zaključci ne obuhvaćaju sve moguće učinke koje aktivnost ili proces imaju na okoliš, Ministarstvo nakon prethodnih konzultacija s operaterom utvrđuje uvjete okolišne dozvole na temelju NRT-</w:t>
      </w:r>
      <w:r>
        <w:rPr>
          <w:rFonts w:ascii="Arial" w:eastAsia="Arial" w:hAnsi="Arial" w:cs="Arial"/>
        </w:rPr>
        <w:t xml:space="preserve">a koje je utvrdilo za tu aktivnost ili proces, uz posebnu pozornost na tehničke kriterije za određivanje NRT-</w:t>
      </w:r>
      <w:r>
        <w:rPr>
          <w:rFonts w:ascii="Arial" w:eastAsia="Arial" w:hAnsi="Arial" w:cs="Arial"/>
        </w:rPr>
        <w:t xml:space="preserve">a propisane uredbom iz članka 76. stavka 5. ovoga Zakona.</w:t>
      </w:r>
    </w:p>
    <w:p>
      <w:pPr>
        <w:pBdr/>
        <w:pStyle w:val="Normal"/>
        <w:spacing/>
        <w:ind/>
        <w:rPr>
          <w:rFonts w:ascii="Arial" w:eastAsia="Arial" w:hAnsi="Arial" w:cs="Arial"/>
        </w:rPr>
      </w:pPr>
    </w:p>
    <w:p>
      <w:pPr>
        <w:pBdr/>
        <w:pStyle w:val="Heading 2"/>
        <w:spacing/>
        <w:ind/>
        <w:rPr/>
      </w:pPr>
      <w:r>
        <w:rPr/>
        <w:t xml:space="preserve">Primjena zaključaka o NRT-u iz ranijih RDNRT-a</w:t>
      </w:r>
    </w:p>
    <w:p>
      <w:pPr>
        <w:pBdr/>
        <w:pStyle w:val="Heading 2"/>
        <w:spacing/>
        <w:ind/>
        <w:rPr/>
      </w:pPr>
      <w:r>
        <w:rPr/>
        <w:t xml:space="preserve">Članak 99.</w:t>
      </w:r>
    </w:p>
    <w:p>
      <w:pPr>
        <w:pBdr/>
        <w:pStyle w:val="Normal"/>
        <w:spacing/>
        <w:ind/>
        <w:rPr>
          <w:rFonts w:ascii="Arial" w:eastAsia="Arial" w:hAnsi="Arial" w:cs="Arial"/>
        </w:rPr>
      </w:pPr>
      <w:r>
        <w:rPr>
          <w:rFonts w:ascii="Arial" w:eastAsia="Arial" w:hAnsi="Arial" w:cs="Arial"/>
        </w:rPr>
        <w:t xml:space="preserve">Do donošenja odluke Europske komisije o zaključcima o NRT-</w:t>
      </w:r>
      <w:r>
        <w:rPr>
          <w:rFonts w:ascii="Arial" w:eastAsia="Arial" w:hAnsi="Arial" w:cs="Arial"/>
        </w:rPr>
        <w:t xml:space="preserve">u relevantnima za predmetnu djelatnost, zaključci sadržani u RDNRT-</w:t>
      </w:r>
      <w:r>
        <w:rPr>
          <w:rFonts w:ascii="Arial" w:eastAsia="Arial" w:hAnsi="Arial" w:cs="Arial"/>
        </w:rPr>
        <w:t xml:space="preserve">ima koje je Europska komisija usvojila prije stupanja na snagu Direktive 2010/75/EU primjenjuju se kao zaključci o NRT-</w:t>
      </w:r>
      <w:r>
        <w:rPr>
          <w:rFonts w:ascii="Arial" w:eastAsia="Arial" w:hAnsi="Arial" w:cs="Arial"/>
        </w:rPr>
        <w:t xml:space="preserve">u, osim u slučajevima propisanim člankom 100. stavcima 2. do 4. te člancima 102. i 104. ovoga Zakona.</w:t>
      </w:r>
    </w:p>
    <w:p>
      <w:pPr>
        <w:pBdr/>
        <w:pStyle w:val="Normal"/>
        <w:spacing/>
        <w:ind/>
        <w:rPr>
          <w:rFonts w:ascii="Arial" w:eastAsia="Arial" w:hAnsi="Arial" w:cs="Arial"/>
        </w:rPr>
      </w:pPr>
    </w:p>
    <w:p>
      <w:pPr>
        <w:pBdr/>
        <w:pStyle w:val="Heading 2"/>
        <w:spacing/>
        <w:ind/>
        <w:rPr/>
      </w:pPr>
      <w:r>
        <w:rPr/>
        <w:t xml:space="preserve">Granične vrijednosti emisija</w:t>
      </w:r>
    </w:p>
    <w:p>
      <w:pPr>
        <w:pBdr/>
        <w:pStyle w:val="Heading 2"/>
        <w:spacing/>
        <w:ind/>
        <w:rPr/>
      </w:pPr>
      <w:r>
        <w:rPr/>
        <w:t xml:space="preserve">Članak 100.</w:t>
      </w:r>
    </w:p>
    <w:p>
      <w:pPr>
        <w:pBdr/>
        <w:pStyle w:val="Normal"/>
        <w:spacing/>
        <w:ind/>
        <w:rPr>
          <w:rFonts w:ascii="Arial" w:eastAsia="Arial" w:hAnsi="Arial" w:cs="Arial"/>
        </w:rPr>
      </w:pPr>
      <w:r>
        <w:rPr>
          <w:rFonts w:ascii="Arial" w:eastAsia="Arial" w:hAnsi="Arial" w:cs="Arial"/>
        </w:rPr>
        <w:t xml:space="preserve">(1) Granične vrijednosti emisija za onečišćujuće tvari primjenjuju se na mjestu na kojem emisije napuštaju postrojenje, pri čemu se pri njihovu određivanju zanemaruje svako razrjeđivanje prije tog mjesta.</w:t>
      </w:r>
    </w:p>
    <w:p>
      <w:pPr>
        <w:pBdr/>
        <w:pStyle w:val="Normal"/>
        <w:spacing/>
        <w:ind/>
        <w:rPr>
          <w:rFonts w:ascii="Arial" w:eastAsia="Arial" w:hAnsi="Arial" w:cs="Arial"/>
        </w:rPr>
      </w:pPr>
      <w:r>
        <w:rPr>
          <w:rFonts w:ascii="Arial" w:eastAsia="Arial" w:hAnsi="Arial" w:cs="Arial"/>
        </w:rPr>
        <w:t xml:space="preserve">(2) Granične vrijednosti emisija određuju se na jedan od sljedećih načina:</w:t>
      </w:r>
    </w:p>
    <w:p>
      <w:pPr>
        <w:pBdr/>
        <w:pStyle w:val="Normal"/>
        <w:spacing/>
        <w:ind/>
        <w:rPr>
          <w:rFonts w:ascii="Arial" w:eastAsia="Arial" w:hAnsi="Arial" w:cs="Arial"/>
        </w:rPr>
      </w:pPr>
      <w:r>
        <w:rPr>
          <w:rFonts w:ascii="Arial" w:eastAsia="Arial" w:hAnsi="Arial" w:cs="Arial"/>
        </w:rPr>
        <w:t xml:space="preserve">1. utvrđivanjem graničnih vrijednosti emisija izraženih za ista ili kraća razdoblja i pod istim referentnim uvjetima kao razine emisija povezane s NRT-</w:t>
      </w:r>
      <w:r>
        <w:rPr>
          <w:rFonts w:ascii="Arial" w:eastAsia="Arial" w:hAnsi="Arial" w:cs="Arial"/>
        </w:rPr>
        <w:t xml:space="preserve">om ili</w:t>
      </w:r>
    </w:p>
    <w:p>
      <w:pPr>
        <w:pBdr/>
        <w:pStyle w:val="Normal"/>
        <w:spacing/>
        <w:ind/>
        <w:rPr>
          <w:rFonts w:ascii="Arial" w:eastAsia="Arial" w:hAnsi="Arial" w:cs="Arial"/>
        </w:rPr>
      </w:pPr>
      <w:r>
        <w:rPr>
          <w:rFonts w:ascii="Arial" w:eastAsia="Arial" w:hAnsi="Arial" w:cs="Arial"/>
        </w:rPr>
        <w:t xml:space="preserve">2. utvrđivanjem graničnih vrijednosti emisija koje se u pogledu vrijednosti, razdoblja ili referentnih uvjeta razlikuju od graničnih vrijednosti emisija iz točke 1. ovoga stavka.</w:t>
      </w:r>
    </w:p>
    <w:p>
      <w:pPr>
        <w:pBdr/>
        <w:pStyle w:val="Normal"/>
        <w:spacing/>
        <w:ind/>
        <w:rPr>
          <w:rFonts w:ascii="Arial" w:eastAsia="Arial" w:hAnsi="Arial" w:cs="Arial"/>
        </w:rPr>
      </w:pPr>
      <w:r>
        <w:rPr>
          <w:rFonts w:ascii="Arial" w:eastAsia="Arial" w:hAnsi="Arial" w:cs="Arial"/>
        </w:rPr>
        <w:t xml:space="preserve">(3) Ako se granične vrijednosti emisija utvrđuju u skladu sa stavkom 2. točkom 2. ovoga članka, operater je dužan najmanje jednom godišnje, a u kraćim rokovima ako su utvrđeni okolišnom dozvolom, dostavljati u ISZOP rezultate praćenja emisija za ista razdoblja i pod istim referentnim uvjetima kao razine emisija povezane s NRT-</w:t>
      </w:r>
      <w:r>
        <w:rPr>
          <w:rFonts w:ascii="Arial" w:eastAsia="Arial" w:hAnsi="Arial" w:cs="Arial"/>
        </w:rPr>
        <w:t xml:space="preserve">om, a do pune uspostave ISZOP-</w:t>
      </w:r>
      <w:r>
        <w:rPr>
          <w:rFonts w:ascii="Arial" w:eastAsia="Arial" w:hAnsi="Arial" w:cs="Arial"/>
        </w:rPr>
        <w:t xml:space="preserve">a te rezultate dostavljati Ministarstvu odnosno Zavodu  u elektroničkom obliku.</w:t>
      </w:r>
    </w:p>
    <w:p>
      <w:pPr>
        <w:pBdr/>
        <w:pStyle w:val="Normal"/>
        <w:spacing/>
        <w:ind/>
        <w:rPr>
          <w:rFonts w:ascii="Arial" w:eastAsia="Arial" w:hAnsi="Arial" w:cs="Arial"/>
        </w:rPr>
      </w:pPr>
      <w:r>
        <w:rPr>
          <w:rFonts w:ascii="Arial" w:eastAsia="Arial" w:hAnsi="Arial" w:cs="Arial"/>
        </w:rPr>
        <w:t xml:space="preserve">(4) Ministarstvo odnosno Zavod najmanje jednom godišnje na temelju podataka iz stavka 3. ovoga članka ocjenjuje rezultate praćenja emisija i utvrđuje jesu li emisije u normalnim uvjetima rada premašile razine emisija povezane s NRT-</w:t>
      </w:r>
      <w:r>
        <w:rPr>
          <w:rFonts w:ascii="Arial" w:eastAsia="Arial" w:hAnsi="Arial" w:cs="Arial"/>
        </w:rPr>
        <w:t xml:space="preserve">om te na temelju rezultata ocjene  Ministarstvo, prema potrebi poduzima radnje iz svoje nadležnosti.</w:t>
      </w:r>
    </w:p>
    <w:p>
      <w:pPr>
        <w:pBdr/>
        <w:pStyle w:val="Normal"/>
        <w:spacing/>
        <w:ind/>
        <w:rPr>
          <w:rFonts w:ascii="Arial" w:eastAsia="Arial" w:hAnsi="Arial" w:cs="Arial"/>
        </w:rPr>
      </w:pPr>
      <w:r>
        <w:rPr>
          <w:rFonts w:ascii="Arial" w:eastAsia="Arial" w:hAnsi="Arial" w:cs="Arial"/>
        </w:rPr>
        <w:t xml:space="preserve">(5) Pri određivanju graničnih vrijednosti emisija uzimaju se u obzir tehničke karakteristike postrojenja, zahtijevana kakvoća okoliša odnosno standardi kakvoće okoliša za područje na kojem se postrojenje nalazi te prijenos onečišćenja iz jedne sastavnice okoliša u drugu.</w:t>
      </w:r>
    </w:p>
    <w:p>
      <w:pPr>
        <w:pBdr/>
        <w:pStyle w:val="Normal"/>
        <w:spacing/>
        <w:ind/>
        <w:rPr>
          <w:rFonts w:ascii="Arial" w:eastAsia="Arial" w:hAnsi="Arial" w:cs="Arial"/>
        </w:rPr>
      </w:pPr>
    </w:p>
    <w:p>
      <w:pPr>
        <w:pBdr/>
        <w:pStyle w:val="Heading 2"/>
        <w:spacing/>
        <w:ind/>
        <w:rPr/>
      </w:pPr>
      <w:r>
        <w:rPr/>
        <w:t xml:space="preserve">Jednakovrijedni parametri i tehničke mjere</w:t>
      </w:r>
    </w:p>
    <w:p>
      <w:pPr>
        <w:pBdr/>
        <w:pStyle w:val="Heading 2"/>
        <w:spacing/>
        <w:ind/>
        <w:rPr/>
      </w:pPr>
      <w:r>
        <w:rPr/>
        <w:t xml:space="preserve">Članak 101.</w:t>
      </w:r>
    </w:p>
    <w:p>
      <w:pPr>
        <w:pBdr/>
        <w:pStyle w:val="Normal"/>
        <w:spacing/>
        <w:ind/>
        <w:rPr>
          <w:rFonts w:ascii="Arial" w:eastAsia="Arial" w:hAnsi="Arial" w:cs="Arial"/>
        </w:rPr>
      </w:pPr>
      <w:r>
        <w:rPr>
          <w:rFonts w:ascii="Arial" w:eastAsia="Arial" w:hAnsi="Arial" w:cs="Arial"/>
        </w:rPr>
        <w:t xml:space="preserve">(1) Ministarstvo pri utvrđivanju uvjeta okolišne dozvole može granične vrijednosti emisija iz točke 2.1. Dodatka II. ovoga Zakona dopuniti ili zamijeniti jednakovrijednim parametrima ili tehničkim mjerama kojima se osigurava jednaka razina zaštite okoliša.</w:t>
      </w:r>
    </w:p>
    <w:p>
      <w:pPr>
        <w:pBdr/>
        <w:pStyle w:val="Normal"/>
        <w:spacing/>
        <w:ind/>
        <w:rPr>
          <w:rFonts w:ascii="Arial" w:eastAsia="Arial" w:hAnsi="Arial" w:cs="Arial"/>
        </w:rPr>
      </w:pPr>
      <w:r>
        <w:rPr>
          <w:rFonts w:ascii="Arial" w:eastAsia="Arial" w:hAnsi="Arial" w:cs="Arial"/>
        </w:rPr>
        <w:t xml:space="preserve">(2) Granične vrijednosti emisija, jednakovrijedni parametri i tehničke mjere temelje se na NRT-</w:t>
      </w:r>
      <w:r>
        <w:rPr>
          <w:rFonts w:ascii="Arial" w:eastAsia="Arial" w:hAnsi="Arial" w:cs="Arial"/>
        </w:rPr>
        <w:t xml:space="preserve">u uz poštivanje standarda kakvoće okoliša iz članka 105. ovoga Zakona, bez propisivanja uporabe bilo koje tehnike ili određene tehnologije.</w:t>
      </w:r>
    </w:p>
    <w:p>
      <w:pPr>
        <w:pBdr/>
        <w:pStyle w:val="Normal"/>
        <w:spacing/>
        <w:ind/>
        <w:rPr>
          <w:rFonts w:ascii="Arial" w:eastAsia="Arial" w:hAnsi="Arial" w:cs="Arial"/>
        </w:rPr>
      </w:pPr>
    </w:p>
    <w:p>
      <w:pPr>
        <w:pBdr/>
        <w:pStyle w:val="Heading 2"/>
        <w:spacing/>
        <w:ind/>
        <w:rPr/>
      </w:pPr>
      <w:r>
        <w:rPr/>
        <w:t xml:space="preserve">Utvrđivanje najstrožih ostvarivih graničnih vrijednosti emisija</w:t>
      </w:r>
    </w:p>
    <w:p>
      <w:pPr>
        <w:pBdr/>
        <w:pStyle w:val="Heading 2"/>
        <w:spacing/>
        <w:ind/>
        <w:rPr/>
      </w:pPr>
      <w:r>
        <w:rPr/>
        <w:t xml:space="preserve">Članak 102.</w:t>
      </w:r>
    </w:p>
    <w:p>
      <w:pPr>
        <w:pBdr/>
        <w:pStyle w:val="Normal"/>
        <w:spacing/>
        <w:ind/>
        <w:rPr>
          <w:rFonts w:ascii="Arial" w:eastAsia="Arial" w:hAnsi="Arial" w:cs="Arial"/>
        </w:rPr>
      </w:pPr>
      <w:r>
        <w:rPr>
          <w:rFonts w:ascii="Arial" w:eastAsia="Arial" w:hAnsi="Arial" w:cs="Arial"/>
        </w:rPr>
        <w:t xml:space="preserve">(1) Ministarstvo utvrđuje najstrože granične vrijednosti emisija koje se mogu postići primjenom NRT-</w:t>
      </w:r>
      <w:r>
        <w:rPr>
          <w:rFonts w:ascii="Arial" w:eastAsia="Arial" w:hAnsi="Arial" w:cs="Arial"/>
        </w:rPr>
        <w:t xml:space="preserve">a u postrojenju, uzimajući u obzir cijeli raspon razina emisija povezanih s NRT-</w:t>
      </w:r>
      <w:r>
        <w:rPr>
          <w:rFonts w:ascii="Arial" w:eastAsia="Arial" w:hAnsi="Arial" w:cs="Arial"/>
        </w:rPr>
        <w:t xml:space="preserve">om, kako bi se osiguralo da emisije u normalnim uvjetima rada ne premašuju razine emisija povezane s NRT-</w:t>
      </w:r>
      <w:r>
        <w:rPr>
          <w:rFonts w:ascii="Arial" w:eastAsia="Arial" w:hAnsi="Arial" w:cs="Arial"/>
        </w:rPr>
        <w:t xml:space="preserve">om utvrđene zaključcima o NRT-</w:t>
      </w:r>
      <w:r>
        <w:rPr>
          <w:rFonts w:ascii="Arial" w:eastAsia="Arial" w:hAnsi="Arial" w:cs="Arial"/>
        </w:rPr>
        <w:t xml:space="preserve">u.</w:t>
      </w:r>
    </w:p>
    <w:p>
      <w:pPr>
        <w:pBdr/>
        <w:pStyle w:val="Normal"/>
        <w:spacing/>
        <w:ind/>
        <w:rPr>
          <w:rFonts w:ascii="Arial" w:eastAsia="Arial" w:hAnsi="Arial" w:cs="Arial"/>
        </w:rPr>
      </w:pPr>
      <w:r>
        <w:rPr>
          <w:rFonts w:ascii="Arial" w:eastAsia="Arial" w:hAnsi="Arial" w:cs="Arial"/>
        </w:rPr>
        <w:t xml:space="preserve">(2) Ministarstvo granične vrijednosti emisija iz stavka 1. ovoga članka utvrđuje na temelju procjene operatera koja obuhvaća cijeli raspon razina emisija povezanih s NRT-</w:t>
      </w:r>
      <w:r>
        <w:rPr>
          <w:rFonts w:ascii="Arial" w:eastAsia="Arial" w:hAnsi="Arial" w:cs="Arial"/>
        </w:rPr>
        <w:t xml:space="preserve">om, u kojoj se analizira izvedivost postizanja najstrože vrijednosti tog raspona i dokazuje najveća ukupna učinkovitost koju postrojenje može postići primjenom NRT-</w:t>
      </w:r>
      <w:r>
        <w:rPr>
          <w:rFonts w:ascii="Arial" w:eastAsia="Arial" w:hAnsi="Arial" w:cs="Arial"/>
        </w:rPr>
        <w:t xml:space="preserve">a opisanih u </w:t>
      </w:r>
      <w:r>
        <w:rPr>
          <w:rFonts w:ascii="Arial" w:eastAsia="Arial" w:hAnsi="Arial" w:cs="Arial"/>
        </w:rPr>
        <w:t xml:space="preserve">zaključcima o NRT-</w:t>
      </w:r>
      <w:r>
        <w:rPr>
          <w:rFonts w:ascii="Arial" w:eastAsia="Arial" w:hAnsi="Arial" w:cs="Arial"/>
        </w:rPr>
        <w:t xml:space="preserve">u, uzimajući u obzir moguće učinke prijenosa onečišćenja iz jedne sastavnice okoliša u drugu.</w:t>
      </w:r>
    </w:p>
    <w:p>
      <w:pPr>
        <w:pBdr/>
        <w:pStyle w:val="Normal"/>
        <w:spacing/>
        <w:ind/>
        <w:rPr>
          <w:rFonts w:ascii="Arial" w:eastAsia="Arial" w:hAnsi="Arial" w:cs="Arial"/>
        </w:rPr>
      </w:pPr>
      <w:r>
        <w:rPr>
          <w:rFonts w:ascii="Arial" w:eastAsia="Arial" w:hAnsi="Arial" w:cs="Arial"/>
        </w:rPr>
        <w:t xml:space="preserve">(3) Operater je dužan uz zahtjev za ishođenje okolišne dozvole odnosno njezine izmjene i/ili dopune dostaviti procjenu iz stavka 2. ovoga članka. </w:t>
      </w:r>
    </w:p>
    <w:p>
      <w:pPr>
        <w:pBdr/>
        <w:pStyle w:val="Normal"/>
        <w:spacing/>
        <w:ind/>
        <w:rPr>
          <w:rFonts w:ascii="Arial" w:eastAsia="Arial" w:hAnsi="Arial" w:cs="Arial"/>
        </w:rPr>
      </w:pPr>
      <w:r>
        <w:rPr>
          <w:rFonts w:ascii="Arial" w:eastAsia="Arial" w:hAnsi="Arial" w:cs="Arial"/>
        </w:rPr>
        <w:t xml:space="preserve">(4) Pobliži sadržaj i način izrade procjene operatera iz stavka 2. ovoga članka te podatke i dokumentaciju na kojima se procjena temelji propisuje se uredbom iz članka 76. stavka 5. ovoga Zakona.</w:t>
      </w:r>
    </w:p>
    <w:p>
      <w:pPr>
        <w:pBdr/>
        <w:pStyle w:val="Normal"/>
        <w:spacing/>
        <w:ind/>
        <w:rPr>
          <w:rFonts w:ascii="Arial" w:eastAsia="Arial" w:hAnsi="Arial" w:cs="Arial"/>
          <w:b/>
          <w:bCs/>
        </w:rPr>
      </w:pPr>
    </w:p>
    <w:p>
      <w:pPr>
        <w:pBdr/>
        <w:pStyle w:val="Heading 2"/>
        <w:spacing/>
        <w:ind/>
        <w:rPr/>
      </w:pPr>
      <w:r>
        <w:rPr/>
        <w:t xml:space="preserve">Neizravna ispuštanja onečišćujućih tvari u vode</w:t>
      </w:r>
    </w:p>
    <w:p>
      <w:pPr>
        <w:pBdr/>
        <w:pStyle w:val="Heading 2"/>
        <w:spacing/>
        <w:ind/>
        <w:rPr/>
      </w:pPr>
      <w:r>
        <w:rPr/>
        <w:t xml:space="preserve">Članak 103.</w:t>
      </w:r>
    </w:p>
    <w:p>
      <w:pPr>
        <w:pBdr/>
        <w:pStyle w:val="Normal"/>
        <w:spacing/>
        <w:ind/>
        <w:rPr>
          <w:rFonts w:ascii="Arial" w:eastAsia="Arial" w:hAnsi="Arial" w:cs="Arial"/>
        </w:rPr>
      </w:pPr>
      <w:r>
        <w:rPr>
          <w:rFonts w:ascii="Arial" w:eastAsia="Arial" w:hAnsi="Arial" w:cs="Arial"/>
        </w:rPr>
        <w:t xml:space="preserve">(1) Pri određivanju graničnih vrijednosti emisija iz postrojenja pri neizravnom ispuštanju onečišćujućih tvari u vode može se uzeti u obzir učinak uređaja za pročišćavanje otpadnih voda izvan postrojenja ako se time ne povećava razina onečišćenja okoliša, osigurava jednaka razina zaštite okoliša u cjelini te ako operater, savjetujući se s operaterom uređaja za pročišćavanje otpadnih voda, osigura da neizravna ispuštanja ne ugrožavaju sukladnost s odredbama dozvole za uređaj za pročišćavanje otpadnih voda ili posebnog odobrenja u skladu s propisima kojima se uređuju vode te da su  ispunjeni zahtjevi iz stavka 2. ovoga članka.</w:t>
      </w:r>
    </w:p>
    <w:p>
      <w:pPr>
        <w:pBdr/>
        <w:pStyle w:val="Normal"/>
        <w:spacing/>
        <w:ind/>
        <w:rPr>
          <w:rFonts w:ascii="Arial" w:eastAsia="Arial" w:hAnsi="Arial" w:cs="Arial"/>
        </w:rPr>
      </w:pPr>
      <w:r>
        <w:rPr>
          <w:rFonts w:ascii="Arial" w:eastAsia="Arial" w:hAnsi="Arial" w:cs="Arial"/>
        </w:rPr>
        <w:t xml:space="preserve">(2) U slučaju iz stavka 1. ovoga članka mora se osigurati da:</w:t>
      </w:r>
    </w:p>
    <w:p>
      <w:pPr>
        <w:pBdr/>
        <w:pStyle w:val="Normal"/>
        <w:spacing/>
        <w:ind/>
        <w:rPr>
          <w:rFonts w:ascii="Arial" w:eastAsia="Arial" w:hAnsi="Arial" w:cs="Arial"/>
        </w:rPr>
      </w:pPr>
      <w:r>
        <w:rPr>
          <w:rFonts w:ascii="Arial" w:eastAsia="Arial" w:hAnsi="Arial" w:cs="Arial"/>
        </w:rPr>
        <w:t xml:space="preserve">1. ispuštene onečišćujuće tvari ne ometaju rad uređaja za pročišćavanje otpadnih voda ni kapacitet za oporabu resursa iz tokova otpadnih voda za pročišćavanje</w:t>
      </w:r>
    </w:p>
    <w:p>
      <w:pPr>
        <w:pBdr/>
        <w:pStyle w:val="Normal"/>
        <w:spacing/>
        <w:ind/>
        <w:rPr>
          <w:rFonts w:ascii="Arial" w:eastAsia="Arial" w:hAnsi="Arial" w:cs="Arial"/>
        </w:rPr>
      </w:pPr>
      <w:r>
        <w:rPr>
          <w:rFonts w:ascii="Arial" w:eastAsia="Arial" w:hAnsi="Arial" w:cs="Arial"/>
        </w:rPr>
        <w:t xml:space="preserve">2. ispuštene onečišćujuće tvari ne ugrožavaju zdravlje osoblja koje radi u sustavu odvodnje i uređaju za pročišćavanje otpadnih voda </w:t>
      </w:r>
    </w:p>
    <w:p>
      <w:pPr>
        <w:pBdr/>
        <w:pStyle w:val="Normal"/>
        <w:spacing/>
        <w:ind/>
        <w:rPr>
          <w:rFonts w:ascii="Arial" w:eastAsia="Arial" w:hAnsi="Arial" w:cs="Arial"/>
        </w:rPr>
      </w:pPr>
      <w:r>
        <w:rPr>
          <w:rFonts w:ascii="Arial" w:eastAsia="Arial" w:hAnsi="Arial" w:cs="Arial"/>
        </w:rPr>
        <w:t xml:space="preserve">3. uređaj za pročišćavanje otpadnih voda bude projektiran i opremljen za smanjenje ispuštanja predmetnih onečišćujućih tvari </w:t>
      </w:r>
    </w:p>
    <w:p>
      <w:pPr>
        <w:pBdr/>
        <w:pStyle w:val="Normal"/>
        <w:spacing/>
        <w:ind/>
        <w:rPr>
          <w:rFonts w:ascii="Arial" w:eastAsia="Arial" w:hAnsi="Arial" w:cs="Arial"/>
        </w:rPr>
      </w:pPr>
      <w:r>
        <w:rPr>
          <w:rFonts w:ascii="Arial" w:eastAsia="Arial" w:hAnsi="Arial" w:cs="Arial"/>
        </w:rPr>
        <w:t xml:space="preserve">4. ukupno opterećenje predmetnim onečišćujućim tvarima koje se konačno ispušta u vode nije veće od opterećenja koje bi nastalo da se emisije iz postrojenja izravno ispuštaju u vode uz primjenu graničnih vrijednosti emisija utvrđenih u skladu s člankom 102. ovoga Zakona, ne dovodeći u pitanje strože uvjete i mjere iz članka 105. ovoga Zakona .</w:t>
      </w:r>
    </w:p>
    <w:p>
      <w:pPr>
        <w:pBdr/>
        <w:pStyle w:val="Normal"/>
        <w:spacing/>
        <w:ind/>
        <w:rPr>
          <w:rFonts w:ascii="Arial" w:eastAsia="Arial" w:hAnsi="Arial" w:cs="Arial"/>
        </w:rPr>
      </w:pPr>
      <w:r>
        <w:rPr>
          <w:rFonts w:ascii="Arial" w:eastAsia="Arial" w:hAnsi="Arial" w:cs="Arial"/>
        </w:rPr>
        <w:t xml:space="preserve">(3) Operater je dužan u zahtjevu za izdavanje odnosno izmjenu i/ili dopunu okolišne dozvole procijeniti i obrazložiti ispunjenost uvjeta iz stavaka 1. i 2. ovoga članka.</w:t>
      </w:r>
    </w:p>
    <w:p>
      <w:pPr>
        <w:pBdr/>
        <w:pStyle w:val="Normal"/>
        <w:spacing/>
        <w:ind/>
        <w:rPr>
          <w:rFonts w:ascii="Arial" w:eastAsia="Arial" w:hAnsi="Arial" w:cs="Arial"/>
        </w:rPr>
      </w:pPr>
      <w:r>
        <w:rPr>
          <w:rFonts w:ascii="Arial" w:eastAsia="Arial" w:hAnsi="Arial" w:cs="Arial"/>
        </w:rPr>
        <w:t xml:space="preserve">(4) Tijelo nadležno za vode, u skladu s propisima kojima se uređuju vode, ocjenjuje ispunjenost uvjeta iz stavaka 1. i 2. ovoga članka te o tome daje mišljenje u postupku izdavanja odnosno izmjene i/ili dopune okolišne dozvole.</w:t>
      </w:r>
    </w:p>
    <w:p>
      <w:pPr>
        <w:pBdr/>
        <w:pStyle w:val="Normal"/>
        <w:spacing/>
        <w:ind/>
        <w:rPr>
          <w:rFonts w:ascii="Arial" w:eastAsia="Arial" w:hAnsi="Arial" w:cs="Arial"/>
        </w:rPr>
      </w:pPr>
      <w:r>
        <w:rPr>
          <w:rFonts w:ascii="Arial" w:eastAsia="Arial" w:hAnsi="Arial" w:cs="Arial"/>
        </w:rPr>
        <w:t xml:space="preserve">(5) Ministarstvo na temelju mišljenja iz stavka 4. ovoga članka određuje granične vrijednosti emisija i druge odgovarajuće uvjete okolišne dozvole te u njezinu obrazloženju navodi razloge za primjenu stavka 1. ovoga članka, uključujući rezultat procjene operatera iz stavka 3. ovoga članka.</w:t>
      </w:r>
    </w:p>
    <w:p>
      <w:pPr>
        <w:pBdr/>
        <w:pStyle w:val="Normal"/>
        <w:spacing/>
        <w:ind/>
        <w:rPr>
          <w:rFonts w:ascii="Arial" w:eastAsia="Arial" w:hAnsi="Arial" w:cs="Arial"/>
        </w:rPr>
      </w:pPr>
      <w:r>
        <w:rPr>
          <w:rFonts w:ascii="Arial" w:eastAsia="Arial" w:hAnsi="Arial" w:cs="Arial"/>
        </w:rPr>
        <w:t xml:space="preserve">(6) Ako je u pogledu neizravnih ispuštanja onečišćujućih tvari u vode potrebno izmijeniti i/ili dopuniti uvjete okolišne dozvole, operater je dužan dostaviti ažuriranu procjenu iz stavka 3. ovoga članka radi ponovne ocjene ispunjenosti uvjeta iz stavaka 1. i 2. ovoga članka.</w:t>
      </w:r>
    </w:p>
    <w:p>
      <w:pPr>
        <w:pBdr/>
        <w:pStyle w:val="Normal"/>
        <w:spacing/>
        <w:ind/>
        <w:rPr>
          <w:rFonts w:ascii="Arial" w:eastAsia="Arial" w:hAnsi="Arial" w:cs="Arial"/>
        </w:rPr>
      </w:pPr>
    </w:p>
    <w:p>
      <w:pPr>
        <w:pBdr/>
        <w:pStyle w:val="Heading 2"/>
        <w:spacing/>
        <w:ind/>
        <w:rPr/>
      </w:pPr>
      <w:r>
        <w:rPr/>
        <w:t xml:space="preserve">Obvezujući rasponi i granične vrijednosti okolišne učinkovitosti</w:t>
      </w:r>
    </w:p>
    <w:p>
      <w:pPr>
        <w:pBdr/>
        <w:pStyle w:val="Heading 2"/>
        <w:spacing/>
        <w:ind/>
        <w:rPr/>
      </w:pPr>
      <w:r>
        <w:rPr/>
        <w:t xml:space="preserve">Članak 104.</w:t>
      </w:r>
    </w:p>
    <w:p>
      <w:pPr>
        <w:pBdr/>
        <w:pStyle w:val="Normal"/>
        <w:spacing/>
        <w:ind/>
        <w:rPr>
          <w:rFonts w:ascii="Arial" w:eastAsia="Arial" w:hAnsi="Arial" w:cs="Arial"/>
        </w:rPr>
      </w:pPr>
      <w:r>
        <w:rPr>
          <w:rFonts w:ascii="Arial" w:eastAsia="Arial" w:hAnsi="Arial" w:cs="Arial"/>
        </w:rPr>
        <w:t xml:space="preserve">(1) Uz primjenu odredaba članka 78. ovoga Zakona, Ministarstvo za normalne uvjete rada utvrđuje obvezujuće raspone okolišne učinkovitosti koji se ne smiju prekoračiti tijekom jednog ili više razdoblja utvrđenih u zaključcima o NRT-</w:t>
      </w:r>
      <w:r>
        <w:rPr>
          <w:rFonts w:ascii="Arial" w:eastAsia="Arial" w:hAnsi="Arial" w:cs="Arial"/>
        </w:rPr>
        <w:t xml:space="preserve">u.</w:t>
      </w:r>
    </w:p>
    <w:p>
      <w:pPr>
        <w:pBdr/>
        <w:pStyle w:val="Normal"/>
        <w:spacing/>
        <w:ind/>
        <w:rPr>
          <w:rFonts w:ascii="Arial" w:eastAsia="Arial" w:hAnsi="Arial" w:cs="Arial"/>
        </w:rPr>
      </w:pPr>
      <w:r>
        <w:rPr>
          <w:rFonts w:ascii="Arial" w:eastAsia="Arial" w:hAnsi="Arial" w:cs="Arial"/>
        </w:rPr>
        <w:t xml:space="preserve">(2) Osim obvezujućeg raspona iz stavka 1. ovoga članka, Ministarstvo za normalne uvjete rada utvrđuje:</w:t>
      </w:r>
    </w:p>
    <w:p>
      <w:pPr>
        <w:pBdr/>
        <w:pStyle w:val="Normal"/>
        <w:spacing/>
        <w:ind/>
        <w:rPr>
          <w:rFonts w:ascii="Arial" w:eastAsia="Arial" w:hAnsi="Arial" w:cs="Arial"/>
        </w:rPr>
      </w:pPr>
      <w:r>
        <w:rPr>
          <w:rFonts w:ascii="Arial" w:eastAsia="Arial" w:hAnsi="Arial" w:cs="Arial"/>
        </w:rPr>
        <w:t xml:space="preserve">1. granične vrijednosti okolišne učinkovitosti u odnosu na vode, uzimajući u obzir moguće učinke prijenosa onečišćenja s jedne sastavnice okoliša na drugu, koje se ne smiju prekoračiti tijekom jednog ili više razdoblja i koje nisu manje stroge od obvezujućih raspona iz stavka 1. ovoga članka</w:t>
      </w:r>
    </w:p>
    <w:p>
      <w:pPr>
        <w:pBdr/>
        <w:pStyle w:val="Normal"/>
        <w:spacing/>
        <w:ind/>
        <w:rPr>
          <w:rFonts w:ascii="Arial" w:eastAsia="Arial" w:hAnsi="Arial" w:cs="Arial"/>
        </w:rPr>
      </w:pPr>
      <w:r>
        <w:rPr>
          <w:rFonts w:ascii="Arial" w:eastAsia="Arial" w:hAnsi="Arial" w:cs="Arial"/>
        </w:rPr>
        <w:t xml:space="preserve">2. okvirne razine okolišne učinkovitosti u pogledu otpada i resursa koji nisu voda, koje nisu manje stroge od obvezujućih raspona iz stavka 1. ovoga članka.</w:t>
      </w:r>
    </w:p>
    <w:p>
      <w:pPr>
        <w:pBdr/>
        <w:pStyle w:val="Normal"/>
        <w:spacing/>
        <w:ind/>
        <w:rPr>
          <w:rFonts w:ascii="Arial" w:eastAsia="Arial" w:hAnsi="Arial" w:cs="Arial"/>
        </w:rPr>
      </w:pPr>
      <w:r>
        <w:rPr>
          <w:rFonts w:ascii="Arial" w:eastAsia="Arial" w:hAnsi="Arial" w:cs="Arial"/>
        </w:rPr>
        <w:t xml:space="preserve">(3) Način utvrđivanja obvezujućih raspona okolišne učinkovitosti, graničnih vrijednosti okolišne učinkovitosti i okvirne razine okolišne učinkovitosti propisuje se uredbom iz članka 76. stavka 5. ovoga Zakona.</w:t>
      </w:r>
    </w:p>
    <w:p>
      <w:pPr>
        <w:pBdr/>
        <w:pStyle w:val="Normal"/>
        <w:spacing/>
        <w:ind/>
        <w:rPr>
          <w:rFonts w:ascii="Arial" w:eastAsia="Arial" w:hAnsi="Arial" w:cs="Arial"/>
        </w:rPr>
      </w:pPr>
    </w:p>
    <w:p>
      <w:pPr>
        <w:pBdr/>
        <w:pStyle w:val="Heading 2"/>
        <w:spacing/>
        <w:ind/>
        <w:rPr/>
      </w:pPr>
      <w:r>
        <w:rPr/>
        <w:t xml:space="preserve">Standardi kakvoće okoliša</w:t>
      </w:r>
    </w:p>
    <w:p>
      <w:pPr>
        <w:pBdr/>
        <w:pStyle w:val="Heading 2"/>
        <w:spacing/>
        <w:ind/>
        <w:rPr/>
      </w:pPr>
      <w:r>
        <w:rPr/>
        <w:t xml:space="preserve">Članak 105.</w:t>
      </w:r>
    </w:p>
    <w:p>
      <w:pPr>
        <w:pBdr/>
        <w:pStyle w:val="Normal"/>
        <w:spacing/>
        <w:ind/>
        <w:rPr>
          <w:rFonts w:ascii="Arial" w:eastAsia="Arial" w:hAnsi="Arial" w:cs="Arial"/>
        </w:rPr>
      </w:pPr>
      <w:r>
        <w:rPr>
          <w:rFonts w:ascii="Arial" w:eastAsia="Arial" w:hAnsi="Arial" w:cs="Arial"/>
        </w:rPr>
        <w:t xml:space="preserve">(1) Ako standardi kakvoće okoliša zahtijevaju strože uvjete od onih koji se mogu postići primjenom NRT-</w:t>
      </w:r>
      <w:r>
        <w:rPr>
          <w:rFonts w:ascii="Arial" w:eastAsia="Arial" w:hAnsi="Arial" w:cs="Arial"/>
        </w:rPr>
        <w:t xml:space="preserve">a, okolišnom dozvolom utvrđuju se dopunske i/ili dodatne mjere za smanjenje specifičnog doprinosa postrojenja onečišćenju na određenom području, uz mogućnost određivanja drugih mjera radi ispunjavanja tih standarda.</w:t>
      </w:r>
    </w:p>
    <w:p>
      <w:pPr>
        <w:pBdr/>
        <w:pStyle w:val="Normal"/>
        <w:spacing/>
        <w:ind/>
        <w:rPr>
          <w:rFonts w:ascii="Arial" w:eastAsia="Arial" w:hAnsi="Arial" w:cs="Arial"/>
        </w:rPr>
      </w:pPr>
      <w:r>
        <w:rPr>
          <w:rFonts w:ascii="Arial" w:eastAsia="Arial" w:hAnsi="Arial" w:cs="Arial"/>
        </w:rPr>
        <w:t xml:space="preserve">(2) Radi utvrđivanja uvjeta iz stavka 1. ovoga članka operater je dužan uz zahtjev za izdavanje odnosno izmjenu i/ili dopunu okolišne dozvole ili u okviru dokumentacije za preispitivanje njezinih uvjeta dostaviti analizu utjecaja postrojenja na koncentracije određenih onečišćujućih tvari u okolišu, koja sadrži i prijedlog dopunskih i/ili dodatnih mjera za smanjenje specifičnog doprinosa postrojenja onečišćenju i ispunjavanje standarda kakvoće okoliša.</w:t>
      </w:r>
    </w:p>
    <w:p>
      <w:pPr>
        <w:pBdr/>
        <w:pStyle w:val="Normal"/>
        <w:spacing/>
        <w:ind/>
        <w:rPr>
          <w:rFonts w:ascii="Arial" w:eastAsia="Arial" w:hAnsi="Arial" w:cs="Arial"/>
        </w:rPr>
      </w:pPr>
      <w:r>
        <w:rPr>
          <w:rFonts w:ascii="Arial" w:eastAsia="Arial" w:hAnsi="Arial" w:cs="Arial"/>
        </w:rPr>
        <w:t xml:space="preserve">(3) Analiza iz stavka 2. ovoga članka izrađuje se u skladu s metodologijama koje na temelju posebnih propisa propisuju tijela nadležna za pojedine sastavnice i opterećenja okoliša.</w:t>
      </w:r>
    </w:p>
    <w:p>
      <w:pPr>
        <w:pBdr/>
        <w:pStyle w:val="Normal"/>
        <w:spacing/>
        <w:ind/>
        <w:rPr>
          <w:rFonts w:ascii="Arial" w:eastAsia="Arial" w:hAnsi="Arial" w:cs="Arial"/>
        </w:rPr>
      </w:pPr>
      <w:r>
        <w:rPr>
          <w:rFonts w:ascii="Arial" w:eastAsia="Arial" w:hAnsi="Arial" w:cs="Arial"/>
        </w:rPr>
        <w:t xml:space="preserve">(4) Ako metodologije iz stavka 3. ovoga članka nisu propisane, tijelo nadležno za pojedinu sastavnicu okoliša dužno je u svojem mišljenju, primijeniti načelo predostrožnosti i uzimajući u obzir dostupne znanstvene i stručne spoznaje, obrazložiti potrebu za dodatnim mjerama te predložiti mjere potrebne za smanjenje specifičnog doprinosa postrojenja onečišćenju i ispunjavanje standarda kakvoće okoliša.</w:t>
      </w:r>
    </w:p>
    <w:p>
      <w:pPr>
        <w:pBdr/>
        <w:pStyle w:val="Normal"/>
        <w:spacing/>
        <w:ind/>
        <w:rPr>
          <w:rFonts w:ascii="Arial" w:eastAsia="Arial" w:hAnsi="Arial" w:cs="Arial"/>
        </w:rPr>
      </w:pPr>
    </w:p>
    <w:p>
      <w:pPr>
        <w:pBdr/>
        <w:pStyle w:val="Heading 2"/>
        <w:spacing/>
        <w:ind/>
        <w:rPr/>
      </w:pPr>
      <w:r>
        <w:rPr/>
        <w:t xml:space="preserve">Mjere za poštovanje standarda kakvoće okoliša</w:t>
      </w:r>
    </w:p>
    <w:p>
      <w:pPr>
        <w:pBdr/>
        <w:pStyle w:val="Heading 2"/>
        <w:spacing/>
        <w:ind/>
        <w:rPr/>
      </w:pPr>
      <w:r>
        <w:rPr/>
        <w:t xml:space="preserve">Članak 106.</w:t>
      </w:r>
    </w:p>
    <w:p>
      <w:pPr>
        <w:pBdr/>
        <w:pStyle w:val="Normal"/>
        <w:spacing/>
        <w:ind/>
        <w:rPr>
          <w:rFonts w:ascii="Arial" w:eastAsia="Arial" w:hAnsi="Arial" w:cs="Arial"/>
        </w:rPr>
      </w:pPr>
      <w:r>
        <w:rPr>
          <w:rFonts w:ascii="Arial" w:eastAsia="Arial" w:hAnsi="Arial" w:cs="Arial"/>
        </w:rPr>
        <w:t xml:space="preserve">(1) Ako se okolišnom dozvolom utvrđuju stroži uvjeti iz članka 105. stavka 1. ovoga Zakona, tijelo nadležno za pojedinu sastavnicu okoliša u mišljenju, na temelju analize iz članka 105. stavka 2. ovoga Zakona, procjenjuje utjecaj tih uvjeta na koncentracije predmetnih onečišćujućih tvari u okolišu, a Ministarstvo na temelju tog mišljenja okolišnom dozvolom utvrđuje potrebne dopunske i/ili dodatne mjere.</w:t>
      </w:r>
    </w:p>
    <w:p>
      <w:pPr>
        <w:pBdr/>
        <w:pStyle w:val="Normal"/>
        <w:spacing/>
        <w:ind/>
        <w:rPr>
          <w:rFonts w:ascii="Arial" w:eastAsia="Arial" w:hAnsi="Arial" w:cs="Arial"/>
        </w:rPr>
      </w:pPr>
      <w:r>
        <w:rPr>
          <w:rFonts w:ascii="Arial" w:eastAsia="Arial" w:hAnsi="Arial" w:cs="Arial"/>
        </w:rPr>
        <w:t xml:space="preserve">(2) Ako analiza iz članka 105. stavka 2. ovoga Zakona pokaže da količina onečišćujućih tvari koje postrojenje ispušta ima mjerljiv učinak na okoliš, okolišnom dozvolom utvrđuje se obveza operatera da provodi i financira praćenje koncentracija tih tvari u okolišu, osim ako je takvo praćenje na predmetnoj lokaciji već osigurano državnim ili lokalnim programom praćenja stanja okoliša.</w:t>
      </w:r>
    </w:p>
    <w:p>
      <w:pPr>
        <w:pBdr/>
        <w:pStyle w:val="Normal"/>
        <w:spacing/>
        <w:ind/>
        <w:rPr>
          <w:rFonts w:ascii="Arial" w:eastAsia="Arial" w:hAnsi="Arial" w:cs="Arial"/>
        </w:rPr>
      </w:pPr>
      <w:r>
        <w:rPr>
          <w:rFonts w:ascii="Arial" w:eastAsia="Arial" w:hAnsi="Arial" w:cs="Arial"/>
        </w:rPr>
        <w:t xml:space="preserve">(3) Operater je dužan osigurati da se mjerenja u okviru praćenja iz stavka 2. ovoga članka provode u skladu sa člankom 116. stavcima 1. i 2. ovoga Zakona. </w:t>
      </w:r>
    </w:p>
    <w:p>
      <w:pPr>
        <w:pBdr/>
        <w:pStyle w:val="Normal"/>
        <w:spacing/>
        <w:ind/>
        <w:rPr>
          <w:rFonts w:ascii="Arial" w:eastAsia="Arial" w:hAnsi="Arial" w:cs="Arial"/>
          <w:b/>
          <w:bCs/>
        </w:rPr>
      </w:pPr>
    </w:p>
    <w:p>
      <w:pPr>
        <w:pBdr/>
        <w:pStyle w:val="Heading 1"/>
        <w:spacing/>
        <w:ind/>
        <w:rPr>
          <w:rFonts w:ascii="Arial" w:eastAsia="Arial" w:hAnsi="Arial" w:cs="Arial"/>
          <w:szCs w:val="24"/>
        </w:rPr>
      </w:pPr>
      <w:r>
        <w:rPr>
          <w:rFonts w:ascii="Arial" w:eastAsia="Arial" w:hAnsi="Arial" w:cs="Arial"/>
          <w:szCs w:val="24"/>
        </w:rPr>
        <w:t xml:space="preserve">ODJELJAK 2. ODSTUPANJA</w:t>
      </w:r>
    </w:p>
    <w:p>
      <w:pPr>
        <w:pBdr/>
        <w:pStyle w:val="Heading 2"/>
        <w:spacing/>
        <w:ind/>
        <w:rPr/>
      </w:pPr>
      <w:r>
        <w:rPr/>
        <w:t xml:space="preserve">Odstupanja od razina emisija povezanih s NRT-om</w:t>
      </w:r>
    </w:p>
    <w:p>
      <w:pPr>
        <w:pBdr/>
        <w:pStyle w:val="Heading 2"/>
        <w:spacing/>
        <w:ind/>
        <w:rPr/>
      </w:pPr>
      <w:r>
        <w:rPr/>
        <w:t xml:space="preserve">Članak 107.</w:t>
      </w:r>
    </w:p>
    <w:p>
      <w:pPr>
        <w:pBdr/>
        <w:pStyle w:val="Normal"/>
        <w:spacing/>
        <w:ind/>
        <w:rPr>
          <w:rFonts w:ascii="Arial" w:eastAsia="Arial" w:hAnsi="Arial" w:cs="Arial"/>
        </w:rPr>
      </w:pPr>
      <w:r>
        <w:rPr>
          <w:rFonts w:ascii="Arial" w:eastAsia="Arial" w:hAnsi="Arial" w:cs="Arial"/>
        </w:rPr>
        <w:t xml:space="preserve">(1) Iznimno od članka 100. stavaka 2. i 3. i članka 102. ovoga Zakona, Ministarstvo može na zahtjev operatera odrediti granične vrijednosti emisija koje su više od razina emisija koje se mogu postići primjenom NRT-</w:t>
      </w:r>
      <w:r>
        <w:rPr>
          <w:rFonts w:ascii="Arial" w:eastAsia="Arial" w:hAnsi="Arial" w:cs="Arial"/>
        </w:rPr>
        <w:t xml:space="preserve">a, uz ispunjavanje standarda kakvoće okoliša iz članka 105. ovoga Zakona, ako bi postizanje razina emisija koje su povezane s NRT-</w:t>
      </w:r>
      <w:r>
        <w:rPr>
          <w:rFonts w:ascii="Arial" w:eastAsia="Arial" w:hAnsi="Arial" w:cs="Arial"/>
        </w:rPr>
        <w:t xml:space="preserve">om iz zaključaka o NRT-</w:t>
      </w:r>
      <w:r>
        <w:rPr>
          <w:rFonts w:ascii="Arial" w:eastAsia="Arial" w:hAnsi="Arial" w:cs="Arial"/>
        </w:rPr>
        <w:t xml:space="preserve">u uzrokovalo nerazmjerno visoke troškove u usporedbi s koristima za okoliš zbog:</w:t>
      </w:r>
    </w:p>
    <w:p>
      <w:pPr>
        <w:pBdr/>
        <w:pStyle w:val="Normal"/>
        <w:spacing/>
        <w:ind/>
        <w:rPr>
          <w:rFonts w:ascii="Arial" w:eastAsia="Arial" w:hAnsi="Arial" w:cs="Arial"/>
        </w:rPr>
      </w:pPr>
      <w:r>
        <w:rPr>
          <w:rFonts w:ascii="Arial" w:eastAsia="Arial" w:hAnsi="Arial" w:cs="Arial"/>
        </w:rPr>
        <w:t xml:space="preserve">- geografskog položaja postrojenja ili specifičnih lokalnih uvjeta okoliša na lokaciji postrojenja i/ili </w:t>
      </w:r>
    </w:p>
    <w:p>
      <w:pPr>
        <w:pBdr/>
        <w:pStyle w:val="Normal"/>
        <w:spacing/>
        <w:ind/>
        <w:rPr>
          <w:rFonts w:ascii="Arial" w:eastAsia="Arial" w:hAnsi="Arial" w:cs="Arial"/>
        </w:rPr>
      </w:pPr>
      <w:r>
        <w:rPr>
          <w:rFonts w:ascii="Arial" w:eastAsia="Arial" w:hAnsi="Arial" w:cs="Arial"/>
        </w:rPr>
        <w:t xml:space="preserve">- tehničkih karakteristika postrojenja.</w:t>
      </w:r>
    </w:p>
    <w:p>
      <w:pPr>
        <w:pBdr/>
        <w:pStyle w:val="Normal"/>
        <w:spacing/>
        <w:ind/>
        <w:rPr>
          <w:rFonts w:ascii="Arial" w:eastAsia="Arial" w:hAnsi="Arial" w:cs="Arial"/>
        </w:rPr>
      </w:pPr>
      <w:r>
        <w:rPr>
          <w:rFonts w:ascii="Arial" w:eastAsia="Arial" w:hAnsi="Arial" w:cs="Arial"/>
        </w:rPr>
        <w:t xml:space="preserve">(2) Uz zahtjev iz stavka 1. ovoga članka u postupku izdavanja ili preispitivanja okolišne dozvole operater je dužan dostaviti:</w:t>
      </w:r>
    </w:p>
    <w:p>
      <w:pPr>
        <w:pBdr/>
        <w:pStyle w:val="Normal"/>
        <w:spacing/>
        <w:ind/>
        <w:rPr>
          <w:rFonts w:ascii="Arial" w:eastAsia="Arial" w:hAnsi="Arial" w:cs="Arial"/>
        </w:rPr>
      </w:pPr>
      <w:r>
        <w:rPr>
          <w:rFonts w:ascii="Arial" w:eastAsia="Arial" w:hAnsi="Arial" w:cs="Arial"/>
        </w:rPr>
        <w:t xml:space="preserve">- analizu troškova i koristi koja se izrađuje i ocjenjuje u skladu s načelima iz Dodatka III. ovoga Zakona s dokazima o postojanju okolnosti iz stavka 1. ovoga članka,</w:t>
      </w:r>
    </w:p>
    <w:p>
      <w:pPr>
        <w:pBdr/>
        <w:pStyle w:val="Normal"/>
        <w:spacing/>
        <w:ind/>
        <w:rPr>
          <w:rFonts w:ascii="Arial" w:eastAsia="Arial" w:hAnsi="Arial" w:cs="Arial"/>
        </w:rPr>
      </w:pPr>
      <w:r>
        <w:rPr>
          <w:rFonts w:ascii="Arial" w:eastAsia="Arial" w:hAnsi="Arial" w:cs="Arial"/>
        </w:rPr>
        <w:t xml:space="preserve">- analizu utjecaja postrojenja na koncentracije onečišćujućih tvari u okolišu na koje se predloženo odstupanje odnosi, uključujući analizu dodatnog utjecaja predloženog odstupanja na koncentracije tih tvari u okolišu i ocjenu njegova utjecaja na ispunjavanje standarda kakvoće okoliša iz članka 105. ovoga Zakona, izrađenu u skladu s člankom 105. stavkom 2. ovoga Zakona. </w:t>
      </w:r>
    </w:p>
    <w:p>
      <w:pPr>
        <w:pBdr/>
        <w:pStyle w:val="Normal"/>
        <w:spacing/>
        <w:ind/>
        <w:rPr>
          <w:rFonts w:ascii="Arial" w:eastAsia="Arial" w:hAnsi="Arial" w:cs="Arial"/>
        </w:rPr>
      </w:pPr>
      <w:r>
        <w:rPr>
          <w:rFonts w:ascii="Arial" w:eastAsia="Arial" w:hAnsi="Arial" w:cs="Arial"/>
        </w:rPr>
        <w:t xml:space="preserve">(3) Ministarstvo može odobriti odstupanje iz stavka 1. ovoga članka samo ako na temelju analiza iz stavka 2. ovoga članka utvrdi da se odstupanjem ne uzrokuje znatno onečišćenje i da se postiže visoka razina zaštite okoliša u cjelini.</w:t>
      </w:r>
    </w:p>
    <w:p>
      <w:pPr>
        <w:pBdr/>
        <w:pStyle w:val="Normal"/>
        <w:spacing/>
        <w:ind/>
        <w:rPr>
          <w:rFonts w:ascii="Arial" w:eastAsia="Arial" w:hAnsi="Arial" w:cs="Arial"/>
        </w:rPr>
      </w:pPr>
      <w:r>
        <w:rPr>
          <w:rFonts w:ascii="Arial" w:eastAsia="Arial" w:hAnsi="Arial" w:cs="Arial"/>
        </w:rPr>
        <w:t xml:space="preserve">(4) Granične vrijednosti emisija utvrđene u skladu sa stavkom 1. ovoga članka ne smiju prelaziti granične vrijednosti utvrđene posebnim propisima kojima se uređuju emisije, uključujući propisane iznimke.</w:t>
      </w:r>
    </w:p>
    <w:p>
      <w:pPr>
        <w:pBdr/>
        <w:pStyle w:val="Normal"/>
        <w:spacing/>
        <w:ind/>
        <w:rPr>
          <w:rFonts w:ascii="Arial" w:eastAsia="Arial" w:hAnsi="Arial" w:cs="Arial"/>
        </w:rPr>
      </w:pPr>
    </w:p>
    <w:p>
      <w:pPr>
        <w:pBdr/>
        <w:pStyle w:val="Heading 2"/>
        <w:spacing/>
        <w:ind/>
        <w:rPr/>
      </w:pPr>
      <w:r>
        <w:rPr/>
        <w:t xml:space="preserve">Praćenje i ponovna procjena odobrenog odstupanja</w:t>
      </w:r>
    </w:p>
    <w:p>
      <w:pPr>
        <w:pBdr/>
        <w:pStyle w:val="Heading 2"/>
        <w:spacing/>
        <w:ind/>
        <w:rPr/>
      </w:pPr>
      <w:r>
        <w:rPr/>
        <w:t xml:space="preserve">Članak 108.</w:t>
      </w:r>
    </w:p>
    <w:p>
      <w:pPr>
        <w:pBdr/>
        <w:pStyle w:val="Normal"/>
        <w:spacing/>
        <w:ind/>
        <w:rPr>
          <w:rFonts w:ascii="Arial" w:eastAsia="Arial" w:hAnsi="Arial" w:cs="Arial"/>
        </w:rPr>
      </w:pPr>
      <w:r>
        <w:rPr>
          <w:rFonts w:ascii="Arial" w:eastAsia="Arial" w:hAnsi="Arial" w:cs="Arial"/>
        </w:rPr>
        <w:t xml:space="preserve">(1) Radi dokazivanja da odobreno odstupanje iz članka 107. ovoga Zakona ne narušava standarde kakvoće okoliša, okolišnom dozvolom utvrđuje se obveza operatera da provodi i financira praćenje koncentracija onečišćujućih tvari obuhvaćenih odobrenim odstupanjem, osim ako je takvo praćenje na predmetnoj lokaciji već osigurano državnim ili lokalnim programom praćenja stanja okoliša.</w:t>
      </w:r>
    </w:p>
    <w:p>
      <w:pPr>
        <w:pBdr/>
        <w:pStyle w:val="Normal"/>
        <w:spacing/>
        <w:ind/>
        <w:rPr>
          <w:rFonts w:ascii="Arial" w:eastAsia="Arial" w:hAnsi="Arial" w:cs="Arial"/>
        </w:rPr>
      </w:pPr>
      <w:r>
        <w:rPr>
          <w:rFonts w:ascii="Arial" w:eastAsia="Arial" w:hAnsi="Arial" w:cs="Arial"/>
        </w:rPr>
        <w:t xml:space="preserve">(2) Ministarstvo u obrazloženju okolišne dozvole detaljno navodi razloge za odobravanje odstupanja iz članka 107. stavka 1. ovoga Zakona, rezultate analiza iz članka 107. stavka 2. ovoga Zakona te obrazlaže uvjete utvrđene pri odobravanju odstupanja.</w:t>
      </w:r>
    </w:p>
    <w:p>
      <w:pPr>
        <w:pBdr/>
        <w:pStyle w:val="Normal"/>
        <w:spacing/>
        <w:ind/>
        <w:rPr>
          <w:rFonts w:ascii="Arial" w:eastAsia="Arial" w:hAnsi="Arial" w:cs="Arial"/>
        </w:rPr>
      </w:pPr>
      <w:r>
        <w:rPr>
          <w:rFonts w:ascii="Arial" w:eastAsia="Arial" w:hAnsi="Arial" w:cs="Arial"/>
        </w:rPr>
        <w:t xml:space="preserve">(3) Ministarstvo ponovno procjenjuje opravdanost odstupanja iz članka 107. stavka 1. ovoga Zakona svake četiri godine od dana njegova odobravanja ili pri svakom preispitivanju uvjeta okolišne dozvole iz članaka 125., 128., 129. i članka 130. stavka 1. točke 1. do 3. ovoga Zakona koje se provodi prije isteka tog četverogodišnjeg razdoblja.</w:t>
      </w:r>
    </w:p>
    <w:p>
      <w:pPr>
        <w:pBdr/>
        <w:pStyle w:val="Normal"/>
        <w:spacing/>
        <w:ind/>
        <w:rPr>
          <w:rFonts w:ascii="Arial" w:eastAsia="Arial" w:hAnsi="Arial" w:cs="Arial"/>
        </w:rPr>
      </w:pPr>
      <w:r>
        <w:rPr>
          <w:rFonts w:ascii="Arial" w:eastAsia="Arial" w:hAnsi="Arial" w:cs="Arial"/>
        </w:rPr>
        <w:t xml:space="preserve">(4) Za potrebe ponovne procjene iz stavka 3. ovoga članka operater je dužan dostaviti ažurirane analize i podatke iz članka 107. stavka 2. ovoga Zakona te rezultate praćenja iz stavka 1. ovoga članka.</w:t>
      </w:r>
    </w:p>
    <w:p>
      <w:pPr>
        <w:pBdr/>
        <w:pStyle w:val="Normal"/>
        <w:spacing/>
        <w:ind/>
        <w:rPr>
          <w:rFonts w:ascii="Arial" w:eastAsia="Arial" w:hAnsi="Arial" w:cs="Arial"/>
          <w:i/>
          <w:iCs/>
        </w:rPr>
      </w:pPr>
    </w:p>
    <w:p>
      <w:pPr>
        <w:pBdr/>
        <w:pStyle w:val="Heading 2"/>
        <w:spacing/>
        <w:ind/>
        <w:rPr/>
      </w:pPr>
      <w:r>
        <w:rPr/>
        <w:t xml:space="preserve">Odstupanja od razina okolišne učinkovitosti i graničnih vrijednosti okolišne učinkovitosti</w:t>
      </w:r>
    </w:p>
    <w:p>
      <w:pPr>
        <w:pBdr/>
        <w:pStyle w:val="Heading 2"/>
        <w:spacing/>
        <w:ind/>
        <w:rPr/>
      </w:pPr>
      <w:r>
        <w:rPr/>
        <w:t xml:space="preserve">Članak 109.</w:t>
      </w:r>
    </w:p>
    <w:p>
      <w:pPr>
        <w:pBdr/>
        <w:pStyle w:val="Normal"/>
        <w:spacing/>
        <w:ind/>
        <w:rPr>
          <w:rFonts w:ascii="Arial" w:eastAsia="Arial" w:hAnsi="Arial" w:cs="Arial"/>
        </w:rPr>
      </w:pPr>
      <w:r>
        <w:rPr>
          <w:rFonts w:ascii="Arial" w:eastAsia="Arial" w:hAnsi="Arial" w:cs="Arial"/>
        </w:rPr>
        <w:t xml:space="preserve">(1) Iznimno od članka 104. ovoga Zakona, Ministarstvo može na zahtjev operatera utvrditi manje stroge obvezujuće raspone ili granične vrijednosti okolišne učinkovitosti samo ako se analizom dokaže da bi postizanje razina okolišne učinkovitosti povezanih s NRT-</w:t>
      </w:r>
      <w:r>
        <w:rPr>
          <w:rFonts w:ascii="Arial" w:eastAsia="Arial" w:hAnsi="Arial" w:cs="Arial"/>
        </w:rPr>
        <w:t xml:space="preserve">om opisanih u zaključcima o NRT-</w:t>
      </w:r>
      <w:r>
        <w:rPr>
          <w:rFonts w:ascii="Arial" w:eastAsia="Arial" w:hAnsi="Arial" w:cs="Arial"/>
        </w:rPr>
        <w:t xml:space="preserve">u dovelo do znatnog negativnog učinka na okoliš, uključujući učinke prijenosa onečišćenja s jedne sastavnice okoliša na drugu, ili znatnih gospodarskih posljedica zbog:</w:t>
      </w:r>
    </w:p>
    <w:p>
      <w:pPr>
        <w:pBdr/>
        <w:pStyle w:val="Normal"/>
        <w:spacing/>
        <w:ind/>
        <w:rPr>
          <w:rFonts w:ascii="Arial" w:eastAsia="Arial" w:hAnsi="Arial" w:cs="Arial"/>
        </w:rPr>
      </w:pPr>
      <w:r>
        <w:rPr>
          <w:rFonts w:ascii="Arial" w:eastAsia="Arial" w:hAnsi="Arial" w:cs="Arial"/>
        </w:rPr>
        <w:t xml:space="preserve">- geografskog položaja postrojenja ili specifičnih lokalnih uvjeta okoliša na lokaciji postrojenja i/ili </w:t>
      </w:r>
    </w:p>
    <w:p>
      <w:pPr>
        <w:pBdr/>
        <w:pStyle w:val="Normal"/>
        <w:spacing/>
        <w:ind/>
        <w:rPr>
          <w:rFonts w:ascii="Arial" w:eastAsia="Arial" w:hAnsi="Arial" w:cs="Arial"/>
        </w:rPr>
      </w:pPr>
      <w:r>
        <w:rPr>
          <w:rFonts w:ascii="Arial" w:eastAsia="Arial" w:hAnsi="Arial" w:cs="Arial"/>
        </w:rPr>
        <w:t xml:space="preserve">- tehničkih karakteristika postrojenja. </w:t>
      </w:r>
    </w:p>
    <w:p>
      <w:pPr>
        <w:pBdr/>
        <w:pStyle w:val="Normal"/>
        <w:spacing/>
        <w:ind/>
        <w:rPr>
          <w:rFonts w:ascii="Arial" w:eastAsia="Arial" w:hAnsi="Arial" w:cs="Arial"/>
        </w:rPr>
      </w:pPr>
      <w:r>
        <w:rPr>
          <w:rFonts w:ascii="Arial" w:eastAsia="Arial" w:hAnsi="Arial" w:cs="Arial"/>
        </w:rPr>
        <w:t xml:space="preserve">(2) Uz zahtjev iz stavka 1. ovoga članka operater je dužan dostaviti:  </w:t>
      </w:r>
    </w:p>
    <w:p>
      <w:pPr>
        <w:pBdr/>
        <w:pStyle w:val="Normal"/>
        <w:spacing/>
        <w:ind/>
        <w:rPr>
          <w:rFonts w:ascii="Arial" w:eastAsia="Arial" w:hAnsi="Arial" w:cs="Arial"/>
        </w:rPr>
      </w:pPr>
      <w:r>
        <w:rPr>
          <w:rFonts w:ascii="Arial" w:eastAsia="Arial" w:hAnsi="Arial" w:cs="Arial"/>
        </w:rPr>
        <w:t xml:space="preserve">1. analizu opravdanosti odstupanja kojom se, uz dokaze o okolnostima iz stavka 1. točaka 1. i 2. ovoga članka, dokazuje da bi zbog tih okolnosti postizanje razina okolišne učinkovitosti povezanih s NRT-</w:t>
      </w:r>
      <w:r>
        <w:rPr>
          <w:rFonts w:ascii="Arial" w:eastAsia="Arial" w:hAnsi="Arial" w:cs="Arial"/>
        </w:rPr>
        <w:t xml:space="preserve">om dovelo do znatnog negativnog učinka na okoliš, uključujući učinke prijenosa onečišćenja s jedne sastavnice okoliša na drugu, odnosno do znatnih gospodarskih posljedica</w:t>
      </w:r>
    </w:p>
    <w:p>
      <w:pPr>
        <w:pBdr/>
        <w:pStyle w:val="Normal"/>
        <w:spacing/>
        <w:ind/>
        <w:rPr>
          <w:rFonts w:ascii="Arial" w:eastAsia="Arial" w:hAnsi="Arial" w:cs="Arial"/>
        </w:rPr>
      </w:pPr>
      <w:r>
        <w:rPr>
          <w:rFonts w:ascii="Arial" w:eastAsia="Arial" w:hAnsi="Arial" w:cs="Arial"/>
        </w:rPr>
        <w:t xml:space="preserve">2. analizu okolišne učinkovitosti kojom se uspoređuju razine okolišne učinkovitosti povezane s NRT-</w:t>
      </w:r>
      <w:r>
        <w:rPr>
          <w:rFonts w:ascii="Arial" w:eastAsia="Arial" w:hAnsi="Arial" w:cs="Arial"/>
        </w:rPr>
        <w:t xml:space="preserve">om i predloženi manje strogi obvezujući rasponi odnosno granične vrijednosti okolišne učinkovitosti te procjenjuju učinci predloženog odstupanja na okoliš u cjelini, uključujući vodne resurse. </w:t>
      </w:r>
    </w:p>
    <w:p>
      <w:pPr>
        <w:pBdr/>
        <w:pStyle w:val="Normal"/>
        <w:spacing/>
        <w:ind/>
        <w:rPr>
          <w:rFonts w:ascii="Arial" w:eastAsia="Arial" w:hAnsi="Arial" w:cs="Arial"/>
        </w:rPr>
      </w:pPr>
      <w:r>
        <w:rPr>
          <w:rFonts w:ascii="Arial" w:eastAsia="Arial" w:hAnsi="Arial" w:cs="Arial"/>
        </w:rPr>
        <w:t xml:space="preserve">(3) Ministarstvo može odobriti odstupanje iz stavka 1. ovoga članka samo ako utvrdi da rad postrojenja uz manje stroge obvezujuće raspone ili granične vrijednosti okolišne učinkovitosti ne uzrokuje znatan negativan učinak na okoliš, uključujući iscrpljivanje vodnih resursa, te da se postiže visoka razina zaštite okoliša u cjelini.</w:t>
      </w:r>
    </w:p>
    <w:p>
      <w:pPr>
        <w:pBdr/>
        <w:pStyle w:val="Normal"/>
        <w:spacing/>
        <w:ind/>
        <w:rPr>
          <w:rFonts w:ascii="Arial" w:eastAsia="Arial" w:hAnsi="Arial" w:cs="Arial"/>
        </w:rPr>
      </w:pPr>
      <w:r>
        <w:rPr>
          <w:rFonts w:ascii="Arial" w:eastAsia="Arial" w:hAnsi="Arial" w:cs="Arial"/>
        </w:rPr>
        <w:t xml:space="preserve">(4) Obrazloženje okolišne dozvole sadrži detaljno obrazloženje razloga za odobravanje odstupanja iz stavka 1. ovoga članka, rezultate ocjene analiza iz stavka 2. ovoga članka i obrazloženje uvjeta utvrđenih pri odobravanju odstupanja.</w:t>
      </w:r>
    </w:p>
    <w:p>
      <w:pPr>
        <w:pBdr/>
        <w:pStyle w:val="Normal"/>
        <w:spacing/>
        <w:ind/>
        <w:rPr>
          <w:rFonts w:ascii="Arial" w:eastAsia="Arial" w:hAnsi="Arial" w:cs="Arial"/>
        </w:rPr>
      </w:pPr>
      <w:r>
        <w:rPr>
          <w:rFonts w:ascii="Arial" w:eastAsia="Arial" w:hAnsi="Arial" w:cs="Arial"/>
        </w:rPr>
        <w:t xml:space="preserve">(5) Pobliži sadržaj i način izrade analiza iz stavka 2. ovoga članka te podatke i dokumentaciju na kojima se one temelje propisuju se uredbom iz članka 76. stavka 5. ovoga Zakona.</w:t>
      </w:r>
    </w:p>
    <w:p>
      <w:pPr>
        <w:pBdr/>
        <w:pStyle w:val="Normal"/>
        <w:spacing/>
        <w:ind/>
        <w:rPr>
          <w:rFonts w:ascii="Arial" w:eastAsia="Arial" w:hAnsi="Arial" w:cs="Arial"/>
        </w:rPr>
      </w:pPr>
    </w:p>
    <w:p>
      <w:pPr>
        <w:pBdr/>
        <w:pStyle w:val="Heading 2"/>
        <w:spacing/>
        <w:ind/>
        <w:rPr/>
      </w:pPr>
      <w:r>
        <w:rPr/>
        <w:t xml:space="preserve">Odstupanje u slučaju krize zbog izvanrednih okolnosti</w:t>
      </w:r>
    </w:p>
    <w:p>
      <w:pPr>
        <w:pBdr/>
        <w:pStyle w:val="Heading 2"/>
        <w:spacing/>
        <w:ind/>
        <w:rPr/>
      </w:pPr>
      <w:r>
        <w:rPr/>
        <w:t xml:space="preserve">Članak 110.</w:t>
      </w:r>
    </w:p>
    <w:p>
      <w:pPr>
        <w:pBdr/>
        <w:pStyle w:val="Normal"/>
        <w:spacing/>
        <w:ind/>
        <w:rPr>
          <w:rFonts w:ascii="Arial" w:eastAsia="Arial" w:hAnsi="Arial" w:cs="Arial"/>
        </w:rPr>
      </w:pPr>
      <w:r>
        <w:rPr>
          <w:rFonts w:ascii="Arial" w:eastAsia="Arial" w:hAnsi="Arial" w:cs="Arial"/>
        </w:rPr>
        <w:t xml:space="preserve">(1) Iznimno od članka 100. stavaka 2. i 3. i članaka 102. i 104. ovoga Zakona, u slučaju krize zbog izvanrednih okolnosti koje su izvan kontrole operatera i Republike Hrvatske, Ministarstvo može na zahtjev operatera rješenjem za određeno razdoblje utvrditi manje stroge granične vrijednosti emisija ili granične vrijednosti okolišne učinkovitosti samo ako se odstupanjem ne uzrokuje znatno onečišćenje okoliša i ako su iscrpljene sve mjere za smanjenje onečišćenja.</w:t>
      </w:r>
    </w:p>
    <w:p>
      <w:pPr>
        <w:pBdr/>
        <w:pStyle w:val="Normal"/>
        <w:spacing/>
        <w:ind/>
        <w:rPr>
          <w:rFonts w:ascii="Arial" w:eastAsia="Arial" w:hAnsi="Arial" w:cs="Arial"/>
        </w:rPr>
      </w:pPr>
      <w:r>
        <w:rPr>
          <w:rFonts w:ascii="Arial" w:eastAsia="Arial" w:hAnsi="Arial" w:cs="Arial"/>
        </w:rPr>
        <w:t xml:space="preserve">(2) Odstupanje iz stavka 1. ovoga članka može se odobriti samo ako izvanredne okolnosti dovedu do ozbiljnih poremećaja ili nestašica u:</w:t>
      </w:r>
    </w:p>
    <w:p>
      <w:pPr>
        <w:pBdr/>
        <w:pStyle w:val="Normal"/>
        <w:spacing/>
        <w:ind/>
        <w:rPr>
          <w:rFonts w:ascii="Arial" w:eastAsia="Arial" w:hAnsi="Arial" w:cs="Arial"/>
        </w:rPr>
      </w:pPr>
      <w:r>
        <w:rPr>
          <w:rFonts w:ascii="Arial" w:eastAsia="Arial" w:hAnsi="Arial" w:cs="Arial"/>
        </w:rPr>
        <w:t xml:space="preserve">1. opskrbi energijom, uz postojanje prevladavajućeg javnog interesa sigurnosti opskrbe energijom</w:t>
      </w:r>
    </w:p>
    <w:p>
      <w:pPr>
        <w:pBdr/>
        <w:pStyle w:val="Normal"/>
        <w:spacing/>
        <w:ind/>
        <w:rPr>
          <w:rFonts w:ascii="Arial" w:eastAsia="Arial" w:hAnsi="Arial" w:cs="Arial"/>
        </w:rPr>
      </w:pPr>
      <w:r>
        <w:rPr>
          <w:rFonts w:ascii="Arial" w:eastAsia="Arial" w:hAnsi="Arial" w:cs="Arial"/>
        </w:rPr>
        <w:t xml:space="preserve">2. opskrbi resursima, materijalima ili opremom koji su ključni za obavljanje djelatnosti operatera od javnog interesa u skladu s primjenjivim graničnim vrijednostima emisija ili graničnim vrijednostima okolišne učinkovitosti ili</w:t>
      </w:r>
    </w:p>
    <w:p>
      <w:pPr>
        <w:pBdr/>
        <w:pStyle w:val="Normal"/>
        <w:spacing/>
        <w:ind/>
        <w:rPr>
          <w:rFonts w:ascii="Arial" w:eastAsia="Arial" w:hAnsi="Arial" w:cs="Arial"/>
        </w:rPr>
      </w:pPr>
      <w:r>
        <w:rPr>
          <w:rFonts w:ascii="Arial" w:eastAsia="Arial" w:hAnsi="Arial" w:cs="Arial"/>
        </w:rPr>
        <w:t xml:space="preserve">3. opskrbi osnovnim resursima, materijalima ili opremom, ako se proizvodnjom može nadomjestiti njihova nestašica ili ublažiti poremećaj u opskrbi radi zaštite javnog zdravlja, javne sigurnosti ili drugih neotklonjivih razloga prevladavajućeg javnog interesa.</w:t>
      </w:r>
    </w:p>
    <w:p>
      <w:pPr>
        <w:pBdr/>
        <w:pStyle w:val="Normal"/>
        <w:spacing/>
        <w:ind/>
        <w:rPr>
          <w:rFonts w:ascii="Arial" w:eastAsia="Arial" w:hAnsi="Arial" w:cs="Arial"/>
        </w:rPr>
      </w:pPr>
      <w:r>
        <w:rPr>
          <w:rFonts w:ascii="Arial" w:eastAsia="Arial" w:hAnsi="Arial" w:cs="Arial"/>
        </w:rPr>
        <w:t xml:space="preserve">(3) Operater je dužan uz zahtjev iz stavka 1. ovoga članka dostaviti:</w:t>
      </w:r>
    </w:p>
    <w:p>
      <w:pPr>
        <w:pBdr/>
        <w:pStyle w:val="Normal"/>
        <w:spacing/>
        <w:ind/>
        <w:rPr>
          <w:rFonts w:ascii="Arial" w:eastAsia="Arial" w:hAnsi="Arial" w:cs="Arial"/>
        </w:rPr>
      </w:pPr>
      <w:r>
        <w:rPr>
          <w:rFonts w:ascii="Arial" w:eastAsia="Arial" w:hAnsi="Arial" w:cs="Arial"/>
        </w:rPr>
        <w:t xml:space="preserve">1. podatke i dokaze o utjecaju izvanrednih okolnosti na rad postrojenja i o tome da su te okolnosti izvan njegove kontrole</w:t>
      </w:r>
    </w:p>
    <w:p>
      <w:pPr>
        <w:pBdr/>
        <w:pStyle w:val="Normal"/>
        <w:spacing/>
        <w:ind/>
        <w:rPr>
          <w:rFonts w:ascii="Arial" w:eastAsia="Arial" w:hAnsi="Arial" w:cs="Arial"/>
        </w:rPr>
      </w:pPr>
      <w:r>
        <w:rPr>
          <w:rFonts w:ascii="Arial" w:eastAsia="Arial" w:hAnsi="Arial" w:cs="Arial"/>
        </w:rPr>
        <w:t xml:space="preserve">2. podatke o opsegu i trajanju traženog odstupanja</w:t>
      </w:r>
    </w:p>
    <w:p>
      <w:pPr>
        <w:pBdr/>
        <w:pStyle w:val="Normal"/>
        <w:spacing/>
        <w:ind/>
        <w:rPr>
          <w:rFonts w:ascii="Arial" w:eastAsia="Arial" w:hAnsi="Arial" w:cs="Arial"/>
        </w:rPr>
      </w:pPr>
      <w:r>
        <w:rPr>
          <w:rFonts w:ascii="Arial" w:eastAsia="Arial" w:hAnsi="Arial" w:cs="Arial"/>
        </w:rPr>
        <w:t xml:space="preserve">3. podatke i dokaze o iscrpljenim mjerama za smanjenje onečišćenja</w:t>
      </w:r>
    </w:p>
    <w:p>
      <w:pPr>
        <w:pBdr/>
        <w:pStyle w:val="Normal"/>
        <w:spacing/>
        <w:ind/>
        <w:rPr>
          <w:rFonts w:ascii="Arial" w:eastAsia="Arial" w:hAnsi="Arial" w:cs="Arial"/>
        </w:rPr>
      </w:pPr>
      <w:r>
        <w:rPr>
          <w:rFonts w:ascii="Arial" w:eastAsia="Arial" w:hAnsi="Arial" w:cs="Arial"/>
        </w:rPr>
        <w:t xml:space="preserve">4. podatke potrebne za ocjenu hoće li traženo odstupanje uzrokovati znatno onečišćenje okoliša.</w:t>
      </w:r>
    </w:p>
    <w:p>
      <w:pPr>
        <w:pBdr/>
        <w:pStyle w:val="Normal"/>
        <w:spacing/>
        <w:ind/>
        <w:rPr>
          <w:rFonts w:ascii="Arial" w:eastAsia="Arial" w:hAnsi="Arial" w:cs="Arial"/>
        </w:rPr>
      </w:pPr>
      <w:r>
        <w:rPr>
          <w:rFonts w:ascii="Arial" w:eastAsia="Arial" w:hAnsi="Arial" w:cs="Arial"/>
        </w:rPr>
        <w:t xml:space="preserve">(4) Prije donošenja rješenja iz stavka 1. ovoga članka Ministarstvo, ovisno o okolnostima na kojima se zahtjev temelji, traži pisano mišljenje tijela državne uprave nadležnog za gospodarstvo, energetiku, zdravstvo, javnu sigurnost ili robne zalihe o postojanju okolnosti iz stavka 2. ovoga članka koje su u djelokrugu tog tijela.</w:t>
      </w:r>
    </w:p>
    <w:p>
      <w:pPr>
        <w:pBdr/>
        <w:pStyle w:val="Normal"/>
        <w:spacing/>
        <w:ind/>
        <w:rPr>
          <w:rFonts w:ascii="Arial" w:eastAsia="Arial" w:hAnsi="Arial" w:cs="Arial"/>
        </w:rPr>
      </w:pPr>
      <w:r>
        <w:rPr>
          <w:rFonts w:ascii="Arial" w:eastAsia="Arial" w:hAnsi="Arial" w:cs="Arial"/>
        </w:rPr>
        <w:t xml:space="preserve">(5) Pobliži sadržaj zahtjeva iz stavka 1. ovoga članka te podaci, dokumentacija i dokazi koji se prilažu uz zahtjev propisuju se uredbom iz članka 76. stavka 5. ovoga Zakona.</w:t>
      </w:r>
    </w:p>
    <w:p>
      <w:pPr>
        <w:pBdr/>
        <w:pStyle w:val="Normal"/>
        <w:spacing/>
        <w:ind/>
        <w:rPr>
          <w:rFonts w:ascii="Arial" w:eastAsia="Arial" w:hAnsi="Arial" w:cs="Arial"/>
        </w:rPr>
      </w:pPr>
    </w:p>
    <w:p>
      <w:pPr>
        <w:pBdr/>
        <w:pStyle w:val="Heading 2"/>
        <w:spacing/>
        <w:ind/>
        <w:rPr/>
      </w:pPr>
      <w:r>
        <w:rPr/>
        <w:t xml:space="preserve">Trajanje, prestanak i praćenje odstupanja</w:t>
      </w:r>
    </w:p>
    <w:p>
      <w:pPr>
        <w:pBdr/>
        <w:pStyle w:val="Heading 2"/>
        <w:spacing/>
        <w:ind/>
        <w:rPr/>
      </w:pPr>
      <w:r>
        <w:rPr/>
        <w:t xml:space="preserve">Članak 111.</w:t>
      </w:r>
    </w:p>
    <w:p>
      <w:pPr>
        <w:pBdr/>
        <w:pStyle w:val="Normal"/>
        <w:spacing/>
        <w:ind/>
        <w:rPr>
          <w:rFonts w:ascii="Arial" w:eastAsia="Arial" w:hAnsi="Arial" w:cs="Arial"/>
        </w:rPr>
      </w:pPr>
      <w:r>
        <w:rPr>
          <w:rFonts w:ascii="Arial" w:eastAsia="Arial" w:hAnsi="Arial" w:cs="Arial"/>
        </w:rPr>
        <w:t xml:space="preserve">(1) Odstupanje iz članka 110. stavka 1. ovoga Zakona odobrava se na razdoblje od najviše tri mjeseca, koje se može produljiti za najviše tri mjeseca ako razlozi za odobravanje odstupanja i dalje postoje.</w:t>
      </w:r>
    </w:p>
    <w:p>
      <w:pPr>
        <w:pBdr/>
        <w:pStyle w:val="Normal"/>
        <w:spacing/>
        <w:ind/>
        <w:rPr>
          <w:rFonts w:ascii="Arial" w:eastAsia="Arial" w:hAnsi="Arial" w:cs="Arial"/>
        </w:rPr>
      </w:pPr>
      <w:r>
        <w:rPr>
          <w:rFonts w:ascii="Arial" w:eastAsia="Arial" w:hAnsi="Arial" w:cs="Arial"/>
        </w:rPr>
        <w:t xml:space="preserve">(2) Operater je dužan odmah obavijestiti Ministarstvo o prestanku postojanja razloga za odobreno odstupanje.</w:t>
      </w:r>
    </w:p>
    <w:p>
      <w:pPr>
        <w:pBdr/>
        <w:pStyle w:val="Normal"/>
        <w:spacing/>
        <w:ind/>
        <w:rPr>
          <w:rFonts w:ascii="Arial" w:eastAsia="Arial" w:hAnsi="Arial" w:cs="Arial"/>
        </w:rPr>
      </w:pPr>
      <w:r>
        <w:rPr>
          <w:rFonts w:ascii="Arial" w:eastAsia="Arial" w:hAnsi="Arial" w:cs="Arial"/>
        </w:rPr>
        <w:t xml:space="preserve">(3) Ako se prije isteka razdoblja na koje je odstupanje odobreno ponovno uspostave uvjeti opskrbe ili postane dostupna odgovarajuća alternativa za opskrbu energijom, resursima, materijalima ili opremom, Ministarstvo odmah po službenoj dužnosti rješenjem ukida odobreno odstupanje, a operater je dužan postupati u skladu s uvjetima utvrđenima okolišnom dozvolom.</w:t>
      </w:r>
    </w:p>
    <w:p>
      <w:pPr>
        <w:pBdr/>
        <w:pStyle w:val="Normal"/>
        <w:spacing/>
        <w:ind/>
        <w:rPr>
          <w:rFonts w:ascii="Arial" w:eastAsia="Arial" w:hAnsi="Arial" w:cs="Arial"/>
        </w:rPr>
      </w:pPr>
      <w:r>
        <w:rPr>
          <w:rFonts w:ascii="Arial" w:eastAsia="Arial" w:hAnsi="Arial" w:cs="Arial"/>
        </w:rPr>
        <w:t xml:space="preserve">(4) Ministarstvo rješenjem iz članka 110. stavka 1. ovoga Zakona utvrđuje način i mjere praćenja emisija koje su posljedica odstupanja tijekom njegova trajanja, a praćenje emisija i unos rezultata praćenja u ISZOP provode se u skladu sa člankom 116. stavcima 1. i 2. ovoga Zakona kojima se uređuju praćenje emisija i dostava rezultata praćenja.</w:t>
      </w:r>
    </w:p>
    <w:p>
      <w:pPr>
        <w:pBdr/>
        <w:pStyle w:val="Normal"/>
        <w:spacing/>
        <w:ind/>
        <w:rPr>
          <w:rFonts w:ascii="Arial" w:eastAsia="Arial" w:hAnsi="Arial" w:cs="Arial"/>
        </w:rPr>
      </w:pPr>
    </w:p>
    <w:p>
      <w:pPr>
        <w:pBdr/>
        <w:pStyle w:val="Heading 2"/>
        <w:spacing/>
        <w:ind/>
        <w:rPr/>
      </w:pPr>
      <w:r>
        <w:rPr/>
        <w:t xml:space="preserve">Objava i obavješćivanje o odstupanju</w:t>
      </w:r>
    </w:p>
    <w:p>
      <w:pPr>
        <w:pBdr/>
        <w:pStyle w:val="Heading 2"/>
        <w:spacing/>
        <w:ind/>
        <w:rPr/>
      </w:pPr>
      <w:r>
        <w:rPr/>
        <w:t xml:space="preserve">Članak 112.</w:t>
      </w:r>
    </w:p>
    <w:p>
      <w:pPr>
        <w:pBdr/>
        <w:pStyle w:val="Normal"/>
        <w:spacing/>
        <w:ind/>
        <w:rPr>
          <w:rFonts w:ascii="Arial" w:eastAsia="Arial" w:hAnsi="Arial" w:cs="Arial"/>
        </w:rPr>
      </w:pPr>
      <w:r>
        <w:rPr>
          <w:rFonts w:ascii="Arial" w:eastAsia="Arial" w:hAnsi="Arial" w:cs="Arial"/>
        </w:rPr>
        <w:t xml:space="preserve">(1) Ministarstvo na svojim mrežnim stranicama objavljuje informacije o odobrenom odstupanju i uvjetima utvrđenima rješenjem iz članka 110. stavka 1. ovoga Zakona te o svakom odobrenom odstupanju obavješćuje Europsku komisiju uz navođenje razloga za njegovo odobravanje i uvjeta utvrđenih tim rješenjem.</w:t>
      </w:r>
    </w:p>
    <w:p>
      <w:pPr>
        <w:pBdr/>
        <w:pStyle w:val="Normal"/>
        <w:spacing/>
        <w:ind/>
        <w:rPr>
          <w:rFonts w:ascii="Arial" w:eastAsia="Arial" w:hAnsi="Arial" w:cs="Arial"/>
        </w:rPr>
      </w:pPr>
      <w:r>
        <w:rPr>
          <w:rFonts w:ascii="Arial" w:eastAsia="Arial" w:hAnsi="Arial" w:cs="Arial"/>
        </w:rPr>
        <w:t xml:space="preserve">(2) Ako Europska komisija podnese prigovor na odobreno odstupanje u roku od dva mjeseca od obavijesti iz stavka 1. ovoga članka, Ministarstvo odmah po službenoj dužnosti preispituje odobreno odstupanje te, uzimajući u obzir prigovor Europske komisije, rješenje mijenja u opsegu potrebnom radi ispunjavanja uvjeta iz članka 110. stavaka 1. i 2. ovoga Zakona ili ukida rješenje iz članka 110. stavka 1. ovoga Zakona. </w:t>
      </w:r>
    </w:p>
    <w:p>
      <w:pPr>
        <w:pBdr/>
        <w:pStyle w:val="Normal"/>
        <w:spacing/>
        <w:ind/>
        <w:rPr>
          <w:rFonts w:ascii="Arial" w:eastAsia="Arial" w:hAnsi="Arial" w:cs="Arial"/>
        </w:rPr>
      </w:pPr>
      <w:r>
        <w:rPr>
          <w:rFonts w:ascii="Arial" w:eastAsia="Arial" w:hAnsi="Arial" w:cs="Arial"/>
        </w:rPr>
        <w:t xml:space="preserve">(3) Protiv rješenja iz članka 110. stavka 1. i članka 111. stavka 3. ovoga Zakona te stavka 2. ovoga članka žalba nije dopuštena, ali se može pokrenuti upravni spor.</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ODJELJAK 3. PRAĆENJE EMISIJA I UTJECAJA NA OKOLIŠ</w:t>
      </w:r>
    </w:p>
    <w:p>
      <w:pPr>
        <w:pBdr/>
        <w:pStyle w:val="Heading 2"/>
        <w:spacing/>
        <w:ind/>
        <w:rPr/>
      </w:pPr>
      <w:r>
        <w:rPr/>
        <w:t xml:space="preserve">Uvjeti praćenja emisija</w:t>
      </w:r>
    </w:p>
    <w:p>
      <w:pPr>
        <w:pBdr/>
        <w:pStyle w:val="Heading 2"/>
        <w:spacing/>
        <w:ind/>
        <w:rPr/>
      </w:pPr>
      <w:r>
        <w:rPr/>
        <w:t xml:space="preserve">Članak 113.</w:t>
      </w:r>
    </w:p>
    <w:p>
      <w:pPr>
        <w:pBdr/>
        <w:pStyle w:val="Normal"/>
        <w:spacing/>
        <w:ind/>
        <w:rPr>
          <w:rFonts w:ascii="Arial" w:eastAsia="Arial" w:hAnsi="Arial" w:cs="Arial"/>
        </w:rPr>
      </w:pPr>
      <w:r>
        <w:rPr>
          <w:rFonts w:ascii="Arial" w:eastAsia="Arial" w:hAnsi="Arial" w:cs="Arial"/>
        </w:rPr>
        <w:t xml:space="preserve">(1) Uvjeti praćenja emisija koji se utvrđuju okolišnom dozvolom u skladu s Dodatkom II. ovoga Zakona temelje se na zahtjevima za praćenje emisija iz primjenjivih zaključaka o NRT-</w:t>
      </w:r>
      <w:r>
        <w:rPr>
          <w:rFonts w:ascii="Arial" w:eastAsia="Arial" w:hAnsi="Arial" w:cs="Arial"/>
        </w:rPr>
        <w:t xml:space="preserve">u i posebnih propisa kojima se uređuje zaštita zraka, voda i tla.</w:t>
      </w:r>
    </w:p>
    <w:p>
      <w:pPr>
        <w:pBdr/>
        <w:pStyle w:val="Normal"/>
        <w:spacing/>
        <w:ind/>
        <w:rPr>
          <w:rFonts w:ascii="Arial" w:eastAsia="Arial" w:hAnsi="Arial" w:cs="Arial"/>
        </w:rPr>
      </w:pPr>
      <w:r>
        <w:rPr>
          <w:rFonts w:ascii="Arial" w:eastAsia="Arial" w:hAnsi="Arial" w:cs="Arial"/>
        </w:rPr>
        <w:t xml:space="preserve">(2) Iznimno od stavka 1. ovoga članka, ako primjenjivi zaključci o NRT-</w:t>
      </w:r>
      <w:r>
        <w:rPr>
          <w:rFonts w:ascii="Arial" w:eastAsia="Arial" w:hAnsi="Arial" w:cs="Arial"/>
        </w:rPr>
        <w:t xml:space="preserve">u dopuštaju smanjenje učestalosti praćenja emisija uz dokazivanje njihove stabilnosti, Ministarstvo može okolišnom dozvolom odobriti smanjenu učestalost praćenja samo ako su posebnim propisima kojima se uređuje zaštita zraka i voda propisani uvjeti za takvo smanjenje i način dokazivanja njihova ispunjavanja.</w:t>
      </w:r>
    </w:p>
    <w:p>
      <w:pPr>
        <w:pBdr/>
        <w:pStyle w:val="Normal"/>
        <w:spacing/>
        <w:ind/>
        <w:rPr>
          <w:rFonts w:ascii="Arial" w:eastAsia="Arial" w:hAnsi="Arial" w:cs="Arial"/>
        </w:rPr>
      </w:pPr>
      <w:r>
        <w:rPr>
          <w:rFonts w:ascii="Arial" w:eastAsia="Arial" w:hAnsi="Arial" w:cs="Arial"/>
        </w:rPr>
        <w:t xml:space="preserve">(3) Iznimno od stavka 1. ovoga članka, ako primjenjivi zaključci o NRT-</w:t>
      </w:r>
      <w:r>
        <w:rPr>
          <w:rFonts w:ascii="Arial" w:eastAsia="Arial" w:hAnsi="Arial" w:cs="Arial"/>
        </w:rPr>
        <w:t xml:space="preserve">u dopuštaju zamjenu izravnog kontinuiranog praćenja emisija praćenjem zamjenskih parametara, Ministarstvo može okolišnom dozvolom odobriti praćenje zamjenskih parametara samo ako su posebnim propisima kojima se uređuje zaštita zraka i voda propisani uvjeti i način njihove primjene.</w:t>
      </w:r>
    </w:p>
    <w:p>
      <w:pPr>
        <w:pBdr/>
        <w:pStyle w:val="Normal"/>
        <w:spacing/>
        <w:ind/>
        <w:rPr>
          <w:rFonts w:ascii="Arial" w:eastAsia="Arial" w:hAnsi="Arial" w:cs="Arial"/>
        </w:rPr>
      </w:pPr>
    </w:p>
    <w:p>
      <w:pPr>
        <w:pBdr/>
        <w:pStyle w:val="Heading 2"/>
        <w:spacing/>
        <w:ind/>
        <w:rPr/>
      </w:pPr>
      <w:r>
        <w:rPr/>
        <w:t xml:space="preserve">Praćenje tla, površinskih i podzemnih voda</w:t>
      </w:r>
    </w:p>
    <w:p>
      <w:pPr>
        <w:pBdr/>
        <w:pStyle w:val="Heading 2"/>
        <w:spacing/>
        <w:ind/>
        <w:rPr/>
      </w:pPr>
      <w:r>
        <w:rPr/>
        <w:t xml:space="preserve">Članak 114.</w:t>
      </w:r>
    </w:p>
    <w:p>
      <w:pPr>
        <w:pBdr/>
        <w:pStyle w:val="Normal"/>
        <w:spacing/>
        <w:ind/>
        <w:rPr>
          <w:rFonts w:ascii="Arial" w:eastAsia="Arial" w:hAnsi="Arial" w:cs="Arial"/>
        </w:rPr>
      </w:pPr>
      <w:r>
        <w:rPr>
          <w:rFonts w:ascii="Arial" w:eastAsia="Arial" w:hAnsi="Arial" w:cs="Arial"/>
        </w:rPr>
        <w:t xml:space="preserve">(1) Ministarstvo okolišnom dozvolom utvrđuje učestalost periodičnog praćenja tla, površinskih i podzemnih voda u odnosu na relevantne opasne tvari koje bi mogle biti prisutne na lokaciji postrojenja, uzimajući u obzir mogućnost onečišćenja tla, površinskih i podzemnih voda, osim ako je učestalost praćenja utvrđena općim obvezujućim pravilima.</w:t>
      </w:r>
    </w:p>
    <w:p>
      <w:pPr>
        <w:pBdr/>
        <w:pStyle w:val="Normal"/>
        <w:spacing/>
        <w:ind/>
        <w:rPr>
          <w:rFonts w:ascii="Arial" w:eastAsia="Arial" w:hAnsi="Arial" w:cs="Arial"/>
        </w:rPr>
      </w:pPr>
      <w:r>
        <w:rPr>
          <w:rFonts w:ascii="Arial" w:eastAsia="Arial" w:hAnsi="Arial" w:cs="Arial"/>
        </w:rPr>
        <w:t xml:space="preserve">(2) Periodično praćenje iz stavka 1. ovoga članka provodi se u skladu s primjenjivim zaključcima o NRT-</w:t>
      </w:r>
      <w:r>
        <w:rPr>
          <w:rFonts w:ascii="Arial" w:eastAsia="Arial" w:hAnsi="Arial" w:cs="Arial"/>
        </w:rPr>
        <w:t xml:space="preserve">u ako je primjenjivo, i najmanje jednom u četiri godine za podzemne vode i najmanje jednom u devet godina za tlo, osim ako se na temelju sustavne procjene rizika od onečišćenja utvrde da se praćenje može provoditi rjeđe.</w:t>
      </w:r>
    </w:p>
    <w:p>
      <w:pPr>
        <w:pBdr/>
        <w:pStyle w:val="Normal"/>
        <w:spacing/>
        <w:ind/>
        <w:rPr>
          <w:rFonts w:ascii="Arial" w:eastAsia="Arial" w:hAnsi="Arial" w:cs="Arial"/>
        </w:rPr>
      </w:pPr>
      <w:r>
        <w:rPr>
          <w:rFonts w:ascii="Arial" w:eastAsia="Arial" w:hAnsi="Arial" w:cs="Arial"/>
        </w:rPr>
        <w:t xml:space="preserve">(3) Ako operater predlaže rjeđu učestalost praćenja od praćenja propisanog stavkom 2. ovoga članka dužan je uz zahtjev za izdavanje odnosno izmjenu i/ili dopunu okolišne dozvole ili u postupku preispitivanja njezinih uvjeta dostaviti sustavnu procjenu rizika od onečišćenja iz članka 115. ovoga Zakona.</w:t>
      </w:r>
    </w:p>
    <w:p>
      <w:pPr>
        <w:pBdr/>
        <w:pStyle w:val="Normal"/>
        <w:spacing/>
        <w:ind/>
        <w:rPr>
          <w:rFonts w:ascii="Arial" w:eastAsia="Arial" w:hAnsi="Arial" w:cs="Arial"/>
        </w:rPr>
      </w:pPr>
    </w:p>
    <w:p>
      <w:pPr>
        <w:pBdr/>
        <w:pStyle w:val="Heading 2"/>
        <w:spacing/>
        <w:ind/>
        <w:rPr/>
      </w:pPr>
      <w:r>
        <w:rPr/>
        <w:t xml:space="preserve">Sustavna procjena rizika</w:t>
      </w:r>
    </w:p>
    <w:p>
      <w:pPr>
        <w:pBdr/>
        <w:pStyle w:val="Heading 2"/>
        <w:spacing/>
        <w:ind/>
        <w:rPr/>
      </w:pPr>
      <w:r>
        <w:rPr/>
        <w:t xml:space="preserve">Članak 115.</w:t>
      </w:r>
    </w:p>
    <w:p>
      <w:pPr>
        <w:pBdr/>
        <w:pStyle w:val="Normal"/>
        <w:spacing/>
        <w:ind/>
        <w:rPr>
          <w:rFonts w:ascii="Arial" w:eastAsia="Arial" w:hAnsi="Arial" w:cs="Arial"/>
        </w:rPr>
      </w:pPr>
      <w:r>
        <w:rPr>
          <w:rFonts w:ascii="Arial" w:eastAsia="Arial" w:hAnsi="Arial" w:cs="Arial"/>
        </w:rPr>
        <w:t xml:space="preserve">(1) Sustavnom procjenom rizika od onečišćenja iz članka 114. stavka 2. ovoga Zakona utvrđuju se, analiziraju i procjenjuju rizici od onečišćenja tla i podzemnih voda relevantnim opasnim tvarima povezani s radom postrojenja radi određivanja učestalosti periodičnog praćenja tla i podzemnih voda. </w:t>
      </w:r>
    </w:p>
    <w:p>
      <w:pPr>
        <w:pBdr/>
        <w:pStyle w:val="Normal"/>
        <w:spacing/>
        <w:ind/>
        <w:rPr>
          <w:rFonts w:ascii="Arial" w:eastAsia="Arial" w:hAnsi="Arial" w:cs="Arial"/>
        </w:rPr>
      </w:pPr>
      <w:r>
        <w:rPr>
          <w:rFonts w:ascii="Arial" w:eastAsia="Arial" w:hAnsi="Arial" w:cs="Arial"/>
        </w:rPr>
        <w:t xml:space="preserve">(2) Pri izradi sustavne procjene rizika osobito se uzimaju u obzir:</w:t>
      </w:r>
    </w:p>
    <w:p>
      <w:pPr>
        <w:pBdr/>
        <w:pStyle w:val="Normal"/>
        <w:spacing/>
        <w:ind/>
        <w:rPr>
          <w:rFonts w:ascii="Arial" w:eastAsia="Arial" w:hAnsi="Arial" w:cs="Arial"/>
        </w:rPr>
      </w:pPr>
      <w:r>
        <w:rPr>
          <w:rFonts w:ascii="Arial" w:eastAsia="Arial" w:hAnsi="Arial" w:cs="Arial"/>
        </w:rPr>
        <w:t xml:space="preserve">1. vrste, količine i svojstva relevantnih opasnih tvari te način njihove uporabe, proizvodnje, skladištenja, prijenosa i ispuštanja u postrojenju</w:t>
      </w:r>
    </w:p>
    <w:p>
      <w:pPr>
        <w:pBdr/>
        <w:pStyle w:val="Normal"/>
        <w:spacing/>
        <w:ind/>
        <w:rPr>
          <w:rFonts w:ascii="Arial" w:eastAsia="Arial" w:hAnsi="Arial" w:cs="Arial"/>
        </w:rPr>
      </w:pPr>
      <w:r>
        <w:rPr>
          <w:rFonts w:ascii="Arial" w:eastAsia="Arial" w:hAnsi="Arial" w:cs="Arial"/>
        </w:rPr>
        <w:t xml:space="preserve">2. mogućnost dospijevanja relevantnih opasnih tvari u tlo i podzemne vode i njihova širenja, uzimajući u obzir tehničke i organizacijske mjere za sprječavanje onečišćenja te značajke lokacije</w:t>
      </w:r>
    </w:p>
    <w:p>
      <w:pPr>
        <w:pBdr/>
        <w:pStyle w:val="Normal"/>
        <w:spacing/>
        <w:ind/>
        <w:rPr>
          <w:rFonts w:ascii="Arial" w:eastAsia="Arial" w:hAnsi="Arial" w:cs="Arial"/>
        </w:rPr>
      </w:pPr>
      <w:r>
        <w:rPr>
          <w:rFonts w:ascii="Arial" w:eastAsia="Arial" w:hAnsi="Arial" w:cs="Arial"/>
        </w:rPr>
        <w:t xml:space="preserve">3. stanje tla i podzemnih voda na lokaciji, uključujući rezultate prethodnih praćenja i, ako je primjenjivo, podatke iz temeljnog izvješća</w:t>
      </w:r>
    </w:p>
    <w:p>
      <w:pPr>
        <w:pBdr/>
        <w:pStyle w:val="Normal"/>
        <w:spacing/>
        <w:ind/>
        <w:rPr>
          <w:rFonts w:ascii="Arial" w:eastAsia="Arial" w:hAnsi="Arial" w:cs="Arial"/>
        </w:rPr>
      </w:pPr>
      <w:r>
        <w:rPr>
          <w:rFonts w:ascii="Arial" w:eastAsia="Arial" w:hAnsi="Arial" w:cs="Arial"/>
        </w:rPr>
        <w:t xml:space="preserve">4. ako je primjenjivo, podaci i kriteriji utvrđeni propisima kojima se uređuje zaštita tla odnosno voda.</w:t>
      </w:r>
    </w:p>
    <w:p>
      <w:pPr>
        <w:pBdr/>
        <w:pStyle w:val="Normal"/>
        <w:spacing/>
        <w:ind/>
        <w:rPr>
          <w:rFonts w:ascii="Arial" w:eastAsia="Arial" w:hAnsi="Arial" w:cs="Arial"/>
        </w:rPr>
      </w:pPr>
      <w:r>
        <w:rPr>
          <w:rFonts w:ascii="Arial" w:eastAsia="Arial" w:hAnsi="Arial" w:cs="Arial"/>
        </w:rPr>
        <w:t xml:space="preserve">(3) Tijela nadležna prema propisima kojima se uređuje zaštita tla odnosno voda ocjenjuju sustavnu procjenu rizika te u mišljenju Ministarstvu ocjenjuju opravdanost predložene učestalosti praćenja s obzirom na utvrđeni rizik, a Ministarstvo na temelju tih mišljenja okolišnom dozvolom utvrđuje učestalost periodičnog praćenja tla odnosno podzemnih voda.</w:t>
      </w:r>
    </w:p>
    <w:p>
      <w:pPr>
        <w:pBdr/>
        <w:pStyle w:val="Normal"/>
        <w:spacing/>
        <w:ind/>
        <w:rPr>
          <w:rFonts w:ascii="Arial" w:eastAsia="Arial" w:hAnsi="Arial" w:cs="Arial"/>
        </w:rPr>
      </w:pPr>
      <w:r>
        <w:rPr>
          <w:rFonts w:ascii="Arial" w:eastAsia="Arial" w:hAnsi="Arial" w:cs="Arial"/>
        </w:rPr>
        <w:t xml:space="preserve">(4) Pobliži sadržaj sustavne procjene rizika iz stavka 1. ovoga članka te podatke i dokumentaciju koji se uz nju prilažu propisuju se pravilnikom iz članka 145. stavka 5. ovoga Zakona. </w:t>
      </w:r>
    </w:p>
    <w:p>
      <w:pPr>
        <w:pBdr/>
        <w:pStyle w:val="Normal"/>
        <w:spacing/>
        <w:ind/>
        <w:rPr>
          <w:rFonts w:ascii="Arial" w:eastAsia="Arial" w:hAnsi="Arial" w:cs="Arial"/>
        </w:rPr>
      </w:pPr>
    </w:p>
    <w:p>
      <w:pPr>
        <w:pBdr/>
        <w:pStyle w:val="Heading 2"/>
        <w:spacing/>
        <w:ind/>
        <w:rPr/>
      </w:pPr>
      <w:r>
        <w:rPr/>
        <w:t xml:space="preserve">Provedba praćenja i ocjena sukladnosti</w:t>
      </w:r>
    </w:p>
    <w:p>
      <w:pPr>
        <w:pBdr/>
        <w:pStyle w:val="Heading 2"/>
        <w:spacing/>
        <w:ind/>
        <w:rPr/>
      </w:pPr>
      <w:r>
        <w:rPr/>
        <w:t xml:space="preserve">Članak 116.</w:t>
      </w:r>
    </w:p>
    <w:p>
      <w:pPr>
        <w:pBdr/>
        <w:pStyle w:val="Normal"/>
        <w:spacing/>
        <w:ind/>
        <w:rPr>
          <w:rFonts w:ascii="Arial" w:eastAsia="Arial" w:hAnsi="Arial" w:cs="Arial"/>
        </w:rPr>
      </w:pPr>
      <w:r>
        <w:rPr>
          <w:rFonts w:ascii="Arial" w:eastAsia="Arial" w:hAnsi="Arial" w:cs="Arial"/>
        </w:rPr>
        <w:t xml:space="preserve">(1) Operater je dužan osigurati da praćenje emisija i utjecaja opterećenja na okoliš provodi ovlašteni laboratorij u skladu s posebnim propisima kojima se uređuje zaštita pojedinih sastavnica okoliša. </w:t>
      </w:r>
    </w:p>
    <w:p>
      <w:pPr>
        <w:pBdr/>
        <w:pStyle w:val="Normal"/>
        <w:spacing/>
        <w:ind/>
        <w:rPr>
          <w:rFonts w:ascii="Arial" w:eastAsia="Arial" w:hAnsi="Arial" w:cs="Arial"/>
        </w:rPr>
      </w:pPr>
      <w:r>
        <w:rPr>
          <w:rFonts w:ascii="Arial" w:eastAsia="Arial" w:hAnsi="Arial" w:cs="Arial"/>
        </w:rPr>
        <w:t xml:space="preserve">(2) Laboratoriji iz stavka 1. ovoga članka dužni su rezultate praćenja unositi u ISZOP u rokovima propisanim u posebnim propisima kojima se uređuje zaštita zraka, voda i tla.</w:t>
      </w:r>
    </w:p>
    <w:p>
      <w:pPr>
        <w:pBdr/>
        <w:pStyle w:val="Normal"/>
        <w:spacing/>
        <w:ind/>
        <w:rPr>
          <w:rFonts w:ascii="Arial" w:eastAsia="Arial" w:hAnsi="Arial" w:cs="Arial"/>
        </w:rPr>
      </w:pPr>
      <w:r>
        <w:rPr>
          <w:rFonts w:ascii="Arial" w:eastAsia="Arial" w:hAnsi="Arial" w:cs="Arial"/>
        </w:rPr>
        <w:t xml:space="preserve">(3) Ocjena sukladnosti s graničnim vrijednostima emisija utvrđenima okolišnom dozvolom provodi se u skladu s posebnim propisima kojima se uređuje zaštita zraka i voda.</w:t>
      </w:r>
    </w:p>
    <w:p>
      <w:pPr>
        <w:pBdr/>
        <w:pStyle w:val="Normal"/>
        <w:spacing/>
        <w:ind/>
        <w:rPr>
          <w:rFonts w:ascii="Arial" w:eastAsia="Arial" w:hAnsi="Arial" w:cs="Arial"/>
          <w:b/>
          <w:bCs/>
        </w:rPr>
      </w:pPr>
    </w:p>
    <w:p>
      <w:pPr>
        <w:pBdr/>
        <w:pStyle w:val="Heading 1"/>
        <w:spacing/>
        <w:ind/>
        <w:rPr>
          <w:rFonts w:ascii="Arial" w:eastAsia="Arial" w:hAnsi="Arial" w:cs="Arial"/>
          <w:szCs w:val="24"/>
        </w:rPr>
      </w:pPr>
      <w:r>
        <w:rPr>
          <w:rFonts w:ascii="Arial" w:eastAsia="Arial" w:hAnsi="Arial" w:cs="Arial"/>
          <w:szCs w:val="24"/>
        </w:rPr>
        <w:t xml:space="preserve">POGLAVLJE V. OPĆA OBVEZUJUĆA PRAVILA</w:t>
      </w:r>
    </w:p>
    <w:p>
      <w:pPr>
        <w:pBdr/>
        <w:pStyle w:val="Heading 2"/>
        <w:spacing/>
        <w:ind/>
        <w:rPr/>
      </w:pPr>
      <w:r>
        <w:rPr/>
        <w:t xml:space="preserve">Članak 117.</w:t>
      </w:r>
    </w:p>
    <w:p>
      <w:pPr>
        <w:pBdr/>
        <w:pStyle w:val="Normal"/>
        <w:spacing/>
        <w:ind/>
        <w:rPr>
          <w:rFonts w:ascii="Arial" w:eastAsia="Arial" w:hAnsi="Arial" w:cs="Arial"/>
        </w:rPr>
      </w:pPr>
      <w:r>
        <w:rPr>
          <w:rFonts w:ascii="Arial" w:eastAsia="Arial" w:hAnsi="Arial" w:cs="Arial"/>
        </w:rPr>
        <w:t xml:space="preserve">(1) Uvjeti okolišne dozvole mogu se utvrditi primjenom općih obvezujućih pravila za određene kategorije postrojenja koja obavljaju djelatnosti iz uredbe iz članka 76. stavka 5. ovoga Zakona.</w:t>
      </w:r>
    </w:p>
    <w:p>
      <w:pPr>
        <w:pBdr/>
        <w:pStyle w:val="Normal"/>
        <w:spacing/>
        <w:ind/>
        <w:rPr>
          <w:rFonts w:ascii="Arial" w:eastAsia="Arial" w:hAnsi="Arial" w:cs="Arial"/>
        </w:rPr>
      </w:pPr>
      <w:r>
        <w:rPr>
          <w:rFonts w:ascii="Arial" w:eastAsia="Arial" w:hAnsi="Arial" w:cs="Arial"/>
        </w:rPr>
        <w:t xml:space="preserve">(2) Pri donošenju općih obvezujućih pravila Ministarstvo osigurava integrirani pristup i razinu zaštite okoliša jednaku onoj koja se postiže uvjetima okolišne dozvole.</w:t>
      </w:r>
    </w:p>
    <w:p>
      <w:pPr>
        <w:pBdr/>
        <w:pStyle w:val="Normal"/>
        <w:spacing/>
        <w:ind/>
        <w:rPr>
          <w:rFonts w:ascii="Arial" w:eastAsia="Arial" w:hAnsi="Arial" w:cs="Arial"/>
        </w:rPr>
      </w:pPr>
      <w:r>
        <w:rPr>
          <w:rFonts w:ascii="Arial" w:eastAsia="Arial" w:hAnsi="Arial" w:cs="Arial"/>
        </w:rPr>
        <w:t xml:space="preserve">(3) Opća obvezujuća pravila za kategorije postrojenja iz stavka 1. ovoga članka sadrže zahtjeve koji se temelje na NRT-</w:t>
      </w:r>
      <w:r>
        <w:rPr>
          <w:rFonts w:ascii="Arial" w:eastAsia="Arial" w:hAnsi="Arial" w:cs="Arial"/>
        </w:rPr>
        <w:t xml:space="preserve">u, bez propisivanja primjene određene tehnike ili tehnologije, te osiguravaju ispunjavanje obveza operatera i zahtjeva iz članaka 78. do 81., članaka 87., 93., 94., 97. do 104., članaka 105. do 107.  i članaka 109., 110., 113., 114. ovoga Zakona za utvrđivanje uvjeta okolišne dozvole propisanih ovim Zakonom, Dodatkom II. ovoga Zakona i uredbom iz članka 76. stavka 5. ovoga Zakona. </w:t>
      </w:r>
    </w:p>
    <w:p>
      <w:pPr>
        <w:pBdr/>
        <w:pStyle w:val="Normal"/>
        <w:spacing/>
        <w:ind/>
        <w:rPr>
          <w:rFonts w:ascii="Arial" w:eastAsia="Arial" w:hAnsi="Arial" w:cs="Arial"/>
        </w:rPr>
      </w:pPr>
      <w:r>
        <w:rPr>
          <w:rFonts w:ascii="Arial" w:eastAsia="Arial" w:hAnsi="Arial" w:cs="Arial"/>
        </w:rPr>
        <w:t xml:space="preserve">(4) Opća obvezujuća pravila iz stavka 1. ovoga članka mogu se primjenjivati pri utvrđivanju graničnih vrijednosti emisija u skladu sa člancima 100., 101. i 102. ovoga Zakona.  </w:t>
      </w:r>
    </w:p>
    <w:p>
      <w:pPr>
        <w:pBdr/>
        <w:pStyle w:val="Normal"/>
        <w:spacing/>
        <w:ind/>
        <w:rPr>
          <w:rFonts w:ascii="Arial" w:eastAsia="Arial" w:hAnsi="Arial" w:cs="Arial"/>
        </w:rPr>
      </w:pPr>
      <w:r>
        <w:rPr>
          <w:rFonts w:ascii="Arial" w:eastAsia="Arial" w:hAnsi="Arial" w:cs="Arial"/>
        </w:rPr>
        <w:t xml:space="preserve">(5) Prilikom objave općih obvezujućih pravila obvezno se navodi upućivanje na Direktivu 2010/75/EU i Direktivu (EU)2024/1785.  </w:t>
      </w:r>
    </w:p>
    <w:p>
      <w:pPr>
        <w:pBdr/>
        <w:pStyle w:val="Normal"/>
        <w:spacing/>
        <w:ind/>
        <w:rPr>
          <w:rFonts w:ascii="Arial" w:eastAsia="Arial" w:hAnsi="Arial" w:cs="Arial"/>
        </w:rPr>
      </w:pPr>
    </w:p>
    <w:p>
      <w:pPr>
        <w:pBdr/>
        <w:pStyle w:val="Heading 2"/>
        <w:spacing/>
        <w:ind/>
        <w:rPr/>
      </w:pPr>
      <w:r>
        <w:rPr/>
        <w:t xml:space="preserve">Članak 118.</w:t>
      </w:r>
    </w:p>
    <w:p>
      <w:pPr>
        <w:pBdr/>
        <w:pStyle w:val="Normal"/>
        <w:spacing/>
        <w:ind/>
        <w:rPr>
          <w:rFonts w:ascii="Arial" w:eastAsia="Arial" w:hAnsi="Arial" w:cs="Arial"/>
        </w:rPr>
      </w:pPr>
      <w:r>
        <w:rPr>
          <w:rFonts w:ascii="Arial" w:eastAsia="Arial" w:hAnsi="Arial" w:cs="Arial"/>
        </w:rPr>
        <w:t xml:space="preserve">(1) Pri donošenju općih obvezujućih pravila najstrože granične vrijednosti emisija koje se mogu postići primjenom NRT-</w:t>
      </w:r>
      <w:r>
        <w:rPr>
          <w:rFonts w:ascii="Arial" w:eastAsia="Arial" w:hAnsi="Arial" w:cs="Arial"/>
        </w:rPr>
        <w:t xml:space="preserve">a utvrđuju se za kategorije postrojenja sa sličnim značajkama relevantnima za utvrđivanje najnižih razina emisija koje se mogu postići uzimajući u obzir cijeli raspon razina emisija povezanih s NRT-</w:t>
      </w:r>
      <w:r>
        <w:rPr>
          <w:rFonts w:ascii="Arial" w:eastAsia="Arial" w:hAnsi="Arial" w:cs="Arial"/>
        </w:rPr>
        <w:t xml:space="preserve">om.</w:t>
      </w:r>
    </w:p>
    <w:p>
      <w:pPr>
        <w:pBdr/>
        <w:pStyle w:val="Normal"/>
        <w:spacing/>
        <w:ind/>
        <w:rPr>
          <w:rFonts w:ascii="Arial" w:eastAsia="Arial" w:hAnsi="Arial" w:cs="Arial"/>
        </w:rPr>
      </w:pPr>
      <w:r>
        <w:rPr>
          <w:rFonts w:ascii="Arial" w:eastAsia="Arial" w:hAnsi="Arial" w:cs="Arial"/>
        </w:rPr>
        <w:t xml:space="preserve">(2) Ministarstvo pri donošenju općih obvezujućih pravila na temelju informacija iz zaključaka o NRT-</w:t>
      </w:r>
      <w:r>
        <w:rPr>
          <w:rFonts w:ascii="Arial" w:eastAsia="Arial" w:hAnsi="Arial" w:cs="Arial"/>
        </w:rPr>
        <w:t xml:space="preserve">u analizira izvedivost postizanja najstrože vrijednosti raspona razina emisija povezanih s NRT-</w:t>
      </w:r>
      <w:r>
        <w:rPr>
          <w:rFonts w:ascii="Arial" w:eastAsia="Arial" w:hAnsi="Arial" w:cs="Arial"/>
        </w:rPr>
        <w:t xml:space="preserve">om i dokazuje najbolju učinkovitost koju pojedine kategorije postrojenja mogu postići primjenom NRT-</w:t>
      </w:r>
      <w:r>
        <w:rPr>
          <w:rFonts w:ascii="Arial" w:eastAsia="Arial" w:hAnsi="Arial" w:cs="Arial"/>
        </w:rPr>
        <w:t xml:space="preserve">a opisanog u tim zaključcima</w:t>
      </w:r>
    </w:p>
    <w:p>
      <w:pPr>
        <w:pBdr/>
        <w:pStyle w:val="Normal"/>
        <w:spacing/>
        <w:ind/>
        <w:rPr>
          <w:rFonts w:ascii="Arial" w:eastAsia="Arial" w:hAnsi="Arial" w:cs="Arial"/>
        </w:rPr>
      </w:pPr>
      <w:r>
        <w:rPr>
          <w:rFonts w:ascii="Arial" w:eastAsia="Arial" w:hAnsi="Arial" w:cs="Arial"/>
        </w:rPr>
        <w:t xml:space="preserve">(3) Ministarstvo redovito i pravodobno ažurira opća obvezujuća pravila u skladu s razvojem NRT-</w:t>
      </w:r>
      <w:r>
        <w:rPr>
          <w:rFonts w:ascii="Arial" w:eastAsia="Arial" w:hAnsi="Arial" w:cs="Arial"/>
        </w:rPr>
        <w:t xml:space="preserve">a, osobito nakon objave novih ili ažuriranih zaključaka o NRT-</w:t>
      </w:r>
      <w:r>
        <w:rPr>
          <w:rFonts w:ascii="Arial" w:eastAsia="Arial" w:hAnsi="Arial" w:cs="Arial"/>
        </w:rPr>
        <w:t xml:space="preserve">u za glavnu djelatnost postrojenja obuhvaćenih tim pravilima, radi osiguravanja usklađenosti rada tih postrojenja sa zahtjevima ovoga Zakona.</w:t>
      </w:r>
    </w:p>
    <w:p>
      <w:pPr>
        <w:pBdr/>
        <w:pStyle w:val="Normal"/>
        <w:spacing/>
        <w:ind/>
        <w:rPr>
          <w:rFonts w:ascii="Arial" w:eastAsia="Arial" w:hAnsi="Arial" w:cs="Arial"/>
        </w:rPr>
      </w:pPr>
      <w:r>
        <w:rPr>
          <w:rFonts w:ascii="Arial" w:eastAsia="Arial" w:hAnsi="Arial" w:cs="Arial"/>
        </w:rPr>
        <w:t xml:space="preserve">(4) Mjere i uvjeti okolišne dozvole mogu se, u dijelu uređenom općim obvezujućim pravilima, utvrditi, utvrditi upućivanjem na odgovarajuće odredbe tih pravila donesenih pravilnikom iz članka 119. stavka 3. ovoga Zakona.</w:t>
      </w:r>
    </w:p>
    <w:p>
      <w:pPr>
        <w:pBdr/>
        <w:pStyle w:val="Normal"/>
        <w:spacing/>
        <w:ind/>
        <w:rPr>
          <w:rFonts w:ascii="Arial" w:eastAsia="Arial" w:hAnsi="Arial" w:cs="Arial"/>
        </w:rPr>
      </w:pPr>
    </w:p>
    <w:p>
      <w:pPr>
        <w:pBdr/>
        <w:pStyle w:val="Heading 2"/>
        <w:spacing/>
        <w:ind/>
        <w:rPr/>
      </w:pPr>
      <w:r>
        <w:rPr/>
        <w:t xml:space="preserve">Članak 119.</w:t>
      </w:r>
    </w:p>
    <w:p>
      <w:pPr>
        <w:pBdr/>
        <w:pStyle w:val="Normal"/>
        <w:spacing/>
        <w:ind/>
        <w:rPr>
          <w:rFonts w:ascii="Arial" w:eastAsia="Arial" w:hAnsi="Arial" w:cs="Arial"/>
        </w:rPr>
      </w:pPr>
      <w:r>
        <w:rPr>
          <w:rFonts w:ascii="Arial" w:eastAsia="Arial" w:hAnsi="Arial" w:cs="Arial"/>
        </w:rPr>
        <w:t xml:space="preserve">(1) Kategorije postrojenja iz članka 117. stavka 1. ovoga Zakona za koje se mogu primjenjivati opća obvezujuća pravila propisuju se uredbom iz članka 76. stavka 5. ovoga Zakona.</w:t>
      </w:r>
    </w:p>
    <w:p>
      <w:pPr>
        <w:pBdr/>
        <w:pStyle w:val="Normal"/>
        <w:spacing/>
        <w:ind/>
        <w:rPr>
          <w:rFonts w:ascii="Arial" w:eastAsia="Arial" w:hAnsi="Arial" w:cs="Arial"/>
        </w:rPr>
      </w:pPr>
      <w:r>
        <w:rPr>
          <w:rFonts w:ascii="Arial" w:eastAsia="Arial" w:hAnsi="Arial" w:cs="Arial"/>
        </w:rPr>
        <w:t xml:space="preserve">(2) Na zahtjev i postupak izdavanja okolišne dozvole primjenom općih obvezujućih pravila na odgovarajući se način primjenjuju odredbe ovoga Zakona kojima se uređuje postupak izdavanja okolišne dozvole.</w:t>
      </w:r>
    </w:p>
    <w:p>
      <w:pPr>
        <w:pBdr/>
        <w:pStyle w:val="Normal"/>
        <w:spacing/>
        <w:ind/>
        <w:rPr>
          <w:rFonts w:ascii="Arial" w:eastAsia="Arial" w:hAnsi="Arial" w:cs="Arial"/>
        </w:rPr>
      </w:pPr>
      <w:r>
        <w:rPr>
          <w:rFonts w:ascii="Arial" w:eastAsia="Arial" w:hAnsi="Arial" w:cs="Arial"/>
        </w:rPr>
        <w:t xml:space="preserve">(3) Opća obvezujuća pravila donosi ministar pravilnikom uz prethodno mišljenje nadležnih tijela iz članka 87. stavka 1. ovoga Zakona i tijela državne uprave nadležnog za upravno područje djelatnosti za koju se ta pravila donose.</w:t>
      </w:r>
    </w:p>
    <w:p>
      <w:pPr>
        <w:pBdr/>
        <w:pStyle w:val="Normal"/>
        <w:spacing/>
        <w:ind/>
        <w:rPr>
          <w:rFonts w:ascii="Arial" w:eastAsia="Arial" w:hAnsi="Arial" w:cs="Arial"/>
        </w:rPr>
      </w:pPr>
      <w:r>
        <w:rPr>
          <w:rFonts w:ascii="Arial" w:eastAsia="Arial" w:hAnsi="Arial" w:cs="Arial"/>
        </w:rPr>
        <w:t xml:space="preserve">(4) Pravilnikom iz stavka 3. ovoga članka propisuju se i pobliži sadržaj zahtjeva za izdavanje okolišne dozvole primjenom općih obvezujućih pravila te dokumentacija i dokazi koji se prilažu uz zahtjev.</w:t>
      </w:r>
    </w:p>
    <w:p>
      <w:pPr>
        <w:pBdr/>
        <w:pStyle w:val="Normal"/>
        <w:spacing/>
        <w:ind/>
        <w:rPr>
          <w:rFonts w:ascii="Arial" w:eastAsia="Arial" w:hAnsi="Arial" w:cs="Arial"/>
          <w:b/>
          <w:bCs/>
        </w:rPr>
      </w:pPr>
    </w:p>
    <w:p>
      <w:pPr>
        <w:pBdr/>
        <w:pStyle w:val="Heading 1"/>
        <w:spacing/>
        <w:ind/>
        <w:rPr>
          <w:rFonts w:ascii="Arial" w:eastAsia="Arial" w:hAnsi="Arial" w:cs="Arial"/>
          <w:szCs w:val="24"/>
        </w:rPr>
      </w:pPr>
      <w:r>
        <w:rPr>
          <w:rFonts w:ascii="Arial" w:eastAsia="Arial" w:hAnsi="Arial" w:cs="Arial"/>
          <w:szCs w:val="24"/>
        </w:rPr>
        <w:t xml:space="preserve">POGLAVLJE VI. PROMJENE NA POSTROJENJU, PRIJENOS, PREISPITIVANJE I UKIDANJE OKOLIŠNE DOZVOLE</w:t>
      </w:r>
    </w:p>
    <w:p>
      <w:pPr>
        <w:pBdr/>
        <w:pStyle w:val="Heading 1"/>
        <w:spacing/>
        <w:ind/>
        <w:rPr>
          <w:rFonts w:ascii="Arial" w:eastAsia="Arial" w:hAnsi="Arial" w:cs="Arial"/>
          <w:szCs w:val="24"/>
        </w:rPr>
      </w:pPr>
      <w:r>
        <w:rPr>
          <w:rFonts w:ascii="Arial" w:eastAsia="Arial" w:hAnsi="Arial" w:cs="Arial"/>
          <w:szCs w:val="24"/>
        </w:rPr>
        <w:t xml:space="preserve">ODJELJAK 1. PROMJENE NA POSTROJENJU I OKOLIŠNOJ DOZVOLI</w:t>
      </w:r>
    </w:p>
    <w:p>
      <w:pPr>
        <w:pBdr/>
        <w:pStyle w:val="Heading 2"/>
        <w:spacing/>
        <w:ind/>
        <w:rPr/>
      </w:pPr>
      <w:r>
        <w:rPr/>
        <w:t xml:space="preserve">Promjene na postrojenju</w:t>
      </w:r>
    </w:p>
    <w:p>
      <w:pPr>
        <w:pBdr/>
        <w:pStyle w:val="Heading 2"/>
        <w:spacing/>
        <w:ind/>
        <w:rPr/>
      </w:pPr>
      <w:r>
        <w:rPr/>
        <w:t xml:space="preserve">Članak 120.</w:t>
      </w:r>
    </w:p>
    <w:p>
      <w:pPr>
        <w:pBdr/>
        <w:pStyle w:val="Normal"/>
        <w:spacing/>
        <w:ind/>
        <w:rPr>
          <w:rFonts w:ascii="Arial" w:eastAsia="Arial" w:hAnsi="Arial" w:cs="Arial"/>
        </w:rPr>
      </w:pPr>
      <w:r>
        <w:rPr>
          <w:rFonts w:ascii="Arial" w:eastAsia="Arial" w:hAnsi="Arial" w:cs="Arial"/>
        </w:rPr>
        <w:t xml:space="preserve">(1) Operater je dužan prije prije provedbe svake planirane promjene u  prirodi ili funkcioniranju postrojenja ili njegova dijela  odnosno proširenja postrojenja koji mogu utjecati na okoliš pisanim putem obavijestiti Ministarstvo o planiranoj promjeni ili proširenju te dostaviti detaljan opis na obrascu čiji se sadržaj propisuje uredbom iz članka 76. stavka 5. ovoga Zakona.</w:t>
      </w:r>
    </w:p>
    <w:p>
      <w:pPr>
        <w:pBdr/>
        <w:pStyle w:val="Normal"/>
        <w:spacing/>
        <w:ind/>
        <w:rPr>
          <w:rFonts w:ascii="Arial" w:eastAsia="Arial" w:hAnsi="Arial" w:cs="Arial"/>
        </w:rPr>
      </w:pPr>
      <w:r>
        <w:rPr>
          <w:rFonts w:ascii="Arial" w:eastAsia="Arial" w:hAnsi="Arial" w:cs="Arial"/>
        </w:rPr>
        <w:t xml:space="preserve">(2) Ministarstvo u roku od 30 dana od dana zaprimanja uredne obavijesti iz stavka 1. ovoga članka ocjenjuje prirodu planirane promjene i pisanim putem obavješćuje operatera da izmjena i/ili dopuna okolišne dozvole nije potrebna ili da je potrebno podnijeti zahtjev za njezinu izmjenu i/ili dopunu.</w:t>
      </w:r>
    </w:p>
    <w:p>
      <w:pPr>
        <w:pBdr/>
        <w:pStyle w:val="Normal"/>
        <w:spacing/>
        <w:ind/>
        <w:rPr>
          <w:rFonts w:ascii="Arial" w:eastAsia="Arial" w:hAnsi="Arial" w:cs="Arial"/>
        </w:rPr>
      </w:pPr>
      <w:r>
        <w:rPr>
          <w:rFonts w:ascii="Arial" w:eastAsia="Arial" w:hAnsi="Arial" w:cs="Arial"/>
        </w:rPr>
        <w:t xml:space="preserve">(3) Radi ocjene planirane promjene Ministarstvo može zatražiti mišljenje tijela i/ili osoba nadležnih za pojedinu sastavnicu, opterećenje okoliša i upravljanja kemikalijama, koje je dužno dostaviti mišljenje u roku od 15 dana od dana zaprimanja zahtjeva za davanje mišljenja.</w:t>
      </w:r>
    </w:p>
    <w:p>
      <w:pPr>
        <w:pBdr/>
        <w:pStyle w:val="Normal"/>
        <w:spacing/>
        <w:ind/>
        <w:rPr>
          <w:rFonts w:ascii="Arial" w:eastAsia="Arial" w:hAnsi="Arial" w:cs="Arial"/>
        </w:rPr>
      </w:pPr>
      <w:r>
        <w:rPr>
          <w:rFonts w:ascii="Arial" w:eastAsia="Arial" w:hAnsi="Arial" w:cs="Arial"/>
        </w:rPr>
        <w:t xml:space="preserve">(4) Operater ne smije provesti značajnu promjenu iz članka 76. stavka 4. ovoga Zakona bez nove okolišne dozvole ili izmjene i/ili dopune postojeće okolišne dozvole.</w:t>
      </w:r>
    </w:p>
    <w:p>
      <w:pPr>
        <w:pBdr/>
        <w:pStyle w:val="Normal"/>
        <w:spacing/>
        <w:ind/>
        <w:rPr>
          <w:rFonts w:ascii="Arial" w:eastAsia="Arial" w:hAnsi="Arial" w:cs="Arial"/>
        </w:rPr>
      </w:pPr>
      <w:r>
        <w:rPr>
          <w:rFonts w:ascii="Arial" w:eastAsia="Arial" w:hAnsi="Arial" w:cs="Arial"/>
        </w:rPr>
        <w:t xml:space="preserve">(5) Na zahtjev i postupak izmjene i/ili dopune okolišne dozvole na odgovarajući se način primjenjuju odredbe ovoga Zakona kojima se uređuju podnošenje zahtjeva i postupak izdavanja okolišne dozvole.</w:t>
      </w:r>
    </w:p>
    <w:p>
      <w:pPr>
        <w:pBdr/>
        <w:pStyle w:val="Normal"/>
        <w:spacing/>
        <w:ind/>
        <w:rPr>
          <w:rFonts w:ascii="Arial" w:eastAsia="Arial" w:hAnsi="Arial" w:cs="Arial"/>
        </w:rPr>
      </w:pPr>
      <w:r>
        <w:rPr>
          <w:rFonts w:ascii="Arial" w:eastAsia="Arial" w:hAnsi="Arial" w:cs="Arial"/>
        </w:rPr>
        <w:t xml:space="preserve">(6) Pobliži sadržaj zahtjeva za izmjenu i/ili dopunu okolišne dozvole, dokumentacija i dokazi koji se prilažu uz zahtjev i obrasce propisuju se uredbom iz članka 76. stavka 5. ovoga Zakona. </w:t>
      </w:r>
    </w:p>
    <w:p>
      <w:pPr>
        <w:pBdr/>
        <w:pStyle w:val="Normal"/>
        <w:spacing/>
        <w:ind/>
        <w:rPr>
          <w:rFonts w:ascii="Arial" w:eastAsia="Arial" w:hAnsi="Arial" w:cs="Arial"/>
        </w:rPr>
      </w:pPr>
    </w:p>
    <w:p>
      <w:pPr>
        <w:pBdr/>
        <w:pStyle w:val="Heading 2"/>
        <w:spacing/>
        <w:ind/>
        <w:rPr/>
      </w:pPr>
      <w:r>
        <w:rPr/>
        <w:t xml:space="preserve">Promjena operatera i podataka o operateru</w:t>
      </w:r>
    </w:p>
    <w:p>
      <w:pPr>
        <w:pBdr/>
        <w:pStyle w:val="Heading 2"/>
        <w:spacing/>
        <w:ind/>
        <w:rPr/>
      </w:pPr>
      <w:r>
        <w:rPr/>
        <w:t xml:space="preserve">Članak 121.</w:t>
      </w:r>
    </w:p>
    <w:p>
      <w:pPr>
        <w:pBdr/>
        <w:pStyle w:val="Normal"/>
        <w:spacing/>
        <w:ind/>
        <w:rPr>
          <w:rFonts w:ascii="Arial" w:eastAsia="Arial" w:hAnsi="Arial" w:cs="Arial"/>
        </w:rPr>
      </w:pPr>
      <w:r>
        <w:rPr>
          <w:rFonts w:ascii="Arial" w:eastAsia="Arial" w:hAnsi="Arial" w:cs="Arial"/>
        </w:rPr>
        <w:t xml:space="preserve">(1) U slučaju promjene operatera postrojenja prava i obveze iz izdane okolišne dozvole mogu se prenijeti na novog operatera ako u cijelosti preuzima upravljanje postrojenjem i obavljanje djelatnosti za koje je okolišna dozvola izdana.</w:t>
      </w:r>
    </w:p>
    <w:p>
      <w:pPr>
        <w:pBdr/>
        <w:pStyle w:val="Normal"/>
        <w:spacing/>
        <w:ind/>
        <w:rPr>
          <w:rFonts w:ascii="Arial" w:eastAsia="Arial" w:hAnsi="Arial" w:cs="Arial"/>
        </w:rPr>
      </w:pPr>
      <w:r>
        <w:rPr>
          <w:rFonts w:ascii="Arial" w:eastAsia="Arial" w:hAnsi="Arial" w:cs="Arial"/>
        </w:rPr>
        <w:t xml:space="preserve">(2) Novi operater dužan je Ministarstvu podnijeti zahtjev za prijenos okolišne dozvole u roku od 15 dana od dana promjene operatera te uz zahtjev priložiti:</w:t>
      </w:r>
    </w:p>
    <w:p>
      <w:pPr>
        <w:pBdr/>
        <w:pStyle w:val="Normal"/>
        <w:spacing/>
        <w:ind/>
        <w:rPr>
          <w:rFonts w:ascii="Arial" w:eastAsia="Arial" w:hAnsi="Arial" w:cs="Arial"/>
        </w:rPr>
      </w:pPr>
      <w:r>
        <w:rPr>
          <w:rFonts w:ascii="Arial" w:eastAsia="Arial" w:hAnsi="Arial" w:cs="Arial"/>
        </w:rPr>
        <w:t xml:space="preserve">1. dokaz o pravnoj osnovi prijenosa prava upravljanja odnosno vlasništva nad postrojenjem, osobito ugovor, odluku, izvadak iz nadležnog registra ili drugi odgovarajući dokaz o prijenosu prava</w:t>
      </w:r>
    </w:p>
    <w:p>
      <w:pPr>
        <w:pBdr/>
        <w:pStyle w:val="Normal"/>
        <w:spacing/>
        <w:ind/>
        <w:rPr>
          <w:rFonts w:ascii="Arial" w:eastAsia="Arial" w:hAnsi="Arial" w:cs="Arial"/>
        </w:rPr>
      </w:pPr>
      <w:r>
        <w:rPr>
          <w:rFonts w:ascii="Arial" w:eastAsia="Arial" w:hAnsi="Arial" w:cs="Arial"/>
        </w:rPr>
        <w:t xml:space="preserve">2. pisanu izjavu kojom potvrđuje da u cijelosti preuzima sva prava i obveze iz važeće okolišne dozvole.</w:t>
      </w:r>
    </w:p>
    <w:p>
      <w:pPr>
        <w:pBdr/>
        <w:pStyle w:val="Normal"/>
        <w:spacing/>
        <w:ind/>
        <w:rPr>
          <w:rFonts w:ascii="Arial" w:eastAsia="Arial" w:hAnsi="Arial" w:cs="Arial"/>
        </w:rPr>
      </w:pPr>
      <w:r>
        <w:rPr>
          <w:rFonts w:ascii="Arial" w:eastAsia="Arial" w:hAnsi="Arial" w:cs="Arial"/>
        </w:rPr>
        <w:t xml:space="preserve">(3) Ministarstvo o zahtjevu iz stavka 2. ovoga članka odlučuje rješenjem protiv kojeg žalba nije dopuštena, ali se može pokrenuti upravni spor.</w:t>
      </w:r>
    </w:p>
    <w:p>
      <w:pPr>
        <w:pBdr/>
        <w:pStyle w:val="Normal"/>
        <w:spacing/>
        <w:ind/>
        <w:rPr>
          <w:rFonts w:ascii="Arial" w:eastAsia="Arial" w:hAnsi="Arial" w:cs="Arial"/>
        </w:rPr>
      </w:pPr>
      <w:r>
        <w:rPr>
          <w:rFonts w:ascii="Arial" w:eastAsia="Arial" w:hAnsi="Arial" w:cs="Arial"/>
        </w:rPr>
        <w:t xml:space="preserve">(4) Iznimno od stavka 3. ovoga članka, rješenje o prijenosu okolišne dozvole ne donosi se pri promjeni naziva i/ili sjedišta operatera odnosno preoblikovanju društva ako operater ostaje isti pravni subjekt s istim osobnim identifikacijskim brojem i ako promjene ne utječu na uvjete okolišne dozvole, a operater je dužan o tim promjenama pisanim putem obavijestiti Ministarstvo u roku od 15 dana od dana njihova nastanka.</w:t>
      </w:r>
    </w:p>
    <w:p>
      <w:pPr>
        <w:pBdr/>
        <w:pStyle w:val="Normal"/>
        <w:spacing/>
        <w:ind/>
        <w:rPr>
          <w:rFonts w:ascii="Arial" w:eastAsia="Arial" w:hAnsi="Arial" w:cs="Arial"/>
        </w:rPr>
      </w:pPr>
    </w:p>
    <w:p>
      <w:pPr>
        <w:pBdr/>
        <w:pStyle w:val="Heading 2"/>
        <w:spacing/>
        <w:ind/>
        <w:rPr/>
      </w:pPr>
      <w:r>
        <w:rPr/>
        <w:t xml:space="preserve">Spajanje postojećih okolišnih dozvola</w:t>
      </w:r>
    </w:p>
    <w:p>
      <w:pPr>
        <w:pBdr/>
        <w:pStyle w:val="Heading 2"/>
        <w:spacing/>
        <w:ind/>
        <w:rPr/>
      </w:pPr>
      <w:r>
        <w:rPr/>
        <w:t xml:space="preserve">Članak 122.</w:t>
      </w:r>
    </w:p>
    <w:p>
      <w:pPr>
        <w:pBdr/>
        <w:pStyle w:val="Normal"/>
        <w:spacing/>
        <w:ind/>
        <w:rPr>
          <w:rFonts w:ascii="Arial" w:eastAsia="Arial" w:hAnsi="Arial" w:cs="Arial"/>
        </w:rPr>
      </w:pPr>
      <w:r>
        <w:rPr>
          <w:rFonts w:ascii="Arial" w:eastAsia="Arial" w:hAnsi="Arial" w:cs="Arial"/>
        </w:rPr>
        <w:t xml:space="preserve">(1) Ako na istoj lokaciji postoji više postrojenja kojima upravlja jedan ili više operatera i za koja su izdane zasebne okolišne dozvole, Ministarstvo može na zahtjev operatera ili po službenoj dužnosti provesti jedinstveni postupak i rješenjem izdati jedinstvenu okolišnu dozvolu kojom objedinjuje sve uvjete za rad tih postrojenja i istodobno ukida ranije izdane zasebne okolišne dozvole.</w:t>
      </w:r>
    </w:p>
    <w:p>
      <w:pPr>
        <w:pBdr/>
        <w:pStyle w:val="Normal"/>
        <w:spacing/>
        <w:ind/>
        <w:rPr>
          <w:rFonts w:ascii="Arial" w:eastAsia="Arial" w:hAnsi="Arial" w:cs="Arial"/>
        </w:rPr>
      </w:pPr>
      <w:r>
        <w:rPr>
          <w:rFonts w:ascii="Arial" w:eastAsia="Arial" w:hAnsi="Arial" w:cs="Arial"/>
        </w:rPr>
        <w:t xml:space="preserve">(2) Na sadržaj jedinstvene okolišne dozvole iz stavka 1. ovoga članka te utvrđivanje obveza i odgovornosti operatera na odgovarajući se način primjenjuju odredbe članka 84. stavaka 2. i 3. ovoga Zakona.</w:t>
      </w:r>
    </w:p>
    <w:p>
      <w:pPr>
        <w:pBdr/>
        <w:pStyle w:val="Normal"/>
        <w:spacing/>
        <w:ind/>
        <w:rPr>
          <w:rFonts w:ascii="Arial" w:eastAsia="Arial" w:hAnsi="Arial" w:cs="Arial"/>
          <w:i/>
        </w:rPr>
      </w:pPr>
      <w:r>
        <w:rPr>
          <w:rFonts w:ascii="Arial" w:eastAsia="Arial" w:hAnsi="Arial" w:cs="Arial"/>
        </w:rPr>
        <w:t xml:space="preserve">(3) Protiv rješenja iz stavka 1. ovoga članka žalba nije dopuštena, ali se može pokrenuti upravni spor.</w:t>
      </w:r>
    </w:p>
    <w:p>
      <w:pPr>
        <w:pBdr/>
        <w:pStyle w:val="Normal"/>
        <w:spacing/>
        <w:ind/>
        <w:rPr>
          <w:rFonts w:ascii="Arial" w:eastAsia="Arial" w:hAnsi="Arial" w:cs="Arial"/>
        </w:rPr>
      </w:pPr>
    </w:p>
    <w:p>
      <w:pPr>
        <w:pBdr/>
        <w:pStyle w:val="Heading 2"/>
        <w:spacing/>
        <w:ind/>
        <w:rPr/>
      </w:pPr>
      <w:r>
        <w:rPr/>
        <w:t xml:space="preserve">Izmjena i/ili dopuna okolišne dozvole</w:t>
      </w:r>
    </w:p>
    <w:p>
      <w:pPr>
        <w:pBdr/>
        <w:pStyle w:val="Heading 2"/>
        <w:spacing/>
        <w:ind/>
        <w:rPr/>
      </w:pPr>
      <w:r>
        <w:rPr/>
        <w:t xml:space="preserve">Članak 123.</w:t>
      </w:r>
    </w:p>
    <w:p>
      <w:pPr>
        <w:pBdr/>
        <w:pStyle w:val="Normal"/>
        <w:spacing/>
        <w:ind/>
        <w:rPr>
          <w:rFonts w:ascii="Arial" w:eastAsia="Arial" w:hAnsi="Arial" w:cs="Arial"/>
        </w:rPr>
      </w:pPr>
      <w:r>
        <w:rPr>
          <w:rFonts w:ascii="Arial" w:eastAsia="Arial" w:hAnsi="Arial" w:cs="Arial"/>
        </w:rPr>
        <w:t xml:space="preserve">(1) Ministarstvo na zahtjev operatera ili po službenoj dužnosti rješenjem mijenja i/ili dopunjuje okolišnu dozvolu:</w:t>
      </w:r>
    </w:p>
    <w:p>
      <w:pPr>
        <w:pBdr/>
        <w:pStyle w:val="Normal"/>
        <w:spacing/>
        <w:ind/>
        <w:rPr>
          <w:rFonts w:ascii="Arial" w:eastAsia="Arial" w:hAnsi="Arial" w:cs="Arial"/>
        </w:rPr>
      </w:pPr>
      <w:r>
        <w:rPr>
          <w:rFonts w:ascii="Arial" w:eastAsia="Arial" w:hAnsi="Arial" w:cs="Arial"/>
        </w:rPr>
        <w:t xml:space="preserve">1. ako operater planira provesti značajnu promjenu u radu postrojenja</w:t>
      </w:r>
    </w:p>
    <w:p>
      <w:pPr>
        <w:pBdr/>
        <w:pStyle w:val="Normal"/>
        <w:spacing/>
        <w:ind/>
        <w:rPr>
          <w:rFonts w:ascii="Arial" w:eastAsia="Arial" w:hAnsi="Arial" w:cs="Arial"/>
        </w:rPr>
      </w:pPr>
      <w:r>
        <w:rPr>
          <w:rFonts w:ascii="Arial" w:eastAsia="Arial" w:hAnsi="Arial" w:cs="Arial"/>
        </w:rPr>
        <w:t xml:space="preserve">2. ako planirana promjena u radu postrojenja nije značajna, ali zahtijeva izmjenu i/ili dopunu uvjeta i mjera utvrđenih u okolišnoj dozvoli</w:t>
      </w:r>
    </w:p>
    <w:p>
      <w:pPr>
        <w:pBdr/>
        <w:pStyle w:val="Normal"/>
        <w:spacing/>
        <w:ind/>
        <w:rPr>
          <w:rFonts w:ascii="Arial" w:eastAsia="Arial" w:hAnsi="Arial" w:cs="Arial"/>
        </w:rPr>
      </w:pPr>
      <w:r>
        <w:rPr>
          <w:rFonts w:ascii="Arial" w:eastAsia="Arial" w:hAnsi="Arial" w:cs="Arial"/>
        </w:rPr>
        <w:t xml:space="preserve">ako je potrebno izmijeniti i/ili dopuniti uvjete i mjere u okolišnoj dozvoli iz razloga koji nisu posljedica promjena u radu postrojenja.</w:t>
      </w:r>
    </w:p>
    <w:p>
      <w:pPr>
        <w:pBdr/>
        <w:pStyle w:val="Normal"/>
        <w:spacing/>
        <w:ind/>
        <w:rPr>
          <w:rFonts w:ascii="Arial" w:eastAsia="Arial" w:hAnsi="Arial" w:cs="Arial"/>
          <w:b/>
          <w:bCs/>
        </w:rPr>
      </w:pPr>
      <w:r>
        <w:rPr>
          <w:rFonts w:ascii="Arial" w:eastAsia="Arial" w:hAnsi="Arial" w:cs="Arial"/>
          <w:b/>
          <w:bCs/>
        </w:rPr>
        <w:t xml:space="preserve">(</w:t>
      </w:r>
      <w:r>
        <w:rPr>
          <w:rFonts w:ascii="Arial" w:eastAsia="Arial" w:hAnsi="Arial" w:cs="Arial"/>
        </w:rPr>
        <w:t xml:space="preserve">2) Slučajevi iz stavka 1. točke 3. ovoga članka obuhvaćaju preispitivanja uvjeta okolišne dozvole po službenoj dužnosti iz članka 125. stavka 1., članka 128. stavka 1. i članka 130. stavka 1. ovoga Zakona.</w:t>
      </w:r>
    </w:p>
    <w:p>
      <w:pPr>
        <w:pBdr/>
        <w:pStyle w:val="Normal"/>
        <w:spacing/>
        <w:ind/>
        <w:rPr>
          <w:rFonts w:ascii="Arial" w:eastAsia="Arial" w:hAnsi="Arial" w:cs="Arial"/>
        </w:rPr>
      </w:pPr>
      <w:r>
        <w:rPr>
          <w:rFonts w:ascii="Arial" w:eastAsia="Arial" w:hAnsi="Arial" w:cs="Arial"/>
        </w:rPr>
        <w:t xml:space="preserve">(3</w:t>
      </w:r>
      <w:r>
        <w:rPr>
          <w:rFonts w:ascii="Arial" w:eastAsia="Arial" w:hAnsi="Arial" w:cs="Arial"/>
          <w:b/>
          <w:bCs/>
        </w:rPr>
        <w:t xml:space="preserve">)</w:t>
      </w:r>
      <w:r>
        <w:rPr>
          <w:rFonts w:ascii="Arial" w:eastAsia="Arial" w:hAnsi="Arial" w:cs="Arial"/>
        </w:rPr>
        <w:t xml:space="preserve"> Ako Ministarstvo ocijeni da promjena iz stavka 1. točke 1. ovoga članka zahtijeva cjelovito preispitivanje rada postrojenja, umjesto izmjene i/ili dopune može izdati novu okolišnu dozvolu.</w:t>
      </w:r>
    </w:p>
    <w:p>
      <w:pPr>
        <w:pBdr/>
        <w:pStyle w:val="Normal"/>
        <w:spacing/>
        <w:ind/>
        <w:rPr>
          <w:rFonts w:ascii="Arial" w:eastAsia="Arial" w:hAnsi="Arial" w:cs="Arial"/>
        </w:rPr>
      </w:pPr>
      <w:r>
        <w:rPr>
          <w:rFonts w:ascii="Arial" w:eastAsia="Arial" w:hAnsi="Arial" w:cs="Arial"/>
        </w:rPr>
        <w:t xml:space="preserve">(4) Protiv rješenja iz stavka 1. ovoga članka nije dopuštena žalba, ali se može pokrenuti upravni spor.</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ODJELJAK 2. PREISPITIVANJE I UKIDANJE OKOLIŠNE DOZVOLE</w:t>
      </w:r>
    </w:p>
    <w:p>
      <w:pPr>
        <w:pBdr/>
        <w:pStyle w:val="Heading 2"/>
        <w:spacing/>
        <w:ind/>
        <w:rPr/>
      </w:pPr>
      <w:r>
        <w:rPr/>
        <w:t xml:space="preserve">Preispitivanje uvjeta okolišne dozvole</w:t>
      </w:r>
    </w:p>
    <w:p>
      <w:pPr>
        <w:pBdr/>
        <w:pStyle w:val="Heading 2"/>
        <w:spacing/>
        <w:ind/>
        <w:rPr/>
      </w:pPr>
      <w:r>
        <w:rPr/>
        <w:t xml:space="preserve">Članak 124.</w:t>
      </w:r>
    </w:p>
    <w:p>
      <w:pPr>
        <w:pBdr/>
        <w:pStyle w:val="Normal"/>
        <w:spacing/>
        <w:ind/>
        <w:rPr>
          <w:rFonts w:ascii="Arial" w:eastAsia="Arial" w:hAnsi="Arial" w:cs="Arial"/>
        </w:rPr>
      </w:pPr>
      <w:r>
        <w:rPr>
          <w:rFonts w:ascii="Arial" w:eastAsia="Arial" w:hAnsi="Arial" w:cs="Arial"/>
        </w:rPr>
        <w:t xml:space="preserve">(1) Ministarstvo periodično preispituje uvjete okolišne dozvole na zahtjev operatera ili po službenoj dužnosti te ih prema potrebi rješenjem mijenja i/ili dopunjuje radi osiguravanja usklađenosti s odredbama ovoga Zakona i propisima Europske unije.</w:t>
      </w:r>
    </w:p>
    <w:p>
      <w:pPr>
        <w:pBdr/>
        <w:pStyle w:val="Normal"/>
        <w:spacing/>
        <w:ind/>
        <w:rPr>
          <w:rFonts w:ascii="Arial" w:eastAsia="Arial" w:hAnsi="Arial" w:cs="Arial"/>
        </w:rPr>
      </w:pPr>
      <w:r>
        <w:rPr>
          <w:rFonts w:ascii="Arial" w:eastAsia="Arial" w:hAnsi="Arial" w:cs="Arial"/>
        </w:rPr>
        <w:t xml:space="preserve">(2) Operater je dužan na zahtjev Ministarstva dostaviti sve informacije potrebne za preispitivanje uvjeta okolišne dozvole, osobito rezultate praćenja emisija i druge podatke koji omogućuju usporedbu rada postrojenja s NRT-</w:t>
      </w:r>
      <w:r>
        <w:rPr>
          <w:rFonts w:ascii="Arial" w:eastAsia="Arial" w:hAnsi="Arial" w:cs="Arial"/>
        </w:rPr>
        <w:t xml:space="preserve">om opisanim u primjenjivim zaključcima o NRT-</w:t>
      </w:r>
      <w:r>
        <w:rPr>
          <w:rFonts w:ascii="Arial" w:eastAsia="Arial" w:hAnsi="Arial" w:cs="Arial"/>
        </w:rPr>
        <w:t xml:space="preserve">u i razinama emisija povezanima s NRT-</w:t>
      </w:r>
      <w:r>
        <w:rPr>
          <w:rFonts w:ascii="Arial" w:eastAsia="Arial" w:hAnsi="Arial" w:cs="Arial"/>
        </w:rPr>
        <w:t xml:space="preserve">om.</w:t>
      </w:r>
    </w:p>
    <w:p>
      <w:pPr>
        <w:pBdr/>
        <w:pStyle w:val="Normal"/>
        <w:spacing/>
        <w:ind/>
        <w:rPr>
          <w:rFonts w:ascii="Arial" w:eastAsia="Arial" w:hAnsi="Arial" w:cs="Arial"/>
        </w:rPr>
      </w:pPr>
      <w:r>
        <w:rPr>
          <w:rFonts w:ascii="Arial" w:eastAsia="Arial" w:hAnsi="Arial" w:cs="Arial"/>
        </w:rPr>
        <w:t xml:space="preserve">(3) Pri preispitivanju uvjeta okolišne dozvole Ministarstvo koristi sve dostupne podatke dobivene praćenjem emisija u okoliš i inspekcijskim nadzorima.</w:t>
      </w:r>
    </w:p>
    <w:p>
      <w:pPr>
        <w:pBdr/>
        <w:pStyle w:val="Normal"/>
        <w:spacing/>
        <w:ind/>
        <w:rPr>
          <w:rFonts w:ascii="Arial" w:eastAsia="Arial" w:hAnsi="Arial" w:cs="Arial"/>
          <w:highlight w:val="green"/>
        </w:rPr>
      </w:pPr>
      <w:r>
        <w:rPr>
          <w:rFonts w:ascii="Arial" w:eastAsia="Arial" w:hAnsi="Arial" w:cs="Arial"/>
        </w:rPr>
        <w:t xml:space="preserve">(4) Protiv rješenja iz stavka 1. ovoga članka žalba nije dopuštena, ali se može pokrenuti upravni spor.</w:t>
      </w:r>
    </w:p>
    <w:p>
      <w:pPr>
        <w:pBdr/>
        <w:pStyle w:val="Normal"/>
        <w:spacing/>
        <w:ind/>
        <w:rPr>
          <w:rFonts w:ascii="Arial" w:eastAsia="Arial" w:hAnsi="Arial" w:cs="Arial"/>
          <w:highlight w:val="green"/>
        </w:rPr>
      </w:pPr>
    </w:p>
    <w:p>
      <w:pPr>
        <w:pBdr/>
        <w:pStyle w:val="Heading 2"/>
        <w:spacing/>
        <w:ind/>
        <w:rPr/>
      </w:pPr>
      <w:r>
        <w:rPr/>
        <w:t xml:space="preserve">Preispitivanje zbog zaključaka o NRT-u</w:t>
      </w:r>
    </w:p>
    <w:p>
      <w:pPr>
        <w:pBdr/>
        <w:pStyle w:val="Heading 2"/>
        <w:spacing/>
        <w:ind/>
        <w:rPr/>
      </w:pPr>
      <w:r>
        <w:rPr/>
        <w:t xml:space="preserve">Članak 125.</w:t>
      </w:r>
    </w:p>
    <w:p>
      <w:pPr>
        <w:pBdr/>
        <w:pStyle w:val="Normal"/>
        <w:spacing/>
        <w:ind/>
        <w:rPr>
          <w:rFonts w:ascii="Arial" w:eastAsia="Arial" w:hAnsi="Arial" w:cs="Arial"/>
        </w:rPr>
      </w:pPr>
      <w:r>
        <w:rPr>
          <w:rFonts w:ascii="Arial" w:eastAsia="Arial" w:hAnsi="Arial" w:cs="Arial"/>
        </w:rPr>
        <w:t xml:space="preserve">(1) Ministarstvo po službenoj dužnosti u roku od četiri godine od dana objave odluke Europske komisije o zaključcima o NRT-</w:t>
      </w:r>
      <w:r>
        <w:rPr>
          <w:rFonts w:ascii="Arial" w:eastAsia="Arial" w:hAnsi="Arial" w:cs="Arial"/>
        </w:rPr>
        <w:t xml:space="preserve">u koji se odnose na glavnu djelatnost postrojenja u »Službenom listu Europske unije« preispituje uvjete okolišne dozvole te je prema potrebi rješenjem mijenja i/ili dopunjuje radi usklađivanja rada postrojenja sa zahtjevima ovoga Zakona, a osobito s člankom 100. stavcima 2. i 3., te člancima 102., 104. i 107. ovoga Zakona.</w:t>
      </w:r>
    </w:p>
    <w:p>
      <w:pPr>
        <w:pBdr/>
        <w:pStyle w:val="Normal"/>
        <w:spacing/>
        <w:ind/>
        <w:rPr>
          <w:rFonts w:ascii="Arial" w:eastAsia="Arial" w:hAnsi="Arial" w:cs="Arial"/>
        </w:rPr>
      </w:pPr>
      <w:r>
        <w:rPr>
          <w:rFonts w:ascii="Arial" w:eastAsia="Arial" w:hAnsi="Arial" w:cs="Arial"/>
        </w:rPr>
        <w:t xml:space="preserve">(2) Operater je dužan uskladiti rad postrojenja s izmijenjenim i/ili dopunjenim uvjetima okolišne dozvole iz stavka 1. ovoga članka najkasnije u roku od četiri godine od dana objave odluke Europske komisije iz toga stavka u »Službenom listu Europske unije«.</w:t>
      </w:r>
    </w:p>
    <w:p>
      <w:pPr>
        <w:pBdr/>
        <w:pStyle w:val="Normal"/>
        <w:spacing/>
        <w:ind/>
        <w:rPr>
          <w:rFonts w:ascii="Arial" w:eastAsia="Arial" w:hAnsi="Arial" w:cs="Arial"/>
        </w:rPr>
      </w:pPr>
      <w:r>
        <w:rPr>
          <w:rFonts w:ascii="Arial" w:eastAsia="Arial" w:hAnsi="Arial" w:cs="Arial"/>
        </w:rPr>
        <w:t xml:space="preserve">(3) Pri preispitivanju iz stavka 1. ovoga članka Ministarstvo uzima u obzir sve nove odnosno izmijenjene odluke Europske komisije o zaključcima o NRT-</w:t>
      </w:r>
      <w:r>
        <w:rPr>
          <w:rFonts w:ascii="Arial" w:eastAsia="Arial" w:hAnsi="Arial" w:cs="Arial"/>
        </w:rPr>
        <w:t xml:space="preserve">u koji se odnose na postrojenje, objavljene nakon izvršnosti okolišne dozvole ili njezina posljednjeg preispitivanja.</w:t>
      </w:r>
    </w:p>
    <w:p>
      <w:pPr>
        <w:pBdr/>
        <w:pStyle w:val="Normal"/>
        <w:spacing/>
        <w:ind/>
        <w:rPr>
          <w:rFonts w:ascii="Arial" w:eastAsia="Arial" w:hAnsi="Arial" w:cs="Arial"/>
        </w:rPr>
      </w:pPr>
    </w:p>
    <w:p>
      <w:pPr>
        <w:pBdr/>
        <w:pStyle w:val="Heading 2"/>
        <w:spacing/>
        <w:ind/>
        <w:rPr/>
      </w:pPr>
      <w:r>
        <w:rPr/>
        <w:t xml:space="preserve">Članak 126.</w:t>
      </w:r>
    </w:p>
    <w:p>
      <w:pPr>
        <w:pBdr/>
        <w:pStyle w:val="Normal"/>
        <w:spacing/>
        <w:ind/>
        <w:rPr>
          <w:rFonts w:ascii="Arial" w:eastAsia="Arial" w:hAnsi="Arial" w:cs="Arial"/>
        </w:rPr>
      </w:pPr>
      <w:r>
        <w:rPr>
          <w:rFonts w:ascii="Arial" w:eastAsia="Arial" w:hAnsi="Arial" w:cs="Arial"/>
        </w:rPr>
        <w:t xml:space="preserve">(1) Operater je dužan za potrebe preispitivanja iz članka 125. stavka 1. ovoga Zakona dostaviti Ministarstvu dokumentaciju i dokaze propisane uredbom iz članka 76. stavka 5. ovoga Zakona u roku od šest mjeseci od dana objave odluke Europske komisije iz članka 125. stavka 1. ovoga Zakona u »Službenom listu Europske unije«.</w:t>
      </w:r>
    </w:p>
    <w:p>
      <w:pPr>
        <w:pBdr/>
        <w:pStyle w:val="Normal"/>
        <w:spacing/>
        <w:ind/>
        <w:rPr>
          <w:rFonts w:ascii="Arial" w:eastAsia="Arial" w:hAnsi="Arial" w:cs="Arial"/>
        </w:rPr>
      </w:pPr>
      <w:r>
        <w:rPr>
          <w:rFonts w:ascii="Arial" w:eastAsia="Arial" w:hAnsi="Arial" w:cs="Arial"/>
        </w:rPr>
        <w:t xml:space="preserve">(2) U postupku preispitivanja iz članka 125. stavka 1. ovoga Zakona Ministarstvo po službenoj dužnosti pribavlja zapisnike i objedinjena izvješća o provedenim koordiniranim inspekcijskim nadzorima.</w:t>
      </w:r>
    </w:p>
    <w:p>
      <w:pPr>
        <w:pBdr/>
        <w:pStyle w:val="Normal"/>
        <w:spacing/>
        <w:ind/>
        <w:rPr>
          <w:rFonts w:ascii="Arial" w:eastAsia="Arial" w:hAnsi="Arial" w:cs="Arial"/>
        </w:rPr>
      </w:pPr>
      <w:r>
        <w:rPr>
          <w:rFonts w:ascii="Arial" w:eastAsia="Arial" w:hAnsi="Arial" w:cs="Arial"/>
        </w:rPr>
        <w:t xml:space="preserve">(3) Pobliži sadržaj dokumentacije i dokazi iz stavka 1. ovoga članka, osobito podaci potrebni za usporedbu rada postrojenja s NRT-</w:t>
      </w:r>
      <w:r>
        <w:rPr>
          <w:rFonts w:ascii="Arial" w:eastAsia="Arial" w:hAnsi="Arial" w:cs="Arial"/>
        </w:rPr>
        <w:t xml:space="preserve">om i razinama povezanima s NRT-</w:t>
      </w:r>
      <w:r>
        <w:rPr>
          <w:rFonts w:ascii="Arial" w:eastAsia="Arial" w:hAnsi="Arial" w:cs="Arial"/>
        </w:rPr>
        <w:t xml:space="preserve">om te obrasce propisuju se uredbom iz članka 76. stavka 5. ovoga Zakona.</w:t>
      </w:r>
    </w:p>
    <w:p>
      <w:pPr>
        <w:pBdr/>
        <w:pStyle w:val="Normal"/>
        <w:spacing/>
        <w:ind/>
        <w:rPr>
          <w:rFonts w:ascii="Arial" w:eastAsia="Arial" w:hAnsi="Arial" w:cs="Arial"/>
        </w:rPr>
      </w:pPr>
    </w:p>
    <w:p>
      <w:pPr>
        <w:pBdr/>
        <w:pStyle w:val="Heading 2"/>
        <w:spacing/>
        <w:ind/>
        <w:rPr/>
      </w:pPr>
      <w:r>
        <w:rPr/>
        <w:t xml:space="preserve">Članak 127.</w:t>
      </w:r>
    </w:p>
    <w:p>
      <w:pPr>
        <w:pBdr/>
        <w:pStyle w:val="Normal"/>
        <w:spacing/>
        <w:ind/>
        <w:rPr>
          <w:rFonts w:ascii="Arial" w:eastAsia="Arial" w:hAnsi="Arial" w:cs="Arial"/>
        </w:rPr>
      </w:pPr>
      <w:r>
        <w:rPr>
          <w:rFonts w:ascii="Arial" w:eastAsia="Arial" w:hAnsi="Arial" w:cs="Arial"/>
        </w:rPr>
        <w:t xml:space="preserve">(1) Ako operater u roku iz članka 126. stavka 1. ovoga Zakona ne dostavi propisanu dokumentaciju i dokaze, Ministarstvo po službenoj dužnosti rješenjem ukida okolišnu dozvolu, pri čemu pravni učinci ukidanja nastupaju istekom roka od četiri godine od dana objave odluke Europske komisije iz članka 125. stavka 1. ovoga Zakona u »Službenom listu Europske unije«.</w:t>
      </w:r>
    </w:p>
    <w:p>
      <w:pPr>
        <w:pBdr/>
        <w:pStyle w:val="Normal"/>
        <w:spacing/>
        <w:ind/>
        <w:rPr>
          <w:rFonts w:ascii="Arial" w:eastAsia="Arial" w:hAnsi="Arial" w:cs="Arial"/>
        </w:rPr>
      </w:pPr>
      <w:r>
        <w:rPr>
          <w:rFonts w:ascii="Arial" w:eastAsia="Arial" w:hAnsi="Arial" w:cs="Arial"/>
        </w:rPr>
        <w:t xml:space="preserve">(2) Na postupak preispitivanja okolišne dozvole iz članka 125. ovoga Zakona na odgovarajući se način primjenjuju odredbe ovoga Zakona kojima se uređuje postupak izdavanja okolišne dozvole.</w:t>
      </w:r>
    </w:p>
    <w:p>
      <w:pPr>
        <w:pBdr/>
        <w:pStyle w:val="Normal"/>
        <w:spacing/>
        <w:ind/>
        <w:rPr>
          <w:rFonts w:ascii="Arial" w:eastAsia="Arial" w:hAnsi="Arial" w:cs="Arial"/>
        </w:rPr>
      </w:pPr>
      <w:r>
        <w:rPr>
          <w:rFonts w:ascii="Arial" w:eastAsia="Arial" w:hAnsi="Arial" w:cs="Arial"/>
        </w:rPr>
        <w:t xml:space="preserve">(3) Protiv rješenja iz stavka 1. ovoga članka žalba nije dopuštena, ali se može pokrenuti upravni spor.</w:t>
      </w:r>
    </w:p>
    <w:p>
      <w:pPr>
        <w:pBdr/>
        <w:pStyle w:val="Normal"/>
        <w:spacing/>
        <w:ind/>
        <w:rPr>
          <w:rFonts w:ascii="Arial" w:eastAsia="Arial" w:hAnsi="Arial" w:cs="Arial"/>
        </w:rPr>
      </w:pPr>
    </w:p>
    <w:p>
      <w:pPr>
        <w:pBdr/>
        <w:pStyle w:val="Heading 2"/>
        <w:spacing/>
        <w:ind/>
        <w:rPr/>
      </w:pPr>
      <w:r>
        <w:rPr/>
        <w:t xml:space="preserve">Preispitivanje zbog razvoja NRT-a</w:t>
      </w:r>
    </w:p>
    <w:p>
      <w:pPr>
        <w:pBdr/>
        <w:pStyle w:val="Heading 2"/>
        <w:spacing/>
        <w:ind/>
        <w:rPr/>
      </w:pPr>
      <w:r>
        <w:rPr/>
        <w:t xml:space="preserve">Članak 128.</w:t>
      </w:r>
    </w:p>
    <w:p>
      <w:pPr>
        <w:pBdr/>
        <w:pStyle w:val="Normal"/>
        <w:spacing/>
        <w:ind/>
        <w:rPr>
          <w:rFonts w:ascii="Arial" w:eastAsia="Arial" w:hAnsi="Arial" w:cs="Arial"/>
        </w:rPr>
      </w:pPr>
      <w:r>
        <w:rPr>
          <w:rFonts w:ascii="Arial" w:eastAsia="Arial" w:hAnsi="Arial" w:cs="Arial"/>
        </w:rPr>
        <w:t xml:space="preserve">(1) Ako postrojenje nije obuhvaćeno nijednim zaključcima o NRT-</w:t>
      </w:r>
      <w:r>
        <w:rPr>
          <w:rFonts w:ascii="Arial" w:eastAsia="Arial" w:hAnsi="Arial" w:cs="Arial"/>
        </w:rPr>
        <w:t xml:space="preserve">u, a razvoj NRT-</w:t>
      </w:r>
      <w:r>
        <w:rPr>
          <w:rFonts w:ascii="Arial" w:eastAsia="Arial" w:hAnsi="Arial" w:cs="Arial"/>
        </w:rPr>
        <w:t xml:space="preserve">a omogućuje značajno smanjenje emisija, Ministarstvo po službenoj dužnosti preispituje uvjete okolišne dozvole te ih prema potrebi rješenjem mijenja i/ili dopunjuje.</w:t>
      </w:r>
    </w:p>
    <w:p>
      <w:pPr>
        <w:pBdr/>
        <w:pStyle w:val="Normal"/>
        <w:spacing/>
        <w:ind/>
        <w:rPr>
          <w:rFonts w:ascii="Arial" w:eastAsia="Arial" w:hAnsi="Arial" w:cs="Arial"/>
        </w:rPr>
      </w:pPr>
      <w:r>
        <w:rPr>
          <w:rFonts w:ascii="Arial" w:eastAsia="Arial" w:hAnsi="Arial" w:cs="Arial"/>
        </w:rPr>
        <w:t xml:space="preserve">(2) Na postupak preispitivanja iz stavka 1. ovoga članka na odgovarajući se način primjenjuju odredbe ovoga Zakona kojima se uređuje postupak izdavanja okolišne dozvole.</w:t>
      </w:r>
    </w:p>
    <w:p>
      <w:pPr>
        <w:pBdr/>
        <w:pStyle w:val="Normal"/>
        <w:spacing/>
        <w:ind/>
        <w:rPr>
          <w:rFonts w:ascii="Arial" w:eastAsia="Arial" w:hAnsi="Arial" w:cs="Arial"/>
        </w:rPr>
      </w:pPr>
      <w:r>
        <w:rPr>
          <w:rFonts w:ascii="Arial" w:eastAsia="Arial" w:hAnsi="Arial" w:cs="Arial"/>
        </w:rPr>
        <w:t xml:space="preserve">(3) Protiv rješenja iz stavka 1. ovoga članka žalba nije dopuštena, ali se može pokrenuti upravni spor.</w:t>
      </w:r>
    </w:p>
    <w:p>
      <w:pPr>
        <w:pBdr/>
        <w:pStyle w:val="Normal"/>
        <w:spacing/>
        <w:ind/>
        <w:rPr>
          <w:rFonts w:ascii="Arial" w:eastAsia="Arial" w:hAnsi="Arial" w:cs="Arial"/>
        </w:rPr>
      </w:pPr>
      <w:r>
        <w:rPr>
          <w:rFonts w:ascii="Arial" w:eastAsia="Arial" w:hAnsi="Arial" w:cs="Arial"/>
        </w:rPr>
        <w:t xml:space="preserve">(4) Pobliži sadržaj dokumentacije i dokazi koji se dostavljaju u postupku iz stavka 1. ovoga članka propisuju se uredbom iz članka 76. stavka 5. ovoga Zakona.</w:t>
      </w:r>
    </w:p>
    <w:p>
      <w:pPr>
        <w:pBdr/>
        <w:pStyle w:val="Normal"/>
        <w:spacing/>
        <w:ind/>
        <w:rPr>
          <w:rFonts w:ascii="Arial" w:eastAsia="Arial" w:hAnsi="Arial" w:cs="Arial"/>
        </w:rPr>
      </w:pPr>
    </w:p>
    <w:p>
      <w:pPr>
        <w:pBdr/>
        <w:pStyle w:val="Heading 2"/>
        <w:spacing/>
        <w:ind/>
        <w:rPr/>
      </w:pPr>
      <w:r>
        <w:rPr/>
        <w:t xml:space="preserve">Preispitivanje zbog produljenja rada odlagališta</w:t>
      </w:r>
    </w:p>
    <w:p>
      <w:pPr>
        <w:pBdr/>
        <w:pStyle w:val="Heading 2"/>
        <w:spacing/>
        <w:ind/>
        <w:rPr/>
      </w:pPr>
      <w:r>
        <w:rPr/>
        <w:t xml:space="preserve">Članak 129.</w:t>
      </w:r>
    </w:p>
    <w:p>
      <w:pPr>
        <w:pBdr/>
        <w:pStyle w:val="Normal"/>
        <w:spacing/>
        <w:ind/>
        <w:rPr>
          <w:rFonts w:ascii="Arial" w:eastAsia="Arial" w:hAnsi="Arial" w:cs="Arial"/>
        </w:rPr>
      </w:pPr>
      <w:r>
        <w:rPr>
          <w:rFonts w:ascii="Arial" w:eastAsia="Arial" w:hAnsi="Arial" w:cs="Arial"/>
        </w:rPr>
        <w:t xml:space="preserve">(1) Ministarstvo na zahtjev operatera za produljenje razdoblja rada postrojenja koje obavlja djelatnost odlaganja otpada utvrđenu uredbom iz članka 76. stavka 5. ovoga Zakona preispituje uvjete okolišne dozvole te ih prema potrebi rješenjem mijenja i/ili dopunjuje.</w:t>
      </w:r>
    </w:p>
    <w:p>
      <w:pPr>
        <w:pBdr/>
        <w:pStyle w:val="Normal"/>
        <w:spacing/>
        <w:ind/>
        <w:rPr>
          <w:rFonts w:ascii="Arial" w:eastAsia="Arial" w:hAnsi="Arial" w:cs="Arial"/>
        </w:rPr>
      </w:pPr>
      <w:r>
        <w:rPr>
          <w:rFonts w:ascii="Arial" w:eastAsia="Arial" w:hAnsi="Arial" w:cs="Arial"/>
        </w:rPr>
        <w:t xml:space="preserve">(2) Na postupak preispitivanja iz stavka 1. ovoga članka na odgovarajući se način primjenjuju odredbe ovoga Zakona kojima se uređuje postupak izdavanja okolišne dozvole.</w:t>
      </w:r>
    </w:p>
    <w:p>
      <w:pPr>
        <w:pBdr/>
        <w:pStyle w:val="Normal"/>
        <w:spacing/>
        <w:ind/>
        <w:rPr>
          <w:rFonts w:ascii="Arial" w:eastAsia="Arial" w:hAnsi="Arial" w:cs="Arial"/>
        </w:rPr>
      </w:pPr>
      <w:r>
        <w:rPr>
          <w:rFonts w:ascii="Arial" w:eastAsia="Arial" w:hAnsi="Arial" w:cs="Arial"/>
        </w:rPr>
        <w:t xml:space="preserve">(3) Protiv rješenja iz stavka 1. ovoga članka žalba nije dopuštena, ali se može pokrenuti upravni spor.</w:t>
      </w:r>
    </w:p>
    <w:p>
      <w:pPr>
        <w:pBdr/>
        <w:pStyle w:val="Normal"/>
        <w:spacing/>
        <w:ind/>
        <w:rPr>
          <w:rFonts w:ascii="Arial" w:eastAsia="Arial" w:hAnsi="Arial" w:cs="Arial"/>
        </w:rPr>
      </w:pPr>
      <w:r>
        <w:rPr>
          <w:rFonts w:ascii="Arial" w:eastAsia="Arial" w:hAnsi="Arial" w:cs="Arial"/>
        </w:rPr>
        <w:t xml:space="preserve">(4) Pobliži sadržaj zahtjeva iz stavka 1. ovoga članka te dokumentacija i dokazi koji se prilažu uz zahtjev propisuju se uredbom iz članka 76. stavka 5. ovoga Zakona.</w:t>
      </w:r>
    </w:p>
    <w:p>
      <w:pPr>
        <w:pBdr/>
        <w:pStyle w:val="Normal"/>
        <w:spacing/>
        <w:ind/>
        <w:rPr>
          <w:rFonts w:ascii="Arial" w:eastAsia="Arial" w:hAnsi="Arial" w:cs="Arial"/>
          <w:i/>
          <w:iCs/>
        </w:rPr>
      </w:pPr>
    </w:p>
    <w:p>
      <w:pPr>
        <w:pBdr/>
        <w:pStyle w:val="Heading 2"/>
        <w:spacing/>
        <w:ind/>
        <w:rPr/>
      </w:pPr>
      <w:r>
        <w:rPr/>
        <w:t xml:space="preserve">Ostali slučajevi preispitivanja</w:t>
      </w:r>
    </w:p>
    <w:p>
      <w:pPr>
        <w:pBdr/>
        <w:pStyle w:val="Heading 2"/>
        <w:spacing/>
        <w:ind/>
        <w:rPr/>
      </w:pPr>
      <w:r>
        <w:rPr/>
        <w:t xml:space="preserve">Članak 130.</w:t>
      </w:r>
    </w:p>
    <w:p>
      <w:pPr>
        <w:pBdr/>
        <w:pStyle w:val="Normal"/>
        <w:spacing/>
        <w:ind/>
        <w:rPr>
          <w:rFonts w:ascii="Arial" w:eastAsia="Arial" w:hAnsi="Arial" w:cs="Arial"/>
        </w:rPr>
      </w:pPr>
      <w:r>
        <w:rPr>
          <w:rFonts w:ascii="Arial" w:eastAsia="Arial" w:hAnsi="Arial" w:cs="Arial"/>
        </w:rPr>
        <w:t xml:space="preserve">(1) Ministarstvo po službenoj dužnosti preispituje uvjete okolišne dozvole te ih prema potrebi rješenjem mijenja i/ili dopunjuje:</w:t>
      </w:r>
    </w:p>
    <w:p>
      <w:pPr>
        <w:pBdr/>
        <w:pStyle w:val="Normal"/>
        <w:spacing/>
        <w:ind/>
        <w:rPr>
          <w:rFonts w:ascii="Arial" w:eastAsia="Arial" w:hAnsi="Arial" w:cs="Arial"/>
        </w:rPr>
      </w:pPr>
      <w:r>
        <w:rPr>
          <w:rFonts w:ascii="Arial" w:eastAsia="Arial" w:hAnsi="Arial" w:cs="Arial"/>
        </w:rPr>
        <w:t xml:space="preserve">1. ako je onečišćenje koje uzrokuje postrojenje takvog značaja da je radi učinkovite zaštite okoliša potrebno izmijeniti postojeće ili utvrditi nove granične vrijednosti emisija</w:t>
      </w:r>
    </w:p>
    <w:p>
      <w:pPr>
        <w:pBdr/>
        <w:pStyle w:val="Normal"/>
        <w:spacing/>
        <w:ind/>
        <w:rPr>
          <w:rFonts w:ascii="Arial" w:eastAsia="Arial" w:hAnsi="Arial" w:cs="Arial"/>
        </w:rPr>
      </w:pPr>
      <w:r>
        <w:rPr>
          <w:rFonts w:ascii="Arial" w:eastAsia="Arial" w:hAnsi="Arial" w:cs="Arial"/>
        </w:rPr>
        <w:t xml:space="preserve">2. ako sigurnost rada postrojenja zahtijeva primjenu drugih tehnika</w:t>
      </w:r>
    </w:p>
    <w:p>
      <w:pPr>
        <w:pBdr/>
        <w:pStyle w:val="Normal"/>
        <w:spacing/>
        <w:ind/>
        <w:rPr>
          <w:rFonts w:ascii="Arial" w:eastAsia="Arial" w:hAnsi="Arial" w:cs="Arial"/>
        </w:rPr>
      </w:pPr>
      <w:r>
        <w:rPr>
          <w:rFonts w:ascii="Arial" w:eastAsia="Arial" w:hAnsi="Arial" w:cs="Arial"/>
        </w:rPr>
        <w:t xml:space="preserve">3. ako je potrebno osigurati usklađenost sa standardima kakvoće okoliša iz članka 105. ovoga Zakona, uključujući nove ili izmijenjene standarde, ili ako stanje okoliša u koji se ispuštaju emisije zahtijeva preispitivanje uvjeta okolišne dozvole radi usklađivanja s planovima i programima donesenima na temelju propisa Europske unije</w:t>
      </w:r>
    </w:p>
    <w:p>
      <w:pPr>
        <w:pBdr/>
        <w:pStyle w:val="Normal"/>
        <w:spacing/>
        <w:ind/>
        <w:rPr>
          <w:rFonts w:ascii="Arial" w:eastAsia="Arial" w:hAnsi="Arial" w:cs="Arial"/>
        </w:rPr>
      </w:pPr>
      <w:r>
        <w:rPr>
          <w:rFonts w:ascii="Arial" w:eastAsia="Arial" w:hAnsi="Arial" w:cs="Arial"/>
        </w:rPr>
        <w:t xml:space="preserve">4. ako rezultati mjerenja propisanih okolišnom dozvolom zahtijevaju izmjenu i/ili dopunu njezinih uvjeta.</w:t>
      </w:r>
    </w:p>
    <w:p>
      <w:pPr>
        <w:pBdr/>
        <w:pStyle w:val="Normal"/>
        <w:spacing/>
        <w:ind/>
        <w:rPr>
          <w:rFonts w:ascii="Arial" w:eastAsia="Arial" w:hAnsi="Arial" w:cs="Arial"/>
        </w:rPr>
      </w:pPr>
      <w:r>
        <w:rPr>
          <w:rFonts w:ascii="Arial" w:eastAsia="Arial" w:hAnsi="Arial" w:cs="Arial"/>
        </w:rPr>
        <w:t xml:space="preserve">(2) Ministarstvo pokreće postupak iz stavka 1. ovoga članka ako na temelju obavijesti, nalaza inspekcijskog nadzora, obrazloženog prijedloga tijela nadležnog za pojedine sastavnice okoliša i opterećenja okoliša ili drugih raspoloživih podataka utvrdi da postoje okolnosti iz stavka 1. ovoga članka, a u slučaju iz stavka 1. točke 4. ovoga članka ako iz zaprimljenih rezultata mjerenja proizlazi potreba za izmjenom i/ili dopunom uvjeta okolišne dozvole.</w:t>
      </w:r>
    </w:p>
    <w:p>
      <w:pPr>
        <w:pBdr/>
        <w:pStyle w:val="Normal"/>
        <w:spacing/>
        <w:ind/>
        <w:rPr>
          <w:rFonts w:ascii="Arial" w:eastAsia="Arial" w:hAnsi="Arial" w:cs="Arial"/>
        </w:rPr>
      </w:pPr>
      <w:r>
        <w:rPr>
          <w:rFonts w:ascii="Arial" w:eastAsia="Arial" w:hAnsi="Arial" w:cs="Arial"/>
        </w:rPr>
        <w:t xml:space="preserve">(3) Na postupak preispitivanja iz stavka 1. ovoga članka na odgovarajući se način primjenjuju odredbe ovoga Zakona kojima se uređuje postupak izdavanja okolišne dozvole.</w:t>
      </w:r>
    </w:p>
    <w:p>
      <w:pPr>
        <w:pBdr/>
        <w:pStyle w:val="Normal"/>
        <w:spacing/>
        <w:ind/>
        <w:rPr>
          <w:rFonts w:ascii="Arial" w:eastAsia="Arial" w:hAnsi="Arial" w:cs="Arial"/>
        </w:rPr>
      </w:pPr>
      <w:r>
        <w:rPr>
          <w:rFonts w:ascii="Arial" w:eastAsia="Arial" w:hAnsi="Arial" w:cs="Arial"/>
        </w:rPr>
        <w:t xml:space="preserve">(4) Protiv rješenja iz stavka 1. ovoga članka žalba nije dopuštena, ali se može pokrenuti upravni spor.</w:t>
      </w:r>
    </w:p>
    <w:p>
      <w:pPr>
        <w:pBdr/>
        <w:pStyle w:val="Normal"/>
        <w:spacing/>
        <w:ind/>
        <w:rPr>
          <w:rFonts w:ascii="Arial" w:eastAsia="Arial" w:hAnsi="Arial" w:cs="Arial"/>
        </w:rPr>
      </w:pPr>
      <w:r>
        <w:rPr>
          <w:rFonts w:ascii="Arial" w:eastAsia="Arial" w:hAnsi="Arial" w:cs="Arial"/>
        </w:rPr>
        <w:t xml:space="preserve">(5) Pobliži sadržaj dokumentacije i dokazi koje operater dostavlja u postupku preispitivanja iz stavka 1. ovoga članka propisuju se uredbom iz članka 76. stavka 5. ovoga Zakona.</w:t>
      </w:r>
    </w:p>
    <w:p>
      <w:pPr>
        <w:pBdr/>
        <w:pStyle w:val="Normal"/>
        <w:spacing/>
        <w:ind/>
        <w:rPr>
          <w:rFonts w:ascii="Arial" w:eastAsia="Arial" w:hAnsi="Arial" w:cs="Arial"/>
          <w:i/>
          <w:iCs/>
        </w:rPr>
      </w:pPr>
    </w:p>
    <w:p>
      <w:pPr>
        <w:pBdr/>
        <w:pStyle w:val="Heading 2"/>
        <w:spacing/>
        <w:ind/>
        <w:rPr/>
      </w:pPr>
      <w:r>
        <w:rPr/>
        <w:t xml:space="preserve">Ostali slučajevi ukidanja okolišne dozvole</w:t>
      </w:r>
    </w:p>
    <w:p>
      <w:pPr>
        <w:pBdr/>
        <w:pStyle w:val="Heading 2"/>
        <w:spacing/>
        <w:ind/>
        <w:rPr/>
      </w:pPr>
      <w:r>
        <w:rPr/>
        <w:t xml:space="preserve">Članak 131.</w:t>
      </w:r>
    </w:p>
    <w:p>
      <w:pPr>
        <w:pBdr/>
        <w:pStyle w:val="Normal"/>
        <w:spacing/>
        <w:ind/>
        <w:rPr>
          <w:rFonts w:ascii="Arial" w:eastAsia="Arial" w:hAnsi="Arial" w:cs="Arial"/>
        </w:rPr>
      </w:pPr>
      <w:r>
        <w:rPr>
          <w:rFonts w:ascii="Arial" w:eastAsia="Arial" w:hAnsi="Arial" w:cs="Arial"/>
        </w:rPr>
        <w:t xml:space="preserve">(1) Ministarstvo po službenoj dužnosti u cijelosti ili djelomično ukida okolišnu dozvolu: </w:t>
      </w:r>
    </w:p>
    <w:p>
      <w:pPr>
        <w:pBdr/>
        <w:pStyle w:val="Normal"/>
        <w:spacing/>
        <w:ind/>
        <w:rPr>
          <w:rFonts w:ascii="Arial" w:eastAsia="Arial" w:hAnsi="Arial" w:cs="Arial"/>
        </w:rPr>
      </w:pPr>
      <w:r>
        <w:rPr>
          <w:rFonts w:ascii="Arial" w:eastAsia="Arial" w:hAnsi="Arial" w:cs="Arial"/>
        </w:rPr>
        <w:t xml:space="preserve">– ako operater u postupku preispitivanja uvjeta okolišne dozvole koji se provodi po službenoj dužnosti ne postupi u ostavljenom roku po zaključku Ministarstva kojim je pozvan dostaviti dokumentaciju, podatke ili dokaze bez kojih nije moguće provesti preispitivanje uvjeta okolišne dozvole</w:t>
      </w:r>
    </w:p>
    <w:p>
      <w:pPr>
        <w:pBdr/>
        <w:pStyle w:val="Normal"/>
        <w:spacing/>
        <w:ind/>
        <w:rPr>
          <w:rFonts w:ascii="Arial" w:eastAsia="Arial" w:hAnsi="Arial" w:cs="Arial"/>
        </w:rPr>
      </w:pPr>
      <w:r>
        <w:rPr>
          <w:rFonts w:ascii="Arial" w:eastAsia="Arial" w:hAnsi="Arial" w:cs="Arial"/>
        </w:rPr>
        <w:t xml:space="preserve">- ako su dostavljeni netočni, nepotpuni ili krivotvoreni podaci, uključujući podatke u izvješćima o praćenju emisija, koji su bitno utjecali na utvrđivanje uvjeta okolišne dozvole.</w:t>
      </w:r>
    </w:p>
    <w:p>
      <w:pPr>
        <w:pBdr/>
        <w:pStyle w:val="Normal"/>
        <w:spacing/>
        <w:ind/>
        <w:rPr>
          <w:rFonts w:ascii="Arial" w:eastAsia="Arial" w:hAnsi="Arial" w:cs="Arial"/>
        </w:rPr>
      </w:pPr>
      <w:r>
        <w:rPr>
          <w:rFonts w:ascii="Arial" w:eastAsia="Arial" w:hAnsi="Arial" w:cs="Arial"/>
        </w:rPr>
        <w:t xml:space="preserve">(2) Ministarstvo na zahtjev operatera rješenjem u cijelosti ili djelomično ukida okolišnu dozvolu u slučaju trajnog prestanka obavljanja djelatnosti za koju je izdana.</w:t>
      </w:r>
    </w:p>
    <w:p>
      <w:pPr>
        <w:pBdr/>
        <w:pStyle w:val="Normal"/>
        <w:spacing/>
        <w:ind/>
        <w:rPr>
          <w:rFonts w:ascii="Arial" w:eastAsia="Arial" w:hAnsi="Arial" w:cs="Arial"/>
        </w:rPr>
      </w:pPr>
      <w:r>
        <w:rPr>
          <w:rFonts w:ascii="Arial" w:eastAsia="Arial" w:hAnsi="Arial" w:cs="Arial"/>
        </w:rPr>
        <w:t xml:space="preserve">(3) U slučaju otvaranja stečajnog postupka ili pokretanja postupka likvidacije nad operaterom stečajni upravitelj odnosno likvidator dužan je o tome obavijestiti Ministarstvo u roku od 15 dana od dana otvaranja stečajnog postupka odnosno pokretanja postupka likvidacije.</w:t>
      </w:r>
    </w:p>
    <w:p>
      <w:pPr>
        <w:pBdr/>
        <w:pStyle w:val="Normal"/>
        <w:spacing/>
        <w:ind/>
        <w:rPr>
          <w:rFonts w:ascii="Arial" w:eastAsia="Arial" w:hAnsi="Arial" w:cs="Arial"/>
        </w:rPr>
      </w:pPr>
      <w:r>
        <w:rPr>
          <w:rFonts w:ascii="Arial" w:eastAsia="Arial" w:hAnsi="Arial" w:cs="Arial"/>
        </w:rPr>
        <w:t xml:space="preserve">(4) Protiv rješenja iz stavaka 1. i 2. ovoga članka žalba nije dopuštena, ali se može pokrenuti upravni spor.</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POGLAVLJE VII. TEHNIKE U NASTAJANJU I INDUSTRIJSKA PREOBRAZBA</w:t>
      </w:r>
    </w:p>
    <w:p>
      <w:pPr>
        <w:pBdr/>
        <w:pStyle w:val="Heading 1"/>
        <w:spacing/>
        <w:ind/>
        <w:rPr>
          <w:rFonts w:ascii="Arial" w:eastAsia="Arial" w:hAnsi="Arial" w:cs="Arial"/>
          <w:szCs w:val="24"/>
        </w:rPr>
      </w:pPr>
      <w:r>
        <w:rPr>
          <w:rFonts w:ascii="Arial" w:eastAsia="Arial" w:hAnsi="Arial" w:cs="Arial"/>
          <w:szCs w:val="24"/>
        </w:rPr>
        <w:t xml:space="preserve">ODJELJAK 1. TEHNIKE U NASTAJANJU</w:t>
      </w:r>
    </w:p>
    <w:p>
      <w:pPr>
        <w:pBdr/>
        <w:pStyle w:val="Heading 2"/>
        <w:spacing/>
        <w:ind/>
        <w:rPr/>
      </w:pPr>
      <w:r>
        <w:rPr/>
        <w:t xml:space="preserve">Tehnike u nastajanju i inovacijski centar</w:t>
      </w:r>
    </w:p>
    <w:p>
      <w:pPr>
        <w:pBdr/>
        <w:pStyle w:val="Heading 2"/>
        <w:spacing/>
        <w:ind/>
        <w:rPr/>
      </w:pPr>
      <w:r>
        <w:rPr/>
        <w:t xml:space="preserve">Članak 132.</w:t>
      </w:r>
    </w:p>
    <w:p>
      <w:pPr>
        <w:pBdr/>
        <w:pStyle w:val="Normal"/>
        <w:spacing/>
        <w:ind/>
        <w:rPr>
          <w:rFonts w:ascii="Arial" w:eastAsia="Arial" w:hAnsi="Arial" w:cs="Arial"/>
        </w:rPr>
      </w:pPr>
      <w:r>
        <w:rPr>
          <w:rFonts w:ascii="Arial" w:eastAsia="Arial" w:hAnsi="Arial" w:cs="Arial"/>
        </w:rPr>
        <w:t xml:space="preserve">(1) Ministarstvo prema potrebi potiče razvoj i primjenu tehnika u nastajanju, osobito tehnika utvrđenih u zaključcima o NRT-</w:t>
      </w:r>
      <w:r>
        <w:rPr>
          <w:rFonts w:ascii="Arial" w:eastAsia="Arial" w:hAnsi="Arial" w:cs="Arial"/>
        </w:rPr>
        <w:t xml:space="preserve">u, RDNRT-</w:t>
      </w:r>
      <w:r>
        <w:rPr>
          <w:rFonts w:ascii="Arial" w:eastAsia="Arial" w:hAnsi="Arial" w:cs="Arial"/>
        </w:rPr>
        <w:t xml:space="preserve">u ili nalazima Inovacijskog centra za industrijsku preobrazbu i emisije kojim upravlja Europska komisija.</w:t>
      </w:r>
    </w:p>
    <w:p>
      <w:pPr>
        <w:pBdr/>
        <w:pStyle w:val="Normal"/>
        <w:spacing/>
        <w:ind/>
        <w:rPr>
          <w:rFonts w:ascii="Arial" w:eastAsia="Arial" w:hAnsi="Arial" w:cs="Arial"/>
        </w:rPr>
      </w:pPr>
      <w:r>
        <w:rPr>
          <w:rFonts w:ascii="Arial" w:eastAsia="Arial" w:hAnsi="Arial" w:cs="Arial"/>
        </w:rPr>
        <w:t xml:space="preserve">(2) U radu Inovacijskog centra iz stavka 1. ovoga članka, u skladu s pravilima njegova rada,  sudjeluju predstavnici Ministarstva, a prema potrebi mogu sudjelovati i predstavnici drugih tijela državne uprave, javnih institucija, istraživačkih organizacija i gospodarstva iz Republike Hrvatske. </w:t>
      </w:r>
    </w:p>
    <w:p>
      <w:pPr>
        <w:pBdr/>
        <w:pStyle w:val="Normal"/>
        <w:spacing/>
        <w:ind/>
        <w:rPr>
          <w:rFonts w:ascii="Arial" w:eastAsia="Arial" w:hAnsi="Arial" w:cs="Arial"/>
        </w:rPr>
      </w:pPr>
    </w:p>
    <w:p>
      <w:pPr>
        <w:pBdr/>
        <w:pStyle w:val="Heading 2"/>
        <w:spacing/>
        <w:ind/>
        <w:rPr/>
      </w:pPr>
      <w:r>
        <w:rPr/>
        <w:t xml:space="preserve">Privremena odstupanja za ispitivanje tehnika u nastajanju</w:t>
      </w:r>
    </w:p>
    <w:p>
      <w:pPr>
        <w:pBdr/>
        <w:pStyle w:val="Heading 2"/>
        <w:spacing/>
        <w:ind/>
        <w:rPr/>
      </w:pPr>
      <w:r>
        <w:rPr/>
        <w:t xml:space="preserve">Članak 133.</w:t>
      </w:r>
    </w:p>
    <w:p>
      <w:pPr>
        <w:pBdr/>
        <w:pStyle w:val="Normal"/>
        <w:spacing/>
        <w:ind/>
        <w:rPr>
          <w:rFonts w:ascii="Arial" w:eastAsia="Arial" w:hAnsi="Arial" w:cs="Arial"/>
        </w:rPr>
      </w:pPr>
      <w:r>
        <w:rPr>
          <w:rFonts w:ascii="Arial" w:eastAsia="Arial" w:hAnsi="Arial" w:cs="Arial"/>
        </w:rPr>
        <w:t xml:space="preserve">(1) Uz ispunjavanje standarda kakvoće okoliša iz članka 105. ovoga Zakona, Ministarstvo može na zahtjev operatera radi ispitivanja tehnika u nastajanju iz članka 132. ovoga Zakona okolišnom dozvolom odobriti privremena odstupanja od zahtjeva iz članka 100. stavaka 2. i 3., članka 101. stavka 2., člancima 102. i 104. ovoga Zakona te od obveza operatera iz članka 79. podstavaka 1. i 2. ovoga Zakona.</w:t>
      </w:r>
    </w:p>
    <w:p>
      <w:pPr>
        <w:pBdr/>
        <w:pStyle w:val="Normal"/>
        <w:spacing/>
        <w:ind/>
        <w:rPr>
          <w:rFonts w:ascii="Arial" w:eastAsia="Arial" w:hAnsi="Arial" w:cs="Arial"/>
        </w:rPr>
      </w:pPr>
      <w:r>
        <w:rPr>
          <w:rFonts w:ascii="Arial" w:eastAsia="Arial" w:hAnsi="Arial" w:cs="Arial"/>
        </w:rPr>
        <w:t xml:space="preserve">(2) Privremeno odstupanje iz stavka 1. ovoga članka može se odobriti na razdoblje od najviše 30 mjeseci, nakon čijeg je isteka operater dužan zaustaviti ispitivanje tehnike u nastajanju ili osigurati da emisije iz obavljanja djelatnosti ne prelaze razine emisija povezane s NRT-om.</w:t>
      </w:r>
    </w:p>
    <w:p>
      <w:pPr>
        <w:pBdr/>
        <w:pStyle w:val="Normal"/>
        <w:spacing/>
        <w:ind/>
        <w:rPr>
          <w:rFonts w:ascii="Arial" w:eastAsia="Arial" w:hAnsi="Arial" w:cs="Arial"/>
        </w:rPr>
      </w:pPr>
      <w:r>
        <w:rPr>
          <w:rFonts w:ascii="Arial" w:eastAsia="Arial" w:hAnsi="Arial" w:cs="Arial"/>
        </w:rPr>
        <w:t xml:space="preserve">(3) Obrazloženje okolišne dozvole sadrži detaljno obrazložene razloge za odobravanje privremenog odstupanja iz stavka 1. ovoga članka.</w:t>
      </w:r>
    </w:p>
    <w:p>
      <w:pPr>
        <w:pBdr/>
        <w:pStyle w:val="Normal"/>
        <w:spacing/>
        <w:ind/>
        <w:rPr>
          <w:rFonts w:ascii="Arial" w:eastAsia="Arial" w:hAnsi="Arial" w:cs="Arial"/>
        </w:rPr>
      </w:pPr>
      <w:r>
        <w:rPr>
          <w:rFonts w:ascii="Arial" w:eastAsia="Arial" w:hAnsi="Arial" w:cs="Arial"/>
        </w:rPr>
        <w:t xml:space="preserve">(4) Pobliži sadržaj zahtjeva iz stavka 1. ovoga članka te dokumentacija i dokazi koji se prilažu uz zahtjev propisuju se uredbom iz članka 76. stavka 5. ovoga Zakona.</w:t>
      </w:r>
    </w:p>
    <w:p>
      <w:pPr>
        <w:pBdr/>
        <w:pStyle w:val="Normal"/>
        <w:spacing/>
        <w:ind/>
        <w:rPr>
          <w:rFonts w:ascii="Arial" w:eastAsia="Arial" w:hAnsi="Arial" w:cs="Arial"/>
        </w:rPr>
      </w:pPr>
    </w:p>
    <w:p>
      <w:pPr>
        <w:pBdr/>
        <w:pStyle w:val="Heading 2"/>
        <w:spacing/>
        <w:ind/>
        <w:rPr/>
      </w:pPr>
      <w:r>
        <w:rPr/>
        <w:t xml:space="preserve">Razine emisija i okvirne vrijednosti okolišne učinkovitosti povezane s tehnikama u nastajanju</w:t>
      </w:r>
    </w:p>
    <w:p>
      <w:pPr>
        <w:pBdr/>
        <w:pStyle w:val="Heading 2"/>
        <w:spacing/>
        <w:ind/>
        <w:rPr/>
      </w:pPr>
      <w:r>
        <w:rPr/>
        <w:t xml:space="preserve">Članak 134.</w:t>
      </w:r>
    </w:p>
    <w:p>
      <w:pPr>
        <w:pBdr/>
        <w:pStyle w:val="Normal"/>
        <w:spacing/>
        <w:ind/>
        <w:rPr>
          <w:rFonts w:ascii="Arial" w:eastAsia="Arial" w:hAnsi="Arial" w:cs="Arial"/>
        </w:rPr>
      </w:pPr>
      <w:r>
        <w:rPr>
          <w:rFonts w:ascii="Arial" w:eastAsia="Arial" w:hAnsi="Arial" w:cs="Arial"/>
        </w:rPr>
        <w:t xml:space="preserve">(1) Iznimno od članka 125. stavaka 1. i 2. ovoga Zakona, Ministarstvo može na zahtjev operatera radi poticanja primjene tehnika u nastajanju utvrditi:</w:t>
      </w:r>
    </w:p>
    <w:p>
      <w:pPr>
        <w:pBdr/>
        <w:pStyle w:val="Normal"/>
        <w:spacing/>
        <w:ind/>
        <w:rPr>
          <w:rFonts w:ascii="Arial" w:eastAsia="Arial" w:hAnsi="Arial" w:cs="Arial"/>
        </w:rPr>
      </w:pPr>
      <w:r>
        <w:rPr>
          <w:rFonts w:ascii="Arial" w:eastAsia="Arial" w:hAnsi="Arial" w:cs="Arial"/>
        </w:rPr>
        <w:t xml:space="preserve">- granične vrijednosti emisija kojima se osigurava da najkasnije u roku od šest godina od dana objave odluke Europske komisije o zaključcima o NRT-</w:t>
      </w:r>
      <w:r>
        <w:rPr>
          <w:rFonts w:ascii="Arial" w:eastAsia="Arial" w:hAnsi="Arial" w:cs="Arial"/>
        </w:rPr>
        <w:t xml:space="preserve">u koji se odnose na glavnu djelatnost postrojenja u »Službenom listu Europske unije« emisije u normalnim uvjetima rada ne prelaze razine emisija povezane s tehnikama u nastajanju utvrđene tom odlukom o zaključcima o NRTu</w:t>
      </w:r>
    </w:p>
    <w:p>
      <w:pPr>
        <w:pBdr/>
        <w:pStyle w:val="Normal"/>
        <w:spacing/>
        <w:ind/>
        <w:rPr>
          <w:rFonts w:ascii="Arial" w:eastAsia="Arial" w:hAnsi="Arial" w:cs="Arial"/>
        </w:rPr>
      </w:pPr>
      <w:r>
        <w:rPr>
          <w:rFonts w:ascii="Arial" w:eastAsia="Arial" w:hAnsi="Arial" w:cs="Arial"/>
        </w:rPr>
        <w:t xml:space="preserve">- okvirne vrijednosti okolišne učinkovitosti u skladu s odlukom Europske komisije o zaključcima o NRT-</w:t>
      </w:r>
      <w:r>
        <w:rPr>
          <w:rFonts w:ascii="Arial" w:eastAsia="Arial" w:hAnsi="Arial" w:cs="Arial"/>
        </w:rPr>
        <w:t xml:space="preserve">u.</w:t>
      </w:r>
    </w:p>
    <w:p>
      <w:pPr>
        <w:pBdr/>
        <w:pStyle w:val="Normal"/>
        <w:spacing/>
        <w:ind/>
        <w:rPr>
          <w:rFonts w:ascii="Arial" w:eastAsia="Arial" w:hAnsi="Arial" w:cs="Arial"/>
        </w:rPr>
      </w:pPr>
      <w:r>
        <w:rPr>
          <w:rFonts w:ascii="Arial" w:eastAsia="Arial" w:hAnsi="Arial" w:cs="Arial"/>
        </w:rPr>
        <w:t xml:space="preserve">(2) Pobliži sadržaj zahtjeva iz stavka 1. ovoga članka te dokazi koji se prilažu uz zahtjev propisuju se uredbom iz članka 76. stavka 5. ovoga Zakona.</w:t>
      </w:r>
    </w:p>
    <w:p>
      <w:pPr>
        <w:pBdr/>
        <w:pStyle w:val="Normal"/>
        <w:spacing/>
        <w:ind/>
        <w:rPr>
          <w:rFonts w:ascii="Arial" w:eastAsia="Arial" w:hAnsi="Arial" w:cs="Arial"/>
          <w:b/>
          <w:bCs/>
        </w:rPr>
      </w:pPr>
    </w:p>
    <w:p>
      <w:pPr>
        <w:pBdr/>
        <w:pStyle w:val="Heading 1"/>
        <w:spacing/>
        <w:ind/>
        <w:rPr>
          <w:rFonts w:ascii="Arial" w:eastAsia="Arial" w:hAnsi="Arial" w:cs="Arial"/>
          <w:szCs w:val="24"/>
        </w:rPr>
      </w:pPr>
      <w:r>
        <w:rPr>
          <w:rFonts w:ascii="Arial" w:eastAsia="Arial" w:hAnsi="Arial" w:cs="Arial"/>
          <w:szCs w:val="24"/>
        </w:rPr>
        <w:t xml:space="preserve">ODJELJAK 2. INDUSTRIJSKA PREOBRAZBA</w:t>
      </w:r>
    </w:p>
    <w:p>
      <w:pPr>
        <w:pBdr/>
        <w:pStyle w:val="Heading 2"/>
        <w:spacing/>
        <w:ind/>
        <w:rPr/>
      </w:pPr>
      <w:r>
        <w:rPr/>
        <w:t xml:space="preserve">Plan preobrazbe</w:t>
      </w:r>
    </w:p>
    <w:p>
      <w:pPr>
        <w:pBdr/>
        <w:pStyle w:val="Heading 2"/>
        <w:spacing/>
        <w:ind/>
        <w:rPr/>
      </w:pPr>
      <w:r>
        <w:rPr/>
        <w:t xml:space="preserve">Članak 135.</w:t>
      </w:r>
    </w:p>
    <w:p>
      <w:pPr>
        <w:pBdr/>
        <w:pStyle w:val="Normal"/>
        <w:spacing/>
        <w:ind/>
        <w:rPr>
          <w:rFonts w:ascii="Arial" w:eastAsia="Arial" w:hAnsi="Arial" w:cs="Arial"/>
        </w:rPr>
      </w:pPr>
      <w:r>
        <w:rPr>
          <w:rFonts w:ascii="Arial" w:eastAsia="Arial" w:hAnsi="Arial" w:cs="Arial"/>
        </w:rPr>
        <w:t xml:space="preserve">(1) Operater je dužan okvirnim planom preobrazbe utvrditi aktivnosti preobrazbe postrojenja za razdoblje od 2030. do 2050. godine radi doprinosa razvoju održivog, čistog, kružnog, resursno učinkovitog i klimatski neutralnog gospodarstva, uključujući, ako je primjenjivo, mjere za temeljitu industrijsku preobrazbu u skladu sa člankom 137. ovoga Zakona.</w:t>
      </w:r>
    </w:p>
    <w:p>
      <w:pPr>
        <w:pBdr/>
        <w:pStyle w:val="Normal"/>
        <w:spacing/>
        <w:ind/>
        <w:rPr>
          <w:rFonts w:ascii="Arial" w:eastAsia="Arial" w:hAnsi="Arial" w:cs="Arial"/>
        </w:rPr>
      </w:pPr>
      <w:r>
        <w:rPr>
          <w:rFonts w:ascii="Arial" w:eastAsia="Arial" w:hAnsi="Arial" w:cs="Arial"/>
        </w:rPr>
        <w:t xml:space="preserve">(2) Operater je dužan do 30. lipnja 2030. godine u EMS iz članka 80. ovoga Zakona uključiti okvirni plan preobrazbe za postrojenja koja obavljaju djelatnosti utvrđene uredbom iz članka 76. stavka 5. ovoga Zakona iz područja energetike, proizvodnje i prerade metala, industrije minerala, kemijske industrije te proizvodnje pulpe od drveta ili drugih vlaknastih materijala i proizvodnje papira ili kartona.</w:t>
      </w:r>
    </w:p>
    <w:p>
      <w:pPr>
        <w:pBdr/>
        <w:pStyle w:val="Normal"/>
        <w:spacing/>
        <w:ind/>
        <w:rPr>
          <w:rFonts w:ascii="Arial" w:eastAsia="Arial" w:hAnsi="Arial" w:cs="Arial"/>
        </w:rPr>
      </w:pPr>
      <w:r>
        <w:rPr>
          <w:rFonts w:ascii="Arial" w:eastAsia="Arial" w:hAnsi="Arial" w:cs="Arial"/>
        </w:rPr>
        <w:t xml:space="preserve">(3) Operater je dužan najkasnije do 30. lipnja 2031. godine osigurati da tijelo iz članka 81. stavka 2. ovoga Zakona ocijeni usklađenost okvirnog plana preobrazbe sa zahtjevima utvrđenima delegiranim aktom Europske komisije kojim se uređuje sadržaj planova preobrazbe.</w:t>
      </w:r>
    </w:p>
    <w:p>
      <w:pPr>
        <w:pBdr/>
        <w:pStyle w:val="Normal"/>
        <w:spacing/>
        <w:ind/>
        <w:rPr>
          <w:rFonts w:ascii="Arial" w:eastAsia="Arial" w:hAnsi="Arial" w:cs="Arial"/>
        </w:rPr>
      </w:pPr>
      <w:r>
        <w:rPr>
          <w:rFonts w:ascii="Arial" w:eastAsia="Arial" w:hAnsi="Arial" w:cs="Arial"/>
        </w:rPr>
        <w:t xml:space="preserve">(4) Za svako postrojenje koje obavlja djelatnost utvrđenu uredbom iz članka 76. stavka 5. ovoga Zakona, a nije obuhvaćeno stavkom 2. ovoga članka, operater je dužan u EMS uključiti plan preobrazbe izrađen u skladu sa zahtjevima delegiranog akta iz stavka 3. ovoga članka u okviru postupka preispitivanja okolišne dozvole iz članka 125.</w:t>
      </w:r>
      <w:r>
        <w:rPr>
          <w:rFonts w:ascii="Arial" w:eastAsia="Arial" w:hAnsi="Arial" w:cs="Arial"/>
          <w:color w:val="ED0000"/>
        </w:rPr>
        <w:t xml:space="preserve"> </w:t>
      </w:r>
      <w:r>
        <w:rPr>
          <w:rFonts w:ascii="Arial" w:eastAsia="Arial" w:hAnsi="Arial" w:cs="Arial"/>
        </w:rPr>
        <w:t xml:space="preserve">ovoga Zakona koji se provodi na temelju odluke Europske komisije o zaključcima o NRT-</w:t>
      </w:r>
      <w:r>
        <w:rPr>
          <w:rFonts w:ascii="Arial" w:eastAsia="Arial" w:hAnsi="Arial" w:cs="Arial"/>
        </w:rPr>
        <w:t xml:space="preserve">u za glavnu djelatnost postrojenja objavljene u »Službenom listu Europske unije« nakon 1. siječnja 2030. godine.</w:t>
      </w:r>
    </w:p>
    <w:p>
      <w:pPr>
        <w:pBdr/>
        <w:pStyle w:val="Normal"/>
        <w:spacing/>
        <w:ind/>
        <w:rPr>
          <w:rFonts w:ascii="Arial" w:eastAsia="Arial" w:hAnsi="Arial" w:cs="Arial"/>
        </w:rPr>
      </w:pPr>
      <w:r>
        <w:rPr>
          <w:rFonts w:ascii="Arial" w:eastAsia="Arial" w:hAnsi="Arial" w:cs="Arial"/>
        </w:rPr>
        <w:t xml:space="preserve">(5) Operater je dužan najkasnije u roku od godinu dana od dovršetka preispitivanja iz stavka 4. ovoga članka osigurati da tijelo iz članka 81. stavka 2. ovoga Zakona ocijeni usklađenost plana preobrazbe sa zahtjevima delegiranog akta iz stavka 3. ovoga članka.</w:t>
      </w:r>
    </w:p>
    <w:p>
      <w:pPr>
        <w:pBdr/>
        <w:pStyle w:val="Normal"/>
        <w:spacing/>
        <w:ind/>
        <w:rPr>
          <w:rFonts w:ascii="Arial" w:eastAsia="Arial" w:hAnsi="Arial" w:cs="Arial"/>
          <w:b/>
          <w:bCs/>
        </w:rPr>
      </w:pPr>
    </w:p>
    <w:p>
      <w:pPr>
        <w:pBdr/>
        <w:pStyle w:val="Heading 2"/>
        <w:spacing/>
        <w:ind/>
        <w:rPr/>
      </w:pPr>
      <w:r>
        <w:rPr/>
        <w:t xml:space="preserve">Članak 136.</w:t>
      </w:r>
    </w:p>
    <w:p>
      <w:pPr>
        <w:pBdr/>
        <w:pStyle w:val="Normal"/>
        <w:spacing/>
        <w:ind/>
        <w:rPr>
          <w:rFonts w:ascii="Arial" w:eastAsia="Arial" w:hAnsi="Arial" w:cs="Arial"/>
        </w:rPr>
      </w:pPr>
      <w:r>
        <w:rPr>
          <w:rFonts w:ascii="Arial" w:eastAsia="Arial" w:hAnsi="Arial" w:cs="Arial"/>
        </w:rPr>
        <w:t xml:space="preserve">(1) Jednim zajedničkim planom preobrazbe mogu biti obuhvaćena dva ili više postrojenja na području Republike Hrvatske kojima upravlja isti operater ili različiti operateri koji su dio istog trgovačkog društva sa sjedištem u Republici Hrvatskoj.</w:t>
      </w:r>
    </w:p>
    <w:p>
      <w:pPr>
        <w:pBdr/>
        <w:pStyle w:val="Normal"/>
        <w:spacing/>
        <w:ind/>
        <w:rPr>
          <w:rFonts w:ascii="Arial" w:eastAsia="Arial" w:hAnsi="Arial" w:cs="Arial"/>
        </w:rPr>
      </w:pPr>
      <w:r>
        <w:rPr>
          <w:rFonts w:ascii="Arial" w:eastAsia="Arial" w:hAnsi="Arial" w:cs="Arial"/>
        </w:rPr>
        <w:t xml:space="preserve">(2) Ako su pojedini elementi plana preobrazbe već izrađeni u skladu s drugim propisima Europske unije i ispunjavaju zahtjeve iz članka 135. i ovoga članka, plan preobrazbe može sadržavati izravno upućivanje na odgovarajuće dokumente.</w:t>
      </w:r>
    </w:p>
    <w:p>
      <w:pPr>
        <w:pBdr/>
        <w:pStyle w:val="Normal"/>
        <w:spacing/>
        <w:ind/>
        <w:rPr>
          <w:rFonts w:ascii="Arial" w:eastAsia="Arial" w:hAnsi="Arial" w:cs="Arial"/>
        </w:rPr>
      </w:pPr>
      <w:r>
        <w:rPr>
          <w:rFonts w:ascii="Arial" w:eastAsia="Arial" w:hAnsi="Arial" w:cs="Arial"/>
        </w:rPr>
        <w:t xml:space="preserve">(3) Operater je dužan u okviru objave informacija iz EMS-</w:t>
      </w:r>
      <w:r>
        <w:rPr>
          <w:rFonts w:ascii="Arial" w:eastAsia="Arial" w:hAnsi="Arial" w:cs="Arial"/>
        </w:rPr>
        <w:t xml:space="preserve">a objaviti plan preobrazbe, svako njegovo ažuriranje te rezultate ocjene usklađenosti iz članka 135. stavaka 3. i 5. ovoga Zakona.</w:t>
      </w:r>
    </w:p>
    <w:p>
      <w:pPr>
        <w:pBdr/>
        <w:pStyle w:val="Normal"/>
        <w:spacing/>
        <w:ind/>
        <w:rPr>
          <w:rFonts w:ascii="Arial" w:eastAsia="Arial" w:hAnsi="Arial" w:cs="Arial"/>
        </w:rPr>
      </w:pPr>
    </w:p>
    <w:p>
      <w:pPr>
        <w:pBdr/>
        <w:pStyle w:val="Heading 2"/>
        <w:spacing/>
        <w:ind/>
        <w:rPr/>
      </w:pPr>
      <w:r>
        <w:rPr/>
        <w:t xml:space="preserve">Temeljita industrijska preobrazba postrojenja</w:t>
      </w:r>
    </w:p>
    <w:p>
      <w:pPr>
        <w:pBdr/>
        <w:pStyle w:val="Heading 2"/>
        <w:spacing/>
        <w:ind/>
        <w:rPr/>
      </w:pPr>
      <w:r>
        <w:rPr/>
        <w:t xml:space="preserve">Članak 137.</w:t>
      </w:r>
    </w:p>
    <w:p>
      <w:pPr>
        <w:pBdr/>
        <w:pStyle w:val="Normal"/>
        <w:spacing/>
        <w:ind/>
        <w:rPr>
          <w:rFonts w:ascii="Arial" w:eastAsia="Arial" w:hAnsi="Arial" w:cs="Arial"/>
        </w:rPr>
      </w:pPr>
      <w:r>
        <w:rPr>
          <w:rFonts w:ascii="Arial" w:eastAsia="Arial" w:hAnsi="Arial" w:cs="Arial"/>
        </w:rPr>
        <w:t xml:space="preserve">(1) Uz ispunjavanje standarda kakvoće okoliša iz članka 105. ovoga Zakona, iznimno od članka 125. stavka 2. ovoga Zakona, Ministarstvo može na zahtjev operatera u postupku preispitivanja iz članka 125. ovoga Zakona rješenjem o izmjeni i/ili dopuni okolišne dozvole odobriti produljeni rok za usklađivanje rada postrojenja s izmijenjenim i/ili dopunjenim uvjetima okolišne dozvole iz članka 125. stavka 1. ovoga Zakona.</w:t>
      </w:r>
    </w:p>
    <w:p>
      <w:pPr>
        <w:pBdr/>
        <w:pStyle w:val="Normal"/>
        <w:spacing/>
        <w:ind/>
        <w:rPr>
          <w:rFonts w:ascii="Arial" w:eastAsia="Arial" w:hAnsi="Arial" w:cs="Arial"/>
        </w:rPr>
      </w:pPr>
      <w:r>
        <w:rPr>
          <w:rFonts w:ascii="Arial" w:eastAsia="Arial" w:hAnsi="Arial" w:cs="Arial"/>
        </w:rPr>
        <w:t xml:space="preserve">(2) Produljeni rok iz stavka 1. ovoga članka može se odobriti najdulje do isteka osam godina od dana objave odluke Europske komisije o zaključcima o NRT-</w:t>
      </w:r>
      <w:r>
        <w:rPr>
          <w:rFonts w:ascii="Arial" w:eastAsia="Arial" w:hAnsi="Arial" w:cs="Arial"/>
        </w:rPr>
        <w:t xml:space="preserve">u koji se odnose na glavnu djelatnost postrojenja u »Službenom listu Europske unije«.</w:t>
      </w:r>
    </w:p>
    <w:p>
      <w:pPr>
        <w:pBdr/>
        <w:pStyle w:val="Normal"/>
        <w:spacing/>
        <w:ind/>
        <w:rPr>
          <w:rFonts w:ascii="Arial" w:eastAsia="Arial" w:hAnsi="Arial" w:cs="Arial"/>
        </w:rPr>
      </w:pPr>
      <w:r>
        <w:rPr>
          <w:rFonts w:ascii="Arial" w:eastAsia="Arial" w:hAnsi="Arial" w:cs="Arial"/>
        </w:rPr>
        <w:t xml:space="preserve">(3) Produljeni rok iz stavka 1. ovoga članka može se odobriti samo ako operater uz zahtjev priloži plan preobrazbe iz članka 135. ovoga Zakona kojim dokazuje da planirana preobrazba ispunjava uvjete za temeljitu industrijsku preobrazbu iz članka 3. točke 82. ovoga Zakona i da se provodi:</w:t>
      </w:r>
    </w:p>
    <w:p>
      <w:pPr>
        <w:pBdr/>
        <w:pStyle w:val="Normal"/>
        <w:spacing/>
        <w:ind/>
        <w:rPr>
          <w:rFonts w:ascii="Arial" w:eastAsia="Arial" w:hAnsi="Arial" w:cs="Arial"/>
        </w:rPr>
      </w:pPr>
      <w:r>
        <w:rPr>
          <w:rFonts w:ascii="Arial" w:eastAsia="Arial" w:hAnsi="Arial" w:cs="Arial"/>
        </w:rPr>
        <w:t xml:space="preserve">1. primjenom tehnika u nastajanju koje uključuju opsežnu promjenu dizajna ili tehnologije cijelog postrojenja ili njegova dijela</w:t>
      </w:r>
    </w:p>
    <w:p>
      <w:pPr>
        <w:pBdr/>
        <w:pStyle w:val="Normal"/>
        <w:spacing/>
        <w:ind/>
        <w:rPr>
          <w:rFonts w:ascii="Arial" w:eastAsia="Arial" w:hAnsi="Arial" w:cs="Arial"/>
        </w:rPr>
      </w:pPr>
      <w:r>
        <w:rPr>
          <w:rFonts w:ascii="Arial" w:eastAsia="Arial" w:hAnsi="Arial" w:cs="Arial"/>
        </w:rPr>
        <w:t xml:space="preserve">2. primjenom NRT-</w:t>
      </w:r>
      <w:r>
        <w:rPr>
          <w:rFonts w:ascii="Arial" w:eastAsia="Arial" w:hAnsi="Arial" w:cs="Arial"/>
        </w:rPr>
        <w:t xml:space="preserve">a koji uključuje opsežnu promjenu dizajna ili tehnologije cijelog postrojenja ili njegova dijela ili</w:t>
      </w:r>
    </w:p>
    <w:p>
      <w:pPr>
        <w:pBdr/>
        <w:pStyle w:val="Normal"/>
        <w:spacing/>
        <w:ind/>
        <w:rPr>
          <w:rFonts w:ascii="Arial" w:eastAsia="Arial" w:hAnsi="Arial" w:cs="Arial"/>
        </w:rPr>
      </w:pPr>
      <w:r>
        <w:rPr>
          <w:rFonts w:ascii="Arial" w:eastAsia="Arial" w:hAnsi="Arial" w:cs="Arial"/>
        </w:rPr>
        <w:t xml:space="preserve">3. zamjenom postojećeg postrojenja novim postrojenjem.</w:t>
      </w:r>
    </w:p>
    <w:p>
      <w:pPr>
        <w:pBdr/>
        <w:pStyle w:val="Normal"/>
        <w:spacing/>
        <w:ind/>
        <w:rPr>
          <w:rFonts w:ascii="Arial" w:eastAsia="Arial" w:hAnsi="Arial" w:cs="Arial"/>
        </w:rPr>
      </w:pPr>
      <w:r>
        <w:rPr>
          <w:rFonts w:ascii="Arial" w:eastAsia="Arial" w:hAnsi="Arial" w:cs="Arial"/>
        </w:rPr>
        <w:t xml:space="preserve">(4) Rješenje iz stavka 1. ovoga članka obvezno sadrži:</w:t>
      </w:r>
    </w:p>
    <w:p>
      <w:pPr>
        <w:pBdr/>
        <w:pStyle w:val="Normal"/>
        <w:spacing/>
        <w:ind/>
        <w:rPr>
          <w:rFonts w:ascii="Arial" w:eastAsia="Arial" w:hAnsi="Arial" w:cs="Arial"/>
        </w:rPr>
      </w:pPr>
      <w:r>
        <w:rPr>
          <w:rFonts w:ascii="Arial" w:eastAsia="Arial" w:hAnsi="Arial" w:cs="Arial"/>
        </w:rPr>
        <w:t xml:space="preserve">1. opis temeljite industrijske preobrazbe, razine emisija i učinkovitost resursa koje će se postići te vremenski okvir i ključne etape provedbe utvrđene planom preobrazbe</w:t>
      </w:r>
    </w:p>
    <w:p>
      <w:pPr>
        <w:pBdr/>
        <w:pStyle w:val="Normal"/>
        <w:spacing/>
        <w:ind/>
        <w:rPr>
          <w:rFonts w:ascii="Arial" w:eastAsia="Arial" w:hAnsi="Arial" w:cs="Arial"/>
        </w:rPr>
      </w:pPr>
      <w:r>
        <w:rPr>
          <w:rFonts w:ascii="Arial" w:eastAsia="Arial" w:hAnsi="Arial" w:cs="Arial"/>
        </w:rPr>
        <w:t xml:space="preserve">2. privremene granične vrijednosti emisija i uvjete okolišne učinkovitosti koji se primjenjuju tijekom produljenog roka iz stavka 1. ovoga članka, koji ne smiju biti manje strogi od vrijednosti i uvjeta primjenjivih prije početka preobrazbe niti dovesti do pogoršanja stanja okoliša</w:t>
      </w:r>
    </w:p>
    <w:p>
      <w:pPr>
        <w:pBdr/>
        <w:pStyle w:val="Normal"/>
        <w:spacing/>
        <w:ind/>
        <w:rPr>
          <w:rFonts w:ascii="Arial" w:eastAsia="Arial" w:hAnsi="Arial" w:cs="Arial"/>
        </w:rPr>
      </w:pPr>
      <w:r>
        <w:rPr>
          <w:rFonts w:ascii="Arial" w:eastAsia="Arial" w:hAnsi="Arial" w:cs="Arial"/>
        </w:rPr>
        <w:t xml:space="preserve">3. uvjete i mjere kojima se tijekom produljenog roka osigurava da rad postrojenja ne uzrokuje znatno onečišćenje i da se postiže visoka razina zaštite okoliša u cjelini</w:t>
      </w:r>
    </w:p>
    <w:p>
      <w:pPr>
        <w:pBdr/>
        <w:pStyle w:val="Normal"/>
        <w:spacing/>
        <w:ind/>
        <w:rPr>
          <w:rFonts w:ascii="Arial" w:eastAsia="Arial" w:hAnsi="Arial" w:cs="Arial"/>
        </w:rPr>
      </w:pPr>
      <w:r>
        <w:rPr>
          <w:rFonts w:ascii="Arial" w:eastAsia="Arial" w:hAnsi="Arial" w:cs="Arial"/>
        </w:rPr>
        <w:t xml:space="preserve">4. obvezu operatera da Ministarstvu jednom godišnje dostavlja izvješće o napretku u provedbi temeljite industrijske preobrazbe, uključujući ostvarivanje ključnih etapa utvrđenih planom preobrazbe.</w:t>
      </w:r>
    </w:p>
    <w:p>
      <w:pPr>
        <w:pBdr/>
        <w:pStyle w:val="Normal"/>
        <w:spacing/>
        <w:ind/>
        <w:rPr>
          <w:rFonts w:ascii="Arial" w:eastAsia="Arial" w:hAnsi="Arial" w:cs="Arial"/>
        </w:rPr>
      </w:pPr>
    </w:p>
    <w:p>
      <w:pPr>
        <w:pBdr/>
        <w:pStyle w:val="Normal"/>
        <w:spacing/>
        <w:ind/>
        <w:rPr>
          <w:rFonts w:ascii="Arial" w:eastAsia="Arial" w:hAnsi="Arial" w:cs="Arial"/>
        </w:rPr>
      </w:pPr>
    </w:p>
    <w:p>
      <w:pPr>
        <w:pBdr/>
        <w:pStyle w:val="Heading 2"/>
        <w:spacing/>
        <w:ind/>
        <w:rPr/>
      </w:pPr>
      <w:r>
        <w:rPr/>
        <w:t xml:space="preserve">Zatvaranje i zamjena postrojenja</w:t>
      </w:r>
    </w:p>
    <w:p>
      <w:pPr>
        <w:pBdr/>
        <w:pStyle w:val="Heading 2"/>
        <w:spacing/>
        <w:ind/>
        <w:rPr/>
      </w:pPr>
      <w:r>
        <w:rPr/>
        <w:t xml:space="preserve">Članak 138.</w:t>
      </w:r>
    </w:p>
    <w:p>
      <w:pPr>
        <w:pBdr/>
        <w:pStyle w:val="Normal"/>
        <w:spacing/>
        <w:ind/>
        <w:rPr>
          <w:rFonts w:ascii="Arial" w:eastAsia="Arial" w:hAnsi="Arial" w:cs="Arial"/>
        </w:rPr>
      </w:pPr>
      <w:r>
        <w:rPr>
          <w:rFonts w:ascii="Arial" w:eastAsia="Arial" w:hAnsi="Arial" w:cs="Arial"/>
        </w:rPr>
        <w:t xml:space="preserve">(1) Uz ispunjavanje standarda kakvoće okoliša iz članka 105. ovoga Zakona i odredbi poglavlja VIII. ovoga Zakona, Ministarstvo može na zahtjev operatera u postupku preispitivanja iz članka 125. ovoga Zakona odobriti izuzeće od obveze usklađivanja okolišne dozvole s odlukom Europske komisije iz članka 125. stavka 1. ovoga Zakona ako je planom preobrazbe iz članka 135. ovoga Zakona predviđena temeljita industrijska preobrazba koja uključuje zatvaranje postojećeg postrojenja i njegovu zamjenu novim postrojenjem najkasnije u roku od osam godina od dana objave te odluke u »Službenom listu Europske unije«.</w:t>
      </w:r>
    </w:p>
    <w:p>
      <w:pPr>
        <w:pBdr/>
        <w:pStyle w:val="Normal"/>
        <w:spacing/>
        <w:ind/>
        <w:rPr>
          <w:rFonts w:ascii="Arial" w:eastAsia="Arial" w:hAnsi="Arial" w:cs="Arial"/>
        </w:rPr>
      </w:pPr>
      <w:r>
        <w:rPr>
          <w:rFonts w:ascii="Arial" w:eastAsia="Arial" w:hAnsi="Arial" w:cs="Arial"/>
        </w:rPr>
        <w:t xml:space="preserve">(2) Operater je dužan podnijeti zahtjev iz stavka 1. ovoga članka Ministarstvu najkasnije u roku od tri mjeseca od dana objave odluke Europske komisije iz toga stavka u »Službenom listu Europske unije« te uz zahtjev dostaviti plan preobrazbe iz članka 135. ovoga Zakona i dokumentaciju i dokaze potrebne za utvrđivanje ispunjenosti uvjeta za izuzeće, propisane uredbom iz članka 76. stavka 5. ovoga Zakona.</w:t>
      </w:r>
    </w:p>
    <w:p>
      <w:pPr>
        <w:pBdr/>
        <w:pStyle w:val="Normal"/>
        <w:spacing/>
        <w:ind/>
        <w:rPr>
          <w:rFonts w:ascii="Arial" w:eastAsia="Arial" w:hAnsi="Arial" w:cs="Arial"/>
        </w:rPr>
      </w:pPr>
      <w:r>
        <w:rPr>
          <w:rFonts w:ascii="Arial" w:eastAsia="Arial" w:hAnsi="Arial" w:cs="Arial"/>
        </w:rPr>
        <w:t xml:space="preserve">(3) Na operatera koji podnese zahtjev u roku iz stavka 2. ovoga članka ne primjenjuju se odredbe članka 126. stavka 1. i članka 127. stavka 1. ovoga Zakona u odnosu na odluku Europske komisije na koju se zahtjev odnosi.</w:t>
      </w:r>
    </w:p>
    <w:p>
      <w:pPr>
        <w:pBdr/>
        <w:pStyle w:val="Normal"/>
        <w:spacing/>
        <w:ind/>
        <w:rPr>
          <w:rFonts w:ascii="Arial" w:eastAsia="Arial" w:hAnsi="Arial" w:cs="Arial"/>
        </w:rPr>
      </w:pPr>
      <w:r>
        <w:rPr>
          <w:rFonts w:ascii="Arial" w:eastAsia="Arial" w:hAnsi="Arial" w:cs="Arial"/>
        </w:rPr>
        <w:t xml:space="preserve">(4) Ministarstvo o odobravanju izuzeća iz stavka 1. ovoga članka odlučuje rješenjem kojim mijenja i/ili dopunjuje okolišnu dozvolu postojećeg postrojenja, koja mora sadržavati:</w:t>
      </w:r>
    </w:p>
    <w:p>
      <w:pPr>
        <w:pBdr/>
        <w:pStyle w:val="Normal"/>
        <w:spacing/>
        <w:ind/>
        <w:rPr>
          <w:rFonts w:ascii="Arial" w:eastAsia="Arial" w:hAnsi="Arial" w:cs="Arial"/>
        </w:rPr>
      </w:pPr>
      <w:r>
        <w:rPr>
          <w:rFonts w:ascii="Arial" w:eastAsia="Arial" w:hAnsi="Arial" w:cs="Arial"/>
        </w:rPr>
        <w:t xml:space="preserve">1. opis plana zatvaranja postojećeg postrojenja te vremenski okvir i ključne etape njegova zatvaranja i zamjene novim postrojenjem</w:t>
      </w:r>
    </w:p>
    <w:p>
      <w:pPr>
        <w:pBdr/>
        <w:pStyle w:val="Normal"/>
        <w:spacing/>
        <w:ind/>
        <w:rPr>
          <w:rFonts w:ascii="Arial" w:eastAsia="Arial" w:hAnsi="Arial" w:cs="Arial"/>
        </w:rPr>
      </w:pPr>
      <w:r>
        <w:rPr>
          <w:rFonts w:ascii="Arial" w:eastAsia="Arial" w:hAnsi="Arial" w:cs="Arial"/>
        </w:rPr>
        <w:t xml:space="preserve">2. obvezu operatera da Ministarstvu jednom godišnje dostavlja izvješće o napretku u provedbi plana zatvaranja postojećeg postrojenja i njegove zamjene novim postrojenjem</w:t>
      </w:r>
    </w:p>
    <w:p>
      <w:pPr>
        <w:pBdr/>
        <w:pStyle w:val="Normal"/>
        <w:spacing/>
        <w:ind/>
        <w:rPr>
          <w:rFonts w:ascii="Arial" w:eastAsia="Arial" w:hAnsi="Arial" w:cs="Arial"/>
        </w:rPr>
      </w:pPr>
      <w:r>
        <w:rPr>
          <w:rFonts w:ascii="Arial" w:eastAsia="Arial" w:hAnsi="Arial" w:cs="Arial"/>
        </w:rPr>
        <w:t xml:space="preserve">3. uvjete i mjere kojima se do zatvaranja postojećeg postrojenja osigurava da njegov rad ne uzrokuje znatno onečišćenje i da se postiže visoka razina zaštite okoliša u cjelini.</w:t>
      </w:r>
    </w:p>
    <w:p>
      <w:pPr>
        <w:pBdr/>
        <w:pStyle w:val="Normal"/>
        <w:spacing/>
        <w:ind/>
        <w:rPr>
          <w:rFonts w:ascii="Arial" w:eastAsia="Arial" w:hAnsi="Arial" w:cs="Arial"/>
        </w:rPr>
      </w:pPr>
    </w:p>
    <w:p>
      <w:pPr>
        <w:pBdr/>
        <w:pStyle w:val="Normal"/>
        <w:spacing/>
        <w:ind/>
        <w:rPr>
          <w:rFonts w:ascii="Arial" w:eastAsia="Arial" w:hAnsi="Arial" w:cs="Arial"/>
        </w:rPr>
      </w:pPr>
    </w:p>
    <w:p>
      <w:pPr>
        <w:pBdr/>
        <w:pStyle w:val="Heading 2"/>
        <w:spacing/>
        <w:ind/>
        <w:rPr/>
      </w:pPr>
      <w:r>
        <w:rPr/>
        <w:t xml:space="preserve">Postupanje nakon odbijanja ili odbacivanja zahtjeva</w:t>
      </w:r>
    </w:p>
    <w:p>
      <w:pPr>
        <w:pBdr/>
        <w:pStyle w:val="Heading 2"/>
        <w:spacing/>
        <w:ind/>
        <w:rPr/>
      </w:pPr>
      <w:r>
        <w:rPr/>
        <w:t xml:space="preserve">Članak 139.</w:t>
      </w:r>
    </w:p>
    <w:p>
      <w:pPr>
        <w:pBdr/>
        <w:pStyle w:val="Normal"/>
        <w:spacing/>
        <w:ind/>
        <w:rPr>
          <w:rFonts w:ascii="Arial" w:eastAsia="Arial" w:hAnsi="Arial" w:cs="Arial"/>
        </w:rPr>
      </w:pPr>
      <w:r>
        <w:rPr>
          <w:rFonts w:ascii="Arial" w:eastAsia="Arial" w:hAnsi="Arial" w:cs="Arial"/>
        </w:rPr>
        <w:t xml:space="preserve">(1) Ako Ministarstvo odbije ili odbaci zahtjev iz članka 138. stavka 1. ovoga Zakona, operater je dužan u roku od tri mjeseca od dana dostave rješenja dostaviti Ministarstvu dokumentaciju i dokaze iz članka 126. stavka 1. ovoga Zakona radi nastavka postupka preispitivanja okolišne dozvole.</w:t>
      </w:r>
    </w:p>
    <w:p>
      <w:pPr>
        <w:pBdr/>
        <w:pStyle w:val="Normal"/>
        <w:spacing/>
        <w:ind/>
        <w:rPr>
          <w:rFonts w:ascii="Arial" w:eastAsia="Arial" w:hAnsi="Arial" w:cs="Arial"/>
        </w:rPr>
      </w:pPr>
      <w:r>
        <w:rPr>
          <w:rFonts w:ascii="Arial" w:eastAsia="Arial" w:hAnsi="Arial" w:cs="Arial"/>
        </w:rPr>
        <w:t xml:space="preserve">(2) Ako operater ne dostavi dokumentaciju i dokaze u roku iz stavka 1. ovoga članka, Ministarstvo po službenoj dužnosti rješenjem ukida okolišnu dozvolu, pri čemu pravni učinci ukidanja nastupaju istekom roka iz članka 125. stavka 2. ovoga Zakona.</w:t>
      </w:r>
    </w:p>
    <w:p>
      <w:pPr>
        <w:pBdr/>
        <w:pStyle w:val="Normal"/>
        <w:spacing/>
        <w:ind/>
        <w:rPr>
          <w:rFonts w:ascii="Arial" w:eastAsia="Arial" w:hAnsi="Arial" w:cs="Arial"/>
        </w:rPr>
      </w:pPr>
    </w:p>
    <w:p>
      <w:pPr>
        <w:pBdr/>
        <w:pStyle w:val="Normal"/>
        <w:spacing/>
        <w:ind/>
        <w:rPr>
          <w:rFonts w:ascii="Arial" w:eastAsia="Arial" w:hAnsi="Arial" w:cs="Arial"/>
        </w:rPr>
      </w:pPr>
    </w:p>
    <w:p>
      <w:pPr>
        <w:pBdr/>
        <w:pStyle w:val="Heading 2"/>
        <w:spacing/>
        <w:ind/>
        <w:rPr/>
      </w:pPr>
      <w:r>
        <w:rPr/>
        <w:t xml:space="preserve">Provedba i praćenje industrijske preobrazbe</w:t>
      </w:r>
    </w:p>
    <w:p>
      <w:pPr>
        <w:pBdr/>
        <w:pStyle w:val="Heading 2"/>
        <w:spacing/>
        <w:ind/>
        <w:rPr/>
      </w:pPr>
      <w:r>
        <w:rPr/>
        <w:t xml:space="preserve">Članak 140.</w:t>
      </w:r>
    </w:p>
    <w:p>
      <w:pPr>
        <w:pBdr/>
        <w:pStyle w:val="Normal"/>
        <w:spacing/>
        <w:ind/>
        <w:rPr>
          <w:rFonts w:ascii="Arial" w:eastAsia="Arial" w:hAnsi="Arial" w:cs="Arial"/>
        </w:rPr>
      </w:pPr>
      <w:r>
        <w:rPr>
          <w:rFonts w:ascii="Arial" w:eastAsia="Arial" w:hAnsi="Arial" w:cs="Arial"/>
        </w:rPr>
        <w:t xml:space="preserve">(1) Operater kojem je odobren produljeni rok iz članka 137. stavka 1. ovoga Zakona odnosno izuzeće iz članka 138. stavka 1. ovoga Zakona dužan je tijekom produljenog roka iz članka 137. stavka 2. odnosno razdoblja za zatvaranje i zamjenu postrojenja iz članka 138. stavka 1. ovoga Zakona ispunjavati uvjete, provoditi mjere i ostvarivati ključne etape provedbe utvrđene okolišnom dozvolom.</w:t>
      </w:r>
    </w:p>
    <w:p>
      <w:pPr>
        <w:pBdr/>
        <w:pStyle w:val="Normal"/>
        <w:spacing/>
        <w:ind/>
        <w:rPr>
          <w:rFonts w:ascii="Arial" w:eastAsia="Arial" w:hAnsi="Arial" w:cs="Arial"/>
        </w:rPr>
      </w:pPr>
      <w:r>
        <w:rPr>
          <w:rFonts w:ascii="Arial" w:eastAsia="Arial" w:hAnsi="Arial" w:cs="Arial"/>
        </w:rPr>
        <w:t xml:space="preserve">(2) Ako se na temelju izvješća iz članka 137. stavka 4. točke 4. ili članka 138. stavka 4. točke 2. ovoga Zakona, inspekcijskim nadzorom ili na drugi način utvrdi da operater ne ispunjava uvjete, ne provodi mjere ili ne ostvaruje ključne etape provedbe utvrđene okolišnom dozvolom, Ministarstvo po službenoj dužnosti pokreće postupak ukidanja okolišne dozvole.</w:t>
      </w:r>
    </w:p>
    <w:p>
      <w:pPr>
        <w:pBdr/>
        <w:pStyle w:val="Normal"/>
        <w:spacing/>
        <w:ind/>
        <w:rPr>
          <w:rFonts w:ascii="Arial" w:eastAsia="Arial" w:hAnsi="Arial" w:cs="Arial"/>
        </w:rPr>
      </w:pPr>
      <w:r>
        <w:rPr>
          <w:rFonts w:ascii="Arial" w:eastAsia="Arial" w:hAnsi="Arial" w:cs="Arial"/>
        </w:rPr>
        <w:t xml:space="preserve">(3) Ministarstvo najmanje jednom godišnje, u okviru izvješćivanja Europske komisije iz članka 213. ovoga Zakona, obavješćuje Europsku komisiju o produljenim rokovima odobrenima na temelju članka 137. stavka 1. ovoga Zakona i izuzećima odobrenima na temelju članka 138. stavka 1. ovoga Zakona.</w:t>
      </w:r>
    </w:p>
    <w:p>
      <w:pPr>
        <w:pBdr/>
        <w:pStyle w:val="Normal"/>
        <w:spacing/>
        <w:ind/>
        <w:rPr>
          <w:rFonts w:ascii="Arial" w:eastAsia="Arial" w:hAnsi="Arial" w:cs="Arial"/>
        </w:rPr>
      </w:pPr>
      <w:r>
        <w:rPr>
          <w:rFonts w:ascii="Arial" w:eastAsia="Arial" w:hAnsi="Arial" w:cs="Arial"/>
        </w:rPr>
        <w:t xml:space="preserve">(4) Protiv rješenja iz članka 137. stavka 1. i članka 138. stavka 4. ovoga Zakona žalba nije dopuštena, ali se može pokrenuti upravni spor.</w:t>
      </w:r>
    </w:p>
    <w:p>
      <w:pPr>
        <w:pBdr/>
        <w:pStyle w:val="Normal"/>
        <w:spacing/>
        <w:ind/>
        <w:rPr>
          <w:rFonts w:ascii="Arial" w:eastAsia="Arial" w:hAnsi="Arial" w:cs="Arial"/>
        </w:rPr>
      </w:pPr>
      <w:r>
        <w:rPr>
          <w:rFonts w:ascii="Arial" w:eastAsia="Arial" w:hAnsi="Arial" w:cs="Arial"/>
        </w:rPr>
        <w:t xml:space="preserve">(5) Pobliži sadržaj zahtjeva iz članka 137. stavka 1. i članka 138. stavka 1. ovoga Zakona te dokumentacija i dokazi koji se prilažu uz te zahtjeve propisuju se uredbom iz članka 76. stavka 5. ovoga Zakona.</w:t>
      </w:r>
    </w:p>
    <w:p>
      <w:pPr>
        <w:pBdr/>
        <w:pStyle w:val="Normal"/>
        <w:spacing/>
        <w:ind/>
        <w:rPr>
          <w:rFonts w:ascii="Arial" w:eastAsia="Arial" w:hAnsi="Arial" w:cs="Arial"/>
        </w:rPr>
      </w:pPr>
    </w:p>
    <w:p>
      <w:pPr>
        <w:pBdr/>
        <w:pStyle w:val="Heading 1"/>
        <w:spacing/>
        <w:ind/>
        <w:rPr/>
      </w:pPr>
      <w:r>
        <w:rPr/>
        <w:t xml:space="preserve">POGLAVLJE VIII. TEMELJNO IZVJEŠĆE I KONAČNI PRESTANAK AKTIVNOSTI</w:t>
      </w:r>
    </w:p>
    <w:p>
      <w:pPr>
        <w:pBdr/>
        <w:pStyle w:val="Heading 1"/>
        <w:spacing/>
        <w:ind/>
        <w:rPr/>
      </w:pPr>
      <w:r>
        <w:rPr/>
        <w:t xml:space="preserve">ODJELJAK 1. TEMELJNO IZVJEŠĆE</w:t>
      </w:r>
    </w:p>
    <w:p>
      <w:pPr>
        <w:pBdr/>
        <w:pStyle w:val="Normal"/>
        <w:spacing/>
        <w:ind/>
        <w:rPr/>
      </w:pPr>
    </w:p>
    <w:p>
      <w:pPr>
        <w:pBdr/>
        <w:pStyle w:val="Heading 2"/>
        <w:spacing/>
        <w:ind/>
        <w:rPr/>
      </w:pPr>
      <w:r>
        <w:rPr/>
        <w:t xml:space="preserve">Temeljno izvješće i analiza mogućnosti onečišćenja</w:t>
      </w:r>
    </w:p>
    <w:p>
      <w:pPr>
        <w:pBdr/>
        <w:pStyle w:val="Heading 2"/>
        <w:spacing/>
        <w:ind/>
        <w:rPr/>
      </w:pPr>
      <w:r>
        <w:rPr/>
        <w:t xml:space="preserve">Članak 141.</w:t>
      </w:r>
    </w:p>
    <w:p>
      <w:pPr>
        <w:pBdr/>
        <w:pStyle w:val="Normal"/>
        <w:spacing/>
        <w:ind/>
        <w:rPr>
          <w:rFonts w:ascii="Arial" w:eastAsia="Arial" w:hAnsi="Arial" w:cs="Arial"/>
        </w:rPr>
      </w:pPr>
      <w:r>
        <w:rPr>
          <w:rFonts w:ascii="Arial" w:eastAsia="Arial" w:hAnsi="Arial" w:cs="Arial"/>
        </w:rPr>
        <w:t xml:space="preserve">(1) Ministarstvo okolišnom dozvolom utvrđuje uvjete zatvaranja postrojenja kojima se osigurava ispunjavanje obveza nakon konačnog prestanka aktivnosti u postrojenju propisanih ovim poglavljem.</w:t>
      </w:r>
    </w:p>
    <w:p>
      <w:pPr>
        <w:pBdr/>
        <w:pStyle w:val="Normal"/>
        <w:spacing/>
        <w:ind/>
        <w:rPr>
          <w:rFonts w:ascii="Arial" w:eastAsia="Arial" w:hAnsi="Arial" w:cs="Arial"/>
        </w:rPr>
      </w:pPr>
      <w:r>
        <w:rPr>
          <w:rFonts w:ascii="Arial" w:eastAsia="Arial" w:hAnsi="Arial" w:cs="Arial"/>
        </w:rPr>
        <w:t xml:space="preserve">(2) Ako djelatnost u postrojenju uključuje uporabu, proizvodnju ili ispuštanje relevantnih opasnih tvari i postoji mogućnost onečišćenja tla i podzemnih voda tim tvarima na lokaciji postrojenja, operater je dužan izraditi temeljno izvješće i ishoditi suglasnost Ministarstva na to izvješće prije podnošenja zahtjeva za izdavanje okolišne dozvole odnosno, u slučaju planirane promjene iz stavka 4. ovoga članka, prije podnošenja zahtjeva za izmjenu i/ili dopunu okolišne dozvole.</w:t>
      </w:r>
    </w:p>
    <w:p>
      <w:pPr>
        <w:pBdr/>
        <w:pStyle w:val="Normal"/>
        <w:spacing/>
        <w:ind/>
        <w:rPr>
          <w:rFonts w:ascii="Arial" w:eastAsia="Arial" w:hAnsi="Arial" w:cs="Arial"/>
        </w:rPr>
      </w:pPr>
      <w:r>
        <w:rPr>
          <w:rFonts w:ascii="Arial" w:eastAsia="Arial" w:hAnsi="Arial" w:cs="Arial"/>
        </w:rPr>
        <w:t xml:space="preserve">(3) Temeljno izvješće sadrži podatke potrebne za utvrđivanje stanja onečišćenosti tla i podzemnih voda relevantnim opasnim tvarima na lokaciji postrojenja te služi kao referentna osnova za količinsku usporedbu sa stanjem tla i podzemnih voda nakon konačnog prestanka aktivnosti.</w:t>
      </w:r>
    </w:p>
    <w:p>
      <w:pPr>
        <w:pBdr/>
        <w:pStyle w:val="Normal"/>
        <w:spacing/>
        <w:ind/>
        <w:rPr>
          <w:rFonts w:ascii="Arial" w:eastAsia="Arial" w:hAnsi="Arial" w:cs="Arial"/>
        </w:rPr>
      </w:pPr>
      <w:r>
        <w:rPr>
          <w:rFonts w:ascii="Arial" w:eastAsia="Arial" w:hAnsi="Arial" w:cs="Arial"/>
        </w:rPr>
        <w:t xml:space="preserve">(4) Radi utvrđivanja obveze izrade temeljnog izvješća operater je dužan prije podnošenja zahtjeva za izdavanje okolišne dozvole odnosno zahtjeva za njezinu izmjenu i/ili dopunu ako se planiranom promjenom u radu postrojenja prvi put uvode opasne tvari ili se povećava njihova uporaba, proizvodnja ili ispuštanje na način koji može utjecati na mogućnost onečišćenja tla i podzemnih voda, dostaviti Ministarstvu analizu mogućnosti onečišćenja tla i podzemnih voda koja obuhvaća:</w:t>
      </w:r>
    </w:p>
    <w:p>
      <w:pPr>
        <w:pBdr/>
        <w:pStyle w:val="Normal"/>
        <w:spacing/>
        <w:ind/>
        <w:rPr>
          <w:rFonts w:ascii="Arial" w:eastAsia="Arial" w:hAnsi="Arial" w:cs="Arial"/>
        </w:rPr>
      </w:pPr>
      <w:r>
        <w:rPr>
          <w:rFonts w:ascii="Arial" w:eastAsia="Arial" w:hAnsi="Arial" w:cs="Arial"/>
        </w:rPr>
        <w:t xml:space="preserve">1. utvrđivanje opasnih tvari koje se koriste, proizvode ili ispuštaju u postrojenju</w:t>
      </w:r>
    </w:p>
    <w:p>
      <w:pPr>
        <w:pBdr/>
        <w:pStyle w:val="Normal"/>
        <w:spacing/>
        <w:ind/>
        <w:rPr>
          <w:rFonts w:ascii="Arial" w:eastAsia="Arial" w:hAnsi="Arial" w:cs="Arial"/>
        </w:rPr>
      </w:pPr>
      <w:r>
        <w:rPr>
          <w:rFonts w:ascii="Arial" w:eastAsia="Arial" w:hAnsi="Arial" w:cs="Arial"/>
        </w:rPr>
        <w:t xml:space="preserve">2. početnu provjeru relevantnosti opasnih tvari iz točke 1. ovoga stavka prema njihovim svojstvima, kategorijama i količinama</w:t>
      </w:r>
    </w:p>
    <w:p>
      <w:pPr>
        <w:pBdr/>
        <w:pStyle w:val="Normal"/>
        <w:spacing/>
        <w:ind/>
        <w:rPr>
          <w:rFonts w:ascii="Arial" w:eastAsia="Arial" w:hAnsi="Arial" w:cs="Arial"/>
        </w:rPr>
      </w:pPr>
      <w:r>
        <w:rPr>
          <w:rFonts w:ascii="Arial" w:eastAsia="Arial" w:hAnsi="Arial" w:cs="Arial"/>
        </w:rPr>
        <w:t xml:space="preserve">3. ocjenu mogućnosti onečišćenja tla i podzemnih voda na lokaciji postrojenja relevantnim opasnim tvarima utvrđenima početnom provjerom iz točke 2. ovoga stavka, uzimajući u obzir način njihove uporabe, proizvodnje, skladištenja, prijenosa i ispuštanja, tehničke i organizacijske mjere za sprječavanje onečišćenja, značajke lokacije te sadašnju i, ako su podaci dostupni, prethodnu uporabu i stanje lokacije.</w:t>
      </w:r>
    </w:p>
    <w:p>
      <w:pPr>
        <w:pBdr/>
        <w:pStyle w:val="Normal"/>
        <w:spacing/>
        <w:ind/>
        <w:rPr>
          <w:rFonts w:ascii="Arial" w:eastAsia="Arial" w:hAnsi="Arial" w:cs="Arial"/>
        </w:rPr>
      </w:pPr>
      <w:r>
        <w:rPr>
          <w:rFonts w:ascii="Arial" w:eastAsia="Arial" w:hAnsi="Arial" w:cs="Arial"/>
        </w:rPr>
        <w:t xml:space="preserve">(5) Ako početnom provjerom iz stavka 4. točke 2. ovoga članka nije utvrđena nijedna relevantna opasna tvar, nije potrebno provesti ocjenu iz stavka 4. točke 3. ovoga članka.</w:t>
      </w:r>
    </w:p>
    <w:p>
      <w:pPr>
        <w:pBdr/>
        <w:pStyle w:val="Normal"/>
        <w:spacing/>
        <w:ind/>
        <w:rPr>
          <w:rFonts w:ascii="Arial" w:eastAsia="Arial" w:hAnsi="Arial" w:cs="Arial"/>
        </w:rPr>
      </w:pPr>
      <w:r>
        <w:rPr>
          <w:rFonts w:ascii="Arial" w:eastAsia="Arial" w:hAnsi="Arial" w:cs="Arial"/>
        </w:rPr>
        <w:t xml:space="preserve">(6) Analizu iz stavka 4. ovoga članka i temeljno izvješće ocjenjuju tijela nadležna prema propisima kojima se uređuje zaštita tla i voda te tijelo nadležno za upravljanje kemikalijama, svako u okviru svoje nadležnosti, i o rezultatima ocjene daju mišljenje Ministarstvu, koje pri utvrđivanju ili ocjeni rizika za zdravlje ljudi pribavlja i mišljenje javne ustanove za javnozdravstvenu zaštitu iz područja zdravstvene ekologije.</w:t>
      </w:r>
    </w:p>
    <w:p>
      <w:pPr>
        <w:pBdr/>
        <w:pStyle w:val="Normal"/>
        <w:spacing/>
        <w:ind/>
        <w:rPr>
          <w:rFonts w:ascii="Arial" w:eastAsia="Arial" w:hAnsi="Arial" w:cs="Arial"/>
        </w:rPr>
      </w:pPr>
      <w:r>
        <w:rPr>
          <w:rFonts w:ascii="Arial" w:eastAsia="Arial" w:hAnsi="Arial" w:cs="Arial"/>
        </w:rPr>
        <w:t xml:space="preserve">(7) Ako iz mišljenja iz stavka 6. ovoga članka proizlazi da analiza ili dokumentacija nisu dostatne za utvrđivanje obveze izrade temeljnog izvješća, Ministarstvo poziva operatera da u primjerenom roku izmijeni ili dopuni analizu odnosno dostavi potrebne dodatne podatke i dokumentaciju.</w:t>
      </w:r>
    </w:p>
    <w:p>
      <w:pPr>
        <w:pBdr/>
        <w:pStyle w:val="Normal"/>
        <w:spacing/>
        <w:ind/>
        <w:rPr>
          <w:rFonts w:ascii="Arial" w:eastAsia="Arial" w:hAnsi="Arial" w:cs="Arial"/>
        </w:rPr>
      </w:pPr>
    </w:p>
    <w:p>
      <w:pPr>
        <w:pBdr/>
        <w:pStyle w:val="Heading 2"/>
        <w:spacing/>
        <w:ind/>
        <w:rPr/>
      </w:pPr>
      <w:r>
        <w:rPr/>
        <w:t xml:space="preserve">Obveza izrade i suglasnost na temeljno izvješće</w:t>
      </w:r>
    </w:p>
    <w:p>
      <w:pPr>
        <w:pBdr/>
        <w:pStyle w:val="Heading 2"/>
        <w:spacing/>
        <w:ind/>
        <w:rPr/>
      </w:pPr>
      <w:r>
        <w:rPr/>
        <w:t xml:space="preserve">Članak 142.</w:t>
      </w:r>
    </w:p>
    <w:p>
      <w:pPr>
        <w:pBdr/>
        <w:pStyle w:val="Normal"/>
        <w:spacing/>
        <w:ind/>
        <w:rPr>
          <w:rFonts w:ascii="Arial" w:eastAsia="Arial" w:hAnsi="Arial" w:cs="Arial"/>
        </w:rPr>
      </w:pPr>
      <w:r>
        <w:rPr>
          <w:rFonts w:ascii="Arial" w:eastAsia="Arial" w:hAnsi="Arial" w:cs="Arial"/>
        </w:rPr>
        <w:t xml:space="preserve">(1) Ako iz analize iz članka 141. stavka 4. i mišljenja iz članka 141. stavka 6. ovoga Zakona proizlazi da nisu ispunjeni uvjeti iz članka 141. stavka 2. ovoga Zakona, Ministarstvo daje suglasnost na analizu kojom se utvrđuje da izrada temeljnog izvješća nije potrebna.</w:t>
      </w:r>
    </w:p>
    <w:p>
      <w:pPr>
        <w:pBdr/>
        <w:pStyle w:val="Normal"/>
        <w:spacing/>
        <w:ind/>
        <w:rPr>
          <w:rFonts w:ascii="Arial" w:eastAsia="Arial" w:hAnsi="Arial" w:cs="Arial"/>
        </w:rPr>
      </w:pPr>
      <w:r>
        <w:rPr>
          <w:rFonts w:ascii="Arial" w:eastAsia="Arial" w:hAnsi="Arial" w:cs="Arial"/>
        </w:rPr>
        <w:t xml:space="preserve">(2) Ako iz analize iz članka 141. stavka 4. i mišljenja iz članka 141. stavka 6. ovoga Zakona proizlazi da su ispunjeni uvjeti iz članka 141. stavka 2. ovoga Zakona, operater je dužan nastaviti izradu temeljnog izvješća u skladu s ovim Zakonom i pravilnikom iz članka 145. stavka 5. ovoga Zakona.</w:t>
      </w:r>
    </w:p>
    <w:p>
      <w:pPr>
        <w:pBdr/>
        <w:pStyle w:val="Normal"/>
        <w:spacing/>
        <w:ind/>
        <w:rPr>
          <w:rFonts w:ascii="Arial" w:eastAsia="Arial" w:hAnsi="Arial" w:cs="Arial"/>
        </w:rPr>
      </w:pPr>
      <w:r>
        <w:rPr>
          <w:rFonts w:ascii="Arial" w:eastAsia="Arial" w:hAnsi="Arial" w:cs="Arial"/>
        </w:rPr>
        <w:t xml:space="preserve">(3) Pri izradi temeljnog izvješća koriste se postojeći podaci o stanju tla i podzemnih voda, uključujući podatke o mjerenjima, ako odražavaju stanje lokacije u vrijeme izrade izvješća, pri čemu dodatna ispitivanja nisu potrebna ako su ti podaci dostatni za pouzdano i kvantificirano utvrđivanje stanja onečišćenosti tla i podzemnih voda relevantnim opasnim tvarima, a ako nisu dostatni, operater je dužan provesti potrebna dodatna ispitivanja u skladu s mišljenjima iz članka 141. stavka 6. ovoga Zakona i propisima kojima se uređuje zaštita tla odnosno voda.</w:t>
      </w:r>
    </w:p>
    <w:p>
      <w:pPr>
        <w:pBdr/>
        <w:pStyle w:val="Normal"/>
        <w:spacing/>
        <w:ind/>
        <w:rPr>
          <w:rFonts w:ascii="Arial" w:eastAsia="Arial" w:hAnsi="Arial" w:cs="Arial"/>
        </w:rPr>
      </w:pPr>
      <w:r>
        <w:rPr>
          <w:rFonts w:ascii="Arial" w:eastAsia="Arial" w:hAnsi="Arial" w:cs="Arial"/>
        </w:rPr>
        <w:t xml:space="preserve">(4) Ministarstvo daje suglasnost na temeljno izvješće ako iz mišljenja iz članka 141. stavka 6. ovoga Zakona proizlazi da se na temelju podataka sadržanih u izvješću može pouzdano i kvantificirano utvrditi stanje onečišćenosti tla i podzemnih voda relevantnim opasnim tvarima iz članka 141. stavka 3. ovoga Zakona.</w:t>
      </w:r>
    </w:p>
    <w:p>
      <w:pPr>
        <w:pBdr/>
        <w:pStyle w:val="Normal"/>
        <w:spacing/>
        <w:ind/>
        <w:rPr>
          <w:rFonts w:ascii="Arial" w:eastAsia="Arial" w:hAnsi="Arial" w:cs="Arial"/>
        </w:rPr>
      </w:pPr>
      <w:r>
        <w:rPr>
          <w:rFonts w:ascii="Arial" w:eastAsia="Arial" w:hAnsi="Arial" w:cs="Arial"/>
        </w:rPr>
        <w:t xml:space="preserve">(5) Suglasnosti iz stavaka 1. i 4. ovoga članka nisu upravni akti, a operater može podnijeti zahtjev za izdavanje okolišne dozvole odnosno, u slučaju promjene iz članka 141. stavka 4. ovoga Zakona, zahtjev za njezinu izmjenu i/ili dopunu nakon što ishodi suglasnost iz stavka 1. odnosno stavka 4. ovoga članka.</w:t>
      </w:r>
    </w:p>
    <w:p>
      <w:pPr>
        <w:pBdr/>
        <w:pStyle w:val="Normal"/>
        <w:spacing/>
        <w:ind/>
        <w:rPr>
          <w:rFonts w:ascii="Arial" w:eastAsia="Arial" w:hAnsi="Arial" w:cs="Arial"/>
        </w:rPr>
      </w:pPr>
    </w:p>
    <w:p>
      <w:pPr>
        <w:pBdr/>
        <w:pStyle w:val="Heading 2"/>
        <w:spacing/>
        <w:ind/>
        <w:rPr/>
      </w:pPr>
      <w:r>
        <w:rPr/>
        <w:t xml:space="preserve">Zatečeno onečišćenje utvrđeno u postupku ocjene temeljnog izvješća</w:t>
      </w:r>
    </w:p>
    <w:p>
      <w:pPr>
        <w:pBdr/>
        <w:pStyle w:val="Heading 2"/>
        <w:spacing/>
        <w:ind/>
        <w:rPr/>
      </w:pPr>
      <w:r>
        <w:rPr/>
        <w:t xml:space="preserve">Članak 143.</w:t>
      </w:r>
    </w:p>
    <w:p>
      <w:pPr>
        <w:pBdr/>
        <w:pStyle w:val="Normal"/>
        <w:spacing/>
        <w:ind/>
        <w:rPr>
          <w:rFonts w:ascii="Arial" w:eastAsia="Arial" w:hAnsi="Arial" w:cs="Arial"/>
        </w:rPr>
      </w:pPr>
      <w:r>
        <w:rPr>
          <w:rFonts w:ascii="Arial" w:eastAsia="Arial" w:hAnsi="Arial" w:cs="Arial"/>
        </w:rPr>
        <w:t xml:space="preserve">(1) Ako iz temeljnog izvješća i mišljenja tijela iz članka 141. stavka 6. ovoga Zakona proizlazi da zatečeno onečišćenje tla i/ili podzemnih voda relevantnim opasnim tvarima predstavlja značajan rizik za zdravlje ljudi i/ili okoliš, Ministarstvo odmah obavješćuje tijelo nadležno za inspekcijske poslove u području zaštite okoliša te mu dostavlja temeljno izvješće, pribavljena mišljenja i drugu raspoloživu dokumentaciju radi provedbe inspekcijskog odnosno koordiniranog inspekcijskog nadzora.</w:t>
      </w:r>
    </w:p>
    <w:p>
      <w:pPr>
        <w:pBdr/>
        <w:pStyle w:val="Normal"/>
        <w:spacing/>
        <w:ind/>
        <w:rPr>
          <w:rFonts w:ascii="Arial" w:eastAsia="Arial" w:hAnsi="Arial" w:cs="Arial"/>
        </w:rPr>
      </w:pPr>
      <w:r>
        <w:rPr>
          <w:rFonts w:ascii="Arial" w:eastAsia="Arial" w:hAnsi="Arial" w:cs="Arial"/>
        </w:rPr>
        <w:t xml:space="preserve">(2) Stanje onečišćenosti tla i podzemnih voda utvrđeno u temeljnom izvješću služi kao referentna osnova za utvrđivanje promjene toga stanja nakon konačnog prestanka aktivnosti.</w:t>
      </w:r>
    </w:p>
    <w:p>
      <w:pPr>
        <w:pBdr/>
        <w:pStyle w:val="Normal"/>
        <w:spacing/>
        <w:ind/>
        <w:rPr>
          <w:rFonts w:ascii="Arial" w:eastAsia="Arial" w:hAnsi="Arial" w:cs="Arial"/>
        </w:rPr>
      </w:pPr>
      <w:r>
        <w:rPr>
          <w:rFonts w:ascii="Arial" w:eastAsia="Arial" w:hAnsi="Arial" w:cs="Arial"/>
        </w:rPr>
        <w:t xml:space="preserve">(3) Davanje suglasnosti na temeljno izvješće ne utječe na provedbu mjera određenih u inspekcijskom odnosno koordiniranom inspekcijskom nadzoru.</w:t>
      </w:r>
    </w:p>
    <w:p>
      <w:pPr>
        <w:pBdr/>
        <w:pStyle w:val="Normal"/>
        <w:spacing/>
        <w:ind/>
        <w:rPr>
          <w:rFonts w:ascii="Arial" w:eastAsia="Arial" w:hAnsi="Arial" w:cs="Arial"/>
        </w:rPr>
      </w:pPr>
      <w:r>
        <w:rPr>
          <w:rFonts w:ascii="Arial" w:eastAsia="Arial" w:hAnsi="Arial" w:cs="Arial"/>
        </w:rPr>
        <w:t xml:space="preserve">(4) Ako je u slučaju iz stavka 1. ovoga članka potrebno poduzeti mjere radi uklanjanja, kontrole, ograničavanja ili smanjenja zatečenog onečišćenja odnosno rizika za zdravlje ljudi i/ili okoliš, okolišna dozvola može se izdati odnosno izmijeniti i/ili dopuniti nakon što su u inspekcijskom odnosno koordiniranom inspekcijskom nadzoru određene mjere koje je potrebno provesti i, ako je primjenjivo, uvjeti pod kojima se može obavljati djelatnost postrojenja s obzirom na utvrđeno onečišćenje i određene mjere.</w:t>
      </w:r>
    </w:p>
    <w:p>
      <w:pPr>
        <w:pBdr/>
        <w:pStyle w:val="Normal"/>
        <w:spacing/>
        <w:ind/>
        <w:rPr>
          <w:rFonts w:ascii="Arial" w:eastAsia="Arial" w:hAnsi="Arial" w:cs="Arial"/>
        </w:rPr>
      </w:pPr>
      <w:r>
        <w:rPr>
          <w:rFonts w:ascii="Arial" w:eastAsia="Arial" w:hAnsi="Arial" w:cs="Arial"/>
        </w:rPr>
        <w:t xml:space="preserve">(5) Ako se zbog provedbe mjera iz stavka 4. ovoga članka promijeni stanje onečišćenosti tla ili podzemnih voda utvrđeno u temeljnom izvješću, operater je dužan odgovarajuće izmijeniti ili dopuniti temeljno izvješće i ishoditi suglasnost Ministarstva na izmijenjeno ili dopunjeno izvješće.</w:t>
      </w:r>
    </w:p>
    <w:p>
      <w:pPr>
        <w:pBdr/>
        <w:pStyle w:val="Normal"/>
        <w:spacing/>
        <w:ind/>
        <w:rPr>
          <w:rFonts w:ascii="Arial" w:eastAsia="Arial" w:hAnsi="Arial" w:cs="Arial"/>
        </w:rPr>
      </w:pPr>
    </w:p>
    <w:p>
      <w:pPr>
        <w:pBdr/>
        <w:pStyle w:val="Heading 1"/>
        <w:spacing/>
        <w:ind/>
        <w:rPr/>
      </w:pPr>
      <w:r>
        <w:rPr/>
        <w:t xml:space="preserve">ODJELJAK 2. KONAČNI PRESTANAK AKTIVNOSTI</w:t>
      </w:r>
    </w:p>
    <w:p>
      <w:pPr>
        <w:pBdr/>
        <w:pStyle w:val="Heading 2"/>
        <w:spacing/>
        <w:ind/>
        <w:rPr/>
      </w:pPr>
      <w:r>
        <w:rPr/>
        <w:t xml:space="preserve">Konačni prestanak aktivnosti i izvješće o stanju lokacije</w:t>
      </w:r>
    </w:p>
    <w:p>
      <w:pPr>
        <w:pBdr/>
        <w:pStyle w:val="Heading 2"/>
        <w:spacing/>
        <w:ind/>
        <w:rPr/>
      </w:pPr>
      <w:r>
        <w:rPr/>
        <w:t xml:space="preserve">Članak 144.</w:t>
      </w:r>
    </w:p>
    <w:p>
      <w:pPr>
        <w:pBdr/>
        <w:pStyle w:val="Normal"/>
        <w:spacing/>
        <w:ind/>
        <w:rPr>
          <w:rFonts w:ascii="Arial" w:eastAsia="Arial" w:hAnsi="Arial" w:cs="Arial"/>
        </w:rPr>
      </w:pPr>
      <w:r>
        <w:rPr>
          <w:rFonts w:ascii="Arial" w:eastAsia="Arial" w:hAnsi="Arial" w:cs="Arial"/>
        </w:rPr>
        <w:t xml:space="preserve">(1) Operater je dužan pisanim putem obavijestiti Ministarstvo o donošenju odluke o trajnom prestanku obavljanja aktivnosti u postrojenju najkasnije u roku od 15 dana od dana donošenja te odluke.</w:t>
      </w:r>
    </w:p>
    <w:p>
      <w:pPr>
        <w:pBdr/>
        <w:pStyle w:val="Normal"/>
        <w:spacing/>
        <w:ind/>
        <w:rPr>
          <w:rFonts w:ascii="Arial" w:eastAsia="Arial" w:hAnsi="Arial" w:cs="Arial"/>
        </w:rPr>
      </w:pPr>
      <w:r>
        <w:rPr>
          <w:rFonts w:ascii="Arial" w:eastAsia="Arial" w:hAnsi="Arial" w:cs="Arial"/>
        </w:rPr>
        <w:t xml:space="preserve">(2) Operater je dužan u roku od 90 dana od dana donošenja odluke iz stavka 1. ovoga članka podnijeti Ministarstvu zahtjev za ukidanje okolišne dozvole te, ako ima obvezu izrade temeljnog izvješća, uz zahtjev priložiti izvješće o stanju lokacije koje sadrži:</w:t>
      </w:r>
    </w:p>
    <w:p>
      <w:pPr>
        <w:pBdr/>
        <w:pStyle w:val="Normal"/>
        <w:spacing/>
        <w:ind/>
        <w:rPr>
          <w:rFonts w:ascii="Arial" w:eastAsia="Arial" w:hAnsi="Arial" w:cs="Arial"/>
        </w:rPr>
      </w:pPr>
      <w:r>
        <w:rPr>
          <w:rFonts w:ascii="Arial" w:eastAsia="Arial" w:hAnsi="Arial" w:cs="Arial"/>
        </w:rPr>
        <w:t xml:space="preserve">1. podatke o stanju onečišćenosti tla i podzemnih voda relevantnim opasnim tvarima</w:t>
      </w:r>
    </w:p>
    <w:p>
      <w:pPr>
        <w:pBdr/>
        <w:pStyle w:val="Normal"/>
        <w:spacing/>
        <w:ind/>
        <w:rPr>
          <w:rFonts w:ascii="Arial" w:eastAsia="Arial" w:hAnsi="Arial" w:cs="Arial"/>
        </w:rPr>
      </w:pPr>
      <w:r>
        <w:rPr>
          <w:rFonts w:ascii="Arial" w:eastAsia="Arial" w:hAnsi="Arial" w:cs="Arial"/>
        </w:rPr>
        <w:t xml:space="preserve">2. usporedbu sa stanjem utvrđenim u temeljnom izvješću te podatke i dokumentaciju potrebne za utvrđivanje je li i u kojoj mjeri došlo do promjene toga stanja</w:t>
      </w:r>
    </w:p>
    <w:p>
      <w:pPr>
        <w:pBdr/>
        <w:pStyle w:val="Normal"/>
        <w:spacing/>
        <w:ind/>
        <w:rPr>
          <w:rFonts w:ascii="Arial" w:eastAsia="Arial" w:hAnsi="Arial" w:cs="Arial"/>
        </w:rPr>
      </w:pPr>
      <w:r>
        <w:rPr>
          <w:rFonts w:ascii="Arial" w:eastAsia="Arial" w:hAnsi="Arial" w:cs="Arial"/>
        </w:rPr>
        <w:t xml:space="preserve">3. ako je utvrđeno onečišćenje koje je posljedica dozvoljenih aktivnosti operatera provedenih prije izrade temeljnog izvješća, podatke i dokumentaciju potrebne za ocjenu predstavlja li takvo onečišćenje značajan rizik za zdravlje ljudi ili okoliš, uzimajući u obzir trenutačnu ili buduću odobrenu namjenu lokacije</w:t>
      </w:r>
    </w:p>
    <w:p>
      <w:pPr>
        <w:pBdr/>
        <w:pStyle w:val="Normal"/>
        <w:spacing/>
        <w:ind/>
        <w:rPr>
          <w:rFonts w:ascii="Arial" w:eastAsia="Arial" w:hAnsi="Arial" w:cs="Arial"/>
        </w:rPr>
      </w:pPr>
      <w:r>
        <w:rPr>
          <w:rFonts w:ascii="Arial" w:eastAsia="Arial" w:hAnsi="Arial" w:cs="Arial"/>
        </w:rPr>
        <w:t xml:space="preserve">4. ako iz izvješća proizlazi potreba za poduzimanjem mjera, prijedlog mjera i rokova za njihovu provedbu.</w:t>
      </w:r>
    </w:p>
    <w:p>
      <w:pPr>
        <w:pBdr/>
        <w:pStyle w:val="Normal"/>
        <w:spacing/>
        <w:ind/>
        <w:rPr>
          <w:rFonts w:ascii="Arial" w:eastAsia="Arial" w:hAnsi="Arial" w:cs="Arial"/>
        </w:rPr>
      </w:pPr>
      <w:r>
        <w:rPr>
          <w:rFonts w:ascii="Arial" w:eastAsia="Arial" w:hAnsi="Arial" w:cs="Arial"/>
        </w:rPr>
        <w:t xml:space="preserve">(3) Uzorkovanje, laboratorijska ispitivanja i mjerenja tla i podzemnih voda za potrebe izrade temeljnog izvješća i izvješća o stanju lokacije provode se u skladu s propisima kojima se uređuje zaštita tla odnosno voda.</w:t>
      </w:r>
    </w:p>
    <w:p>
      <w:pPr>
        <w:pBdr/>
        <w:pStyle w:val="Normal"/>
        <w:spacing/>
        <w:ind/>
        <w:rPr>
          <w:rFonts w:ascii="Arial" w:eastAsia="Arial" w:hAnsi="Arial" w:cs="Arial"/>
        </w:rPr>
      </w:pPr>
      <w:r>
        <w:rPr>
          <w:rFonts w:ascii="Arial" w:eastAsia="Arial" w:hAnsi="Arial" w:cs="Arial"/>
        </w:rPr>
        <w:t xml:space="preserve">(4) Ako je postrojenje uzrokovalo značajno onečišćenje tla ili podzemnih voda relevantnim opasnim tvarima u usporedbi sa stanjem utvrđenim u temeljnom izvješću, operater je dužan poduzeti mjere radi vraćanja lokacije u stanje utvrđeno temeljnim izvješćem, uzimajući u obzir tehničku izvedivost tih mjera.</w:t>
      </w:r>
    </w:p>
    <w:p>
      <w:pPr>
        <w:pBdr/>
        <w:pStyle w:val="Normal"/>
        <w:spacing/>
        <w:ind/>
        <w:rPr>
          <w:rFonts w:ascii="Arial" w:eastAsia="Arial" w:hAnsi="Arial" w:cs="Arial"/>
        </w:rPr>
      </w:pPr>
      <w:r>
        <w:rPr>
          <w:rFonts w:ascii="Arial" w:eastAsia="Arial" w:hAnsi="Arial" w:cs="Arial"/>
        </w:rPr>
        <w:t xml:space="preserve">(5) Uz obvezu iz stavka 4. ovoga članka, ako onečišćenje tla i podzemnih voda koje je nastalo kao posljedica dozvoljenih aktivnosti operatera provedenih prije izrade temeljnog izvješća predstavlja značajan rizik za zdravlje ljudi i/ili okoliš, operater je dužan nakon </w:t>
      </w:r>
      <w:r>
        <w:rPr>
          <w:rFonts w:ascii="Arial" w:eastAsia="Arial" w:hAnsi="Arial" w:cs="Arial"/>
        </w:rPr>
        <w:t xml:space="preserve">konačnog prestanka aktivnosti poduzeti potrebne mjere uklanjanja, kontrole, ograničavanja ili smanjenja relevantnih opasnih tvari kako lokacija, s obzirom na njezinu trenutačnu ili buduću odobrenu namjenu, više ne bi predstavljala takav rizik.</w:t>
      </w:r>
    </w:p>
    <w:p>
      <w:pPr>
        <w:pBdr/>
        <w:pStyle w:val="Normal"/>
        <w:spacing/>
        <w:ind/>
        <w:rPr>
          <w:rFonts w:ascii="Arial" w:eastAsia="Arial" w:hAnsi="Arial" w:cs="Arial"/>
        </w:rPr>
      </w:pPr>
    </w:p>
    <w:p>
      <w:pPr>
        <w:pBdr/>
        <w:pStyle w:val="Heading 2"/>
        <w:spacing/>
        <w:ind/>
        <w:rPr/>
      </w:pPr>
      <w:r>
        <w:rPr/>
        <w:t xml:space="preserve">Ukidanje okolišne dozvole nakon konačnog prestanka aktivnosti</w:t>
      </w:r>
    </w:p>
    <w:p>
      <w:pPr>
        <w:pBdr/>
        <w:pStyle w:val="Heading 2"/>
        <w:spacing/>
        <w:ind/>
        <w:rPr/>
      </w:pPr>
      <w:r>
        <w:rPr/>
        <w:t xml:space="preserve">Članak 145.</w:t>
      </w:r>
    </w:p>
    <w:p>
      <w:pPr>
        <w:pBdr/>
        <w:pStyle w:val="Normal"/>
        <w:spacing/>
        <w:ind/>
        <w:rPr>
          <w:rFonts w:ascii="Arial" w:eastAsia="Arial" w:hAnsi="Arial" w:cs="Arial"/>
        </w:rPr>
      </w:pPr>
      <w:r>
        <w:rPr>
          <w:rFonts w:ascii="Arial" w:eastAsia="Arial" w:hAnsi="Arial" w:cs="Arial"/>
        </w:rPr>
        <w:t xml:space="preserve">(1) Nakon zaprimanja zahtjeva i izvješća iz članka 144. stavka 2. ovoga Zakona Ministarstvo pribavlja mišljenja tijela iz članka 141. stavka 6. ovoga Zakona te na temelju tih mišljenja rješenjem ukida okolišnu dozvolu u dijelu koji se odnosi na uvjete za redovno obavljanje djelatnosti postrojenja, zadržava na snazi uvjete za zatvaranje postrojenja i, ako utvrdi postojanje obveze iz članka 144. stavaka 4. ili 5. ovoga Zakona, određuje potrebne mjere i rokove za njihovu provedbu.</w:t>
      </w:r>
    </w:p>
    <w:p>
      <w:pPr>
        <w:pBdr/>
        <w:pStyle w:val="Normal"/>
        <w:spacing/>
        <w:ind/>
        <w:rPr>
          <w:rFonts w:ascii="Arial" w:eastAsia="Arial" w:hAnsi="Arial" w:cs="Arial"/>
        </w:rPr>
      </w:pPr>
      <w:r>
        <w:rPr>
          <w:rFonts w:ascii="Arial" w:eastAsia="Arial" w:hAnsi="Arial" w:cs="Arial"/>
        </w:rPr>
        <w:t xml:space="preserve">(2) Ministarstvo rješenjem ukida okolišnu dozvolu u cijelosti na temelju zapisnika odnosno objedinjenog izvješća o provedenom inspekcijskom nadzoru kojim je utvrđeno da je operater u cijelosti ispunio uvjete za zatvaranje postrojenja, uključujući mjere određene rješenjem iz stavka 1. ovoga članka.</w:t>
      </w:r>
    </w:p>
    <w:p>
      <w:pPr>
        <w:pBdr/>
        <w:pStyle w:val="Normal"/>
        <w:spacing/>
        <w:ind/>
        <w:rPr>
          <w:rFonts w:ascii="Arial" w:eastAsia="Arial" w:hAnsi="Arial" w:cs="Arial"/>
        </w:rPr>
      </w:pPr>
      <w:r>
        <w:rPr>
          <w:rFonts w:ascii="Arial" w:eastAsia="Arial" w:hAnsi="Arial" w:cs="Arial"/>
        </w:rPr>
        <w:t xml:space="preserve">(3) Ministarstvo informira javnost o rješenjima iz stavaka 1. i 2. ovoga članka objavom na svojim mrežnim stranicama.</w:t>
      </w:r>
    </w:p>
    <w:p>
      <w:pPr>
        <w:pBdr/>
        <w:pStyle w:val="Normal"/>
        <w:spacing/>
        <w:ind/>
        <w:rPr>
          <w:rFonts w:ascii="Arial" w:eastAsia="Arial" w:hAnsi="Arial" w:cs="Arial"/>
        </w:rPr>
      </w:pPr>
      <w:r>
        <w:rPr>
          <w:rFonts w:ascii="Arial" w:eastAsia="Arial" w:hAnsi="Arial" w:cs="Arial"/>
        </w:rPr>
        <w:t xml:space="preserve">(4) Protiv rješenja iz stavaka 1. i 2. ovoga članka žalba nije dopuštena, ali se može pokrenuti upravni spor.</w:t>
      </w:r>
    </w:p>
    <w:p>
      <w:pPr>
        <w:pBdr/>
        <w:pStyle w:val="Normal"/>
        <w:spacing/>
        <w:ind/>
        <w:rPr>
          <w:rFonts w:ascii="Arial" w:eastAsia="Arial" w:hAnsi="Arial" w:cs="Arial"/>
        </w:rPr>
      </w:pPr>
      <w:r>
        <w:rPr>
          <w:rFonts w:ascii="Arial" w:eastAsia="Arial" w:hAnsi="Arial" w:cs="Arial"/>
        </w:rPr>
        <w:t xml:space="preserve">(5) Ministar pravilnikom propisuje:</w:t>
      </w:r>
    </w:p>
    <w:p>
      <w:pPr>
        <w:pBdr/>
        <w:pStyle w:val="Normal"/>
        <w:spacing/>
        <w:ind/>
        <w:rPr>
          <w:rFonts w:ascii="Arial" w:eastAsia="Arial" w:hAnsi="Arial" w:cs="Arial"/>
        </w:rPr>
      </w:pPr>
      <w:r>
        <w:rPr>
          <w:rFonts w:ascii="Arial" w:eastAsia="Arial" w:hAnsi="Arial" w:cs="Arial"/>
        </w:rPr>
        <w:t xml:space="preserve">1. pobliži sadržaj analize mogućnosti onečišćenja tla i podzemnih voda iz članka 141. stavka 4. ovoga Zakona, temeljnog izvješća i izvješća o stanju lokacije i sustavne procjene rizika iz članka 115. ovoga Zakona</w:t>
      </w:r>
    </w:p>
    <w:p>
      <w:pPr>
        <w:pBdr/>
        <w:pStyle w:val="Normal"/>
        <w:spacing/>
        <w:ind/>
        <w:rPr>
          <w:rFonts w:ascii="Arial" w:eastAsia="Arial" w:hAnsi="Arial" w:cs="Arial"/>
        </w:rPr>
      </w:pPr>
      <w:r>
        <w:rPr>
          <w:rFonts w:ascii="Arial" w:eastAsia="Arial" w:hAnsi="Arial" w:cs="Arial"/>
        </w:rPr>
        <w:t xml:space="preserve">2. faze i način njihove izrade i razmatranja te podatke, dokumentaciju i dokaze koji se uz njih prilažu</w:t>
      </w:r>
    </w:p>
    <w:p>
      <w:pPr>
        <w:pBdr/>
        <w:pStyle w:val="Normal"/>
        <w:spacing/>
        <w:ind/>
        <w:rPr>
          <w:rFonts w:ascii="Arial" w:eastAsia="Arial" w:hAnsi="Arial" w:cs="Arial"/>
        </w:rPr>
      </w:pPr>
      <w:r>
        <w:rPr>
          <w:rFonts w:ascii="Arial" w:eastAsia="Arial" w:hAnsi="Arial" w:cs="Arial"/>
        </w:rPr>
        <w:t xml:space="preserve">3. popis odnosno kategorije opasnih tvari i količinske pragove za potrebe početne provjere njihove relevantnosti iz članka 141. stavka 4. točke 2. ovoga Zakona</w:t>
      </w:r>
    </w:p>
    <w:p>
      <w:pPr>
        <w:pBdr/>
        <w:pStyle w:val="Normal"/>
        <w:spacing/>
        <w:ind/>
        <w:rPr>
          <w:rFonts w:ascii="Arial" w:eastAsia="Arial" w:hAnsi="Arial" w:cs="Arial"/>
        </w:rPr>
      </w:pPr>
      <w:r>
        <w:rPr>
          <w:rFonts w:ascii="Arial" w:eastAsia="Arial" w:hAnsi="Arial" w:cs="Arial"/>
        </w:rPr>
        <w:t xml:space="preserve">4. način sudjelovanja tijela iz članka 141. stavka 6. ovoga Zakona i način davanja mišljenja.</w:t>
      </w:r>
    </w:p>
    <w:p>
      <w:pPr>
        <w:pBdr/>
        <w:pStyle w:val="Normal"/>
        <w:spacing/>
        <w:ind/>
        <w:rPr>
          <w:rFonts w:ascii="Arial" w:eastAsia="Arial" w:hAnsi="Arial" w:cs="Arial"/>
        </w:rPr>
      </w:pPr>
    </w:p>
    <w:p>
      <w:pPr>
        <w:pBdr/>
        <w:pStyle w:val="Heading 2"/>
        <w:spacing/>
        <w:ind/>
        <w:rPr/>
      </w:pPr>
      <w:r>
        <w:rPr/>
        <w:t xml:space="preserve">Konačni prestanak aktivnosti bez temeljnog izvješća</w:t>
      </w:r>
    </w:p>
    <w:p>
      <w:pPr>
        <w:pBdr/>
        <w:pStyle w:val="Heading 2"/>
        <w:spacing/>
        <w:ind/>
        <w:rPr/>
      </w:pPr>
      <w:r>
        <w:rPr/>
        <w:t xml:space="preserve">Članak 146.</w:t>
      </w:r>
    </w:p>
    <w:p>
      <w:pPr>
        <w:pBdr/>
        <w:pStyle w:val="Normal"/>
        <w:spacing/>
        <w:ind/>
        <w:rPr>
          <w:rFonts w:ascii="Arial" w:eastAsia="Arial" w:hAnsi="Arial" w:cs="Arial"/>
        </w:rPr>
      </w:pPr>
      <w:r>
        <w:rPr>
          <w:rFonts w:ascii="Arial" w:eastAsia="Arial" w:hAnsi="Arial" w:cs="Arial"/>
        </w:rPr>
        <w:t xml:space="preserve">(1) Operater koji nema obvezu izrade temeljnog izvješća dužan je nakon konačnog prestanka aktivnosti u postrojenju poduzeti potrebne mjere uklanjanja, kontrole, ograničavanja ili smanjenja relevantnih opasnih tvari kako lokacija, uzimajući u obzir njezinu trenutačnu ili buduću odobrenu namjenu, više ne bi predstavljala značajan rizik za zdravlje ljudi i/ili okoliš zbog onečišćenja tla i podzemnih voda nastalog obavljanjem dozvoljenih aktivnosti, uzimajući u obzir stanje lokacije utvrđeno u postupku izdavanja okolišne dozvole.</w:t>
      </w:r>
    </w:p>
    <w:p>
      <w:pPr>
        <w:pBdr/>
        <w:pStyle w:val="Normal"/>
        <w:spacing/>
        <w:ind/>
        <w:rPr>
          <w:rFonts w:ascii="Arial" w:eastAsia="Arial" w:hAnsi="Arial" w:cs="Arial"/>
        </w:rPr>
      </w:pPr>
      <w:r>
        <w:rPr>
          <w:rFonts w:ascii="Arial" w:eastAsia="Arial" w:hAnsi="Arial" w:cs="Arial"/>
        </w:rPr>
        <w:t xml:space="preserve">(2) Nakon zaprimanja zahtjeva za ukidanje okolišne dozvole iz članka 144. stavka 2. ovoga Zakona Ministarstvo obavješćuje tijelo nadležno za inspekcijske poslove u području zaštite okoliša radi provedbe inspekcijskog odnosno koordiniranog inspekcijskog nadzora kojim se utvrđuje ispunjenost uvjeta za zatvaranje postrojenja.</w:t>
      </w:r>
    </w:p>
    <w:p>
      <w:pPr>
        <w:pBdr/>
        <w:pStyle w:val="Normal"/>
        <w:spacing/>
        <w:ind/>
        <w:rPr>
          <w:rFonts w:ascii="Arial" w:eastAsia="Arial" w:hAnsi="Arial" w:cs="Arial"/>
        </w:rPr>
      </w:pPr>
      <w:r>
        <w:rPr>
          <w:rFonts w:ascii="Arial" w:eastAsia="Arial" w:hAnsi="Arial" w:cs="Arial"/>
        </w:rPr>
        <w:t xml:space="preserve">(3) Ako se u nadzoru iz stavka 2. ovoga članka utvrdi da je radi ispunjavanja obveze iz stavka 1. ovoga članka potrebno poduzeti mjere, inspektor rješenjem naređuje operateru njihovo poduzimanje, određuje rokove za provedbu i nadzire njihovo izvršenje.</w:t>
      </w:r>
    </w:p>
    <w:p>
      <w:pPr>
        <w:pBdr/>
        <w:pStyle w:val="Normal"/>
        <w:spacing/>
        <w:ind/>
        <w:rPr>
          <w:rFonts w:ascii="Arial" w:eastAsia="Arial" w:hAnsi="Arial" w:cs="Arial"/>
        </w:rPr>
      </w:pPr>
      <w:r>
        <w:rPr>
          <w:rFonts w:ascii="Arial" w:eastAsia="Arial" w:hAnsi="Arial" w:cs="Arial"/>
        </w:rPr>
        <w:t xml:space="preserve">(4) Ministarstvo rješenjem ukida okolišnu dozvolu nakon zaprimanja zapisnika odnosno objedinjenog izvješća o provedenom inspekcijskom odnosno koordiniranom inspekcijskom nadzoru kojim je utvrđeno da mjere iz stavka 3. ovoga članka nisu potrebne odnosno da su određene mjere u cijelosti izvršene i da su ispunjeni uvjeti za zatvaranje postrojenja.</w:t>
      </w:r>
    </w:p>
    <w:p>
      <w:pPr>
        <w:pBdr/>
        <w:pStyle w:val="Normal"/>
        <w:spacing/>
        <w:ind/>
        <w:rPr>
          <w:rFonts w:ascii="Arial" w:eastAsia="Arial" w:hAnsi="Arial" w:cs="Arial"/>
          <w:b/>
        </w:rPr>
      </w:pPr>
    </w:p>
    <w:p>
      <w:pPr>
        <w:pBdr/>
        <w:pStyle w:val="Heading 1"/>
        <w:spacing/>
        <w:ind/>
        <w:rPr>
          <w:rFonts w:ascii="Arial" w:eastAsia="Arial" w:hAnsi="Arial" w:cs="Arial"/>
          <w:szCs w:val="24"/>
        </w:rPr>
      </w:pPr>
      <w:r>
        <w:rPr>
          <w:rFonts w:ascii="Arial" w:eastAsia="Arial" w:hAnsi="Arial" w:cs="Arial"/>
          <w:szCs w:val="24"/>
        </w:rPr>
        <w:t xml:space="preserve">POGLAVLJE IX. RAD POSTROJENJA ISPOD GRANIČNIH VRIJEDNOSTI POKAZATELJA</w:t>
      </w:r>
    </w:p>
    <w:p>
      <w:pPr>
        <w:pBdr/>
        <w:pStyle w:val="Heading 2"/>
        <w:spacing/>
        <w:ind/>
        <w:rPr/>
      </w:pPr>
      <w:r>
        <w:rPr/>
        <w:t xml:space="preserve">Zahtjev za izdavanje rješenja za rad postrojenja ispod praga kapaciteta</w:t>
      </w:r>
    </w:p>
    <w:p>
      <w:pPr>
        <w:pBdr/>
        <w:pStyle w:val="Heading 2"/>
        <w:spacing/>
        <w:ind/>
        <w:rPr/>
      </w:pPr>
      <w:r>
        <w:rPr/>
        <w:t xml:space="preserve">Članak 147.</w:t>
      </w:r>
    </w:p>
    <w:p>
      <w:pPr>
        <w:pBdr/>
        <w:pStyle w:val="Normal"/>
        <w:spacing/>
        <w:ind/>
        <w:rPr>
          <w:rFonts w:ascii="Arial" w:eastAsia="Arial" w:hAnsi="Arial" w:cs="Arial"/>
        </w:rPr>
      </w:pPr>
      <w:r>
        <w:rPr>
          <w:rFonts w:ascii="Arial" w:eastAsia="Arial" w:hAnsi="Arial" w:cs="Arial"/>
        </w:rPr>
        <w:t xml:space="preserve">(1) Iznimno od članka 76. stavka 3. ovoga Zakona, operater postojećeg postrojenja čiji kapacitet doseže ili prelazi prag kapaciteta za obvezu ishođenja okolišne dozvole može podnijeti Ministarstvu zahtjev za izdavanje rješenja kojim se utvrđuju uvjeti za rad postrojenja bez okolišne dozvole uz dopušteni prag rada koji je niži od praga kapaciteta za obvezu ishođenja okolišne dozvole i nije viši od najvećeg dopuštenog praga rada propisanog uredbom iz članka 76. stavka 5. ovoga Zakona za pojedinu djelatnost.</w:t>
      </w:r>
    </w:p>
    <w:p>
      <w:pPr>
        <w:pBdr/>
        <w:pStyle w:val="Normal"/>
        <w:spacing/>
        <w:ind/>
        <w:rPr>
          <w:rFonts w:ascii="Arial" w:eastAsia="Arial" w:hAnsi="Arial" w:cs="Arial"/>
        </w:rPr>
      </w:pPr>
      <w:r>
        <w:rPr>
          <w:rFonts w:ascii="Arial" w:eastAsia="Arial" w:hAnsi="Arial" w:cs="Arial"/>
        </w:rPr>
        <w:t xml:space="preserve">(2) Zahtjev iz stavka 1. ovoga članka sadrži:</w:t>
      </w:r>
    </w:p>
    <w:p>
      <w:pPr>
        <w:pBdr/>
        <w:pStyle w:val="Normal"/>
        <w:spacing/>
        <w:ind/>
        <w:rPr>
          <w:rFonts w:ascii="Arial" w:eastAsia="Arial" w:hAnsi="Arial" w:cs="Arial"/>
        </w:rPr>
      </w:pPr>
      <w:r>
        <w:rPr>
          <w:rFonts w:ascii="Arial" w:eastAsia="Arial" w:hAnsi="Arial" w:cs="Arial"/>
        </w:rPr>
        <w:t xml:space="preserve">1. podatke o operateru</w:t>
      </w:r>
    </w:p>
    <w:p>
      <w:pPr>
        <w:pBdr/>
        <w:pStyle w:val="Normal"/>
        <w:spacing/>
        <w:ind/>
        <w:rPr>
          <w:rFonts w:ascii="Arial" w:eastAsia="Arial" w:hAnsi="Arial" w:cs="Arial"/>
        </w:rPr>
      </w:pPr>
      <w:r>
        <w:rPr>
          <w:rFonts w:ascii="Arial" w:eastAsia="Arial" w:hAnsi="Arial" w:cs="Arial"/>
        </w:rPr>
        <w:t xml:space="preserve">2. podatke o lokaciji i postrojenju</w:t>
      </w:r>
    </w:p>
    <w:p>
      <w:pPr>
        <w:pBdr/>
        <w:pStyle w:val="Normal"/>
        <w:spacing/>
        <w:ind/>
        <w:rPr>
          <w:rFonts w:ascii="Arial" w:eastAsia="Arial" w:hAnsi="Arial" w:cs="Arial"/>
        </w:rPr>
      </w:pPr>
      <w:r>
        <w:rPr>
          <w:rFonts w:ascii="Arial" w:eastAsia="Arial" w:hAnsi="Arial" w:cs="Arial"/>
        </w:rPr>
        <w:t xml:space="preserve">3. tehničko-</w:t>
      </w:r>
      <w:r>
        <w:rPr>
          <w:rFonts w:ascii="Arial" w:eastAsia="Arial" w:hAnsi="Arial" w:cs="Arial"/>
        </w:rPr>
        <w:t xml:space="preserve">tehnološki opis postrojenja i djelatnosti, uključujući opis tehnološkog procesa, instalirani kapacitet te osnovne podatke o sirovinama, pomoćnim materijalima, drugim tvarima i energiji koji se koriste ili nastaju u postrojenju</w:t>
      </w:r>
    </w:p>
    <w:p>
      <w:pPr>
        <w:pBdr/>
        <w:pStyle w:val="Normal"/>
        <w:spacing/>
        <w:ind/>
        <w:rPr>
          <w:rFonts w:ascii="Arial" w:eastAsia="Arial" w:hAnsi="Arial" w:cs="Arial"/>
        </w:rPr>
      </w:pPr>
      <w:r>
        <w:rPr>
          <w:rFonts w:ascii="Arial" w:eastAsia="Arial" w:hAnsi="Arial" w:cs="Arial"/>
        </w:rPr>
        <w:t xml:space="preserve">4. podatke o onečišćujućim tvarima koje se ispuštaju ili se mogu ispuštati iz postrojenja, uz navođenje tehnoloških procesa i izvora emisija iz kojih emisije nastaju ili se mogu očekivati</w:t>
      </w:r>
    </w:p>
    <w:p>
      <w:pPr>
        <w:pBdr/>
        <w:pStyle w:val="Normal"/>
        <w:spacing/>
        <w:ind/>
        <w:rPr>
          <w:rFonts w:ascii="Arial" w:eastAsia="Arial" w:hAnsi="Arial" w:cs="Arial"/>
        </w:rPr>
      </w:pPr>
      <w:r>
        <w:rPr>
          <w:rFonts w:ascii="Arial" w:eastAsia="Arial" w:hAnsi="Arial" w:cs="Arial"/>
        </w:rPr>
        <w:t xml:space="preserve">5. prijedlog praga rada postrojenja izražen odgovarajućim pokazateljem kapaciteta utvrđenim uredbom iz članka 76. stavka 5. ovoga Zakona</w:t>
      </w:r>
    </w:p>
    <w:p>
      <w:pPr>
        <w:pBdr/>
        <w:pStyle w:val="Normal"/>
        <w:spacing/>
        <w:ind/>
        <w:rPr>
          <w:rFonts w:ascii="Arial" w:eastAsia="Arial" w:hAnsi="Arial" w:cs="Arial"/>
        </w:rPr>
      </w:pPr>
      <w:r>
        <w:rPr>
          <w:rFonts w:ascii="Arial" w:eastAsia="Arial" w:hAnsi="Arial" w:cs="Arial"/>
        </w:rPr>
        <w:t xml:space="preserve">6. prijedlog načina praćenja rada postrojenja i operativnog planiranja kojim se osigurava i dokazuje rad ispod predloženog praga</w:t>
      </w:r>
    </w:p>
    <w:p>
      <w:pPr>
        <w:pBdr/>
        <w:pStyle w:val="Normal"/>
        <w:spacing/>
        <w:ind/>
        <w:rPr>
          <w:rFonts w:ascii="Arial" w:eastAsia="Arial" w:hAnsi="Arial" w:cs="Arial"/>
        </w:rPr>
      </w:pPr>
      <w:r>
        <w:rPr>
          <w:rFonts w:ascii="Arial" w:eastAsia="Arial" w:hAnsi="Arial" w:cs="Arial"/>
        </w:rPr>
        <w:t xml:space="preserve">7. prijedlog načina i dinamike izvješćivanja tijela nadležnog za inspekcijske poslove o pridržavanju predloženog praga rada.</w:t>
      </w:r>
    </w:p>
    <w:p>
      <w:pPr>
        <w:pBdr/>
        <w:pStyle w:val="Normal"/>
        <w:spacing/>
        <w:ind/>
        <w:rPr>
          <w:rFonts w:ascii="Arial" w:eastAsia="Arial" w:hAnsi="Arial" w:cs="Arial"/>
        </w:rPr>
      </w:pPr>
      <w:r>
        <w:rPr>
          <w:rFonts w:ascii="Arial" w:eastAsia="Arial" w:hAnsi="Arial" w:cs="Arial"/>
        </w:rPr>
        <w:t xml:space="preserve">(3) Ako zahtjev nije uredan, Ministarstvo zaključkom poziva operatera da ga dopuni u roku od 30 dana od dana dostave zaključka, a ako operater ne postupi po zaključku u tom roku, Ministarstvo rješenjem odbacuje zahtjev.</w:t>
      </w:r>
    </w:p>
    <w:p>
      <w:pPr>
        <w:pBdr/>
        <w:pStyle w:val="Normal"/>
        <w:spacing/>
        <w:ind/>
        <w:rPr>
          <w:rFonts w:ascii="Arial" w:eastAsia="Arial" w:hAnsi="Arial" w:cs="Arial"/>
        </w:rPr>
      </w:pPr>
      <w:r>
        <w:rPr>
          <w:rFonts w:ascii="Arial" w:eastAsia="Arial" w:hAnsi="Arial" w:cs="Arial"/>
        </w:rPr>
        <w:t xml:space="preserve">(4) Nakon što utvrdi da je zahtjev uredan, Ministarstvo traži mišljenja nadležnih tijela za pojedine sastavnice i opterećenja okoliša te upravljanje kemikalijama o uvjetima iz njihove nadležnosti i obvezama operatera za ishođenje dozvola, suglasnosti i drugih akata potrebnih za obavljanje djelatnosti postrojenja te informira javnost o zahtjevu objavom na svojim mrežnim stranicama.</w:t>
      </w:r>
    </w:p>
    <w:p>
      <w:pPr>
        <w:pBdr/>
        <w:pStyle w:val="Normal"/>
        <w:spacing/>
        <w:ind/>
        <w:rPr>
          <w:rFonts w:ascii="Arial" w:eastAsia="Arial" w:hAnsi="Arial" w:cs="Arial"/>
        </w:rPr>
      </w:pPr>
      <w:r>
        <w:rPr>
          <w:rFonts w:ascii="Arial" w:eastAsia="Arial" w:hAnsi="Arial" w:cs="Arial"/>
        </w:rPr>
        <w:t xml:space="preserve">(5) Pobliži sadržaj podataka iz stavka 2. ovoga članka i najveći dopušteni pragovi rada za pojedine djelatnosti, koji moraju biti niži od pragova kapaciteta za obvezu ishođenja okolišne dozvole, propisuju se uredbom iz članka 76. stavka 5. ovoga Zakona.</w:t>
      </w:r>
    </w:p>
    <w:p>
      <w:pPr>
        <w:pBdr/>
        <w:pStyle w:val="Normal"/>
        <w:spacing/>
        <w:ind/>
        <w:rPr>
          <w:rFonts w:ascii="Arial" w:eastAsia="Arial" w:hAnsi="Arial" w:cs="Arial"/>
        </w:rPr>
      </w:pPr>
    </w:p>
    <w:p>
      <w:pPr>
        <w:pBdr/>
        <w:pStyle w:val="Heading 2"/>
        <w:spacing/>
        <w:ind/>
        <w:rPr/>
      </w:pPr>
      <w:r>
        <w:rPr/>
        <w:t xml:space="preserve">Odlučivanje o zahtjevu i sadržaj rješenja</w:t>
      </w:r>
    </w:p>
    <w:p>
      <w:pPr>
        <w:pBdr/>
        <w:pStyle w:val="Heading 2"/>
        <w:spacing/>
        <w:ind/>
        <w:rPr/>
      </w:pPr>
      <w:r>
        <w:rPr/>
        <w:t xml:space="preserve">Članak 148.</w:t>
      </w:r>
    </w:p>
    <w:p>
      <w:pPr>
        <w:pBdr/>
        <w:pStyle w:val="Normal"/>
        <w:spacing/>
        <w:ind/>
        <w:rPr>
          <w:rFonts w:ascii="Arial" w:eastAsia="Arial" w:hAnsi="Arial" w:cs="Arial"/>
        </w:rPr>
      </w:pPr>
      <w:r>
        <w:rPr>
          <w:rFonts w:ascii="Arial" w:eastAsia="Arial" w:hAnsi="Arial" w:cs="Arial"/>
        </w:rPr>
        <w:t xml:space="preserve">(1) Ministarstvo rješenjem odbija zahtjev iz članka 147. stavka 1. ovoga Zakona ako utvrdi da nisu ispunjeni uvjeti propisani ovim Zakonom, osobito ako predloženi prag rada prelazi najveći dopušteni prag rada propisan uredbom iz članka 76. stavka 5. ovoga Zakona ili se predloženim načinom rada, operativnog planiranja i praćenja ne može osigurati odnosno pouzdano dokazati rad postrojenja ispod praga kapaciteta za obvezu ishođenja okolišne dozvole.</w:t>
      </w:r>
    </w:p>
    <w:p>
      <w:pPr>
        <w:pBdr/>
        <w:pStyle w:val="Normal"/>
        <w:spacing/>
        <w:ind/>
        <w:rPr>
          <w:rFonts w:ascii="Arial" w:eastAsia="Arial" w:hAnsi="Arial" w:cs="Arial"/>
        </w:rPr>
      </w:pPr>
      <w:r>
        <w:rPr>
          <w:rFonts w:ascii="Arial" w:eastAsia="Arial" w:hAnsi="Arial" w:cs="Arial"/>
        </w:rPr>
        <w:t xml:space="preserve">(2) Ako su ispunjeni uvjeti propisani ovim Zakonom, Ministarstvo u roku od 60 dana od dana zaprimanja urednog zahtjeva donosi rješenje za rad postrojenja ispod praga kapaciteta.</w:t>
      </w:r>
    </w:p>
    <w:p>
      <w:pPr>
        <w:pBdr/>
        <w:pStyle w:val="Normal"/>
        <w:spacing/>
        <w:ind/>
        <w:rPr>
          <w:rFonts w:ascii="Arial" w:eastAsia="Arial" w:hAnsi="Arial" w:cs="Arial"/>
        </w:rPr>
      </w:pPr>
      <w:r>
        <w:rPr>
          <w:rFonts w:ascii="Arial" w:eastAsia="Arial" w:hAnsi="Arial" w:cs="Arial"/>
        </w:rPr>
        <w:t xml:space="preserve">(3) Rješenjem iz stavka 2. ovoga članka utvrđuju se:</w:t>
      </w:r>
    </w:p>
    <w:p>
      <w:pPr>
        <w:pBdr/>
        <w:pStyle w:val="Normal"/>
        <w:spacing/>
        <w:ind/>
        <w:rPr>
          <w:rFonts w:ascii="Arial" w:eastAsia="Arial" w:hAnsi="Arial" w:cs="Arial"/>
        </w:rPr>
      </w:pPr>
      <w:r>
        <w:rPr>
          <w:rFonts w:ascii="Arial" w:eastAsia="Arial" w:hAnsi="Arial" w:cs="Arial"/>
        </w:rPr>
        <w:t xml:space="preserve">1. djelatnost odnosno djelatnosti na koje se rješenje odnosi</w:t>
      </w:r>
    </w:p>
    <w:p>
      <w:pPr>
        <w:pBdr/>
        <w:pStyle w:val="Normal"/>
        <w:spacing/>
        <w:ind/>
        <w:rPr>
          <w:rFonts w:ascii="Arial" w:eastAsia="Arial" w:hAnsi="Arial" w:cs="Arial"/>
        </w:rPr>
      </w:pPr>
      <w:r>
        <w:rPr>
          <w:rFonts w:ascii="Arial" w:eastAsia="Arial" w:hAnsi="Arial" w:cs="Arial"/>
        </w:rPr>
        <w:t xml:space="preserve">2. dopušteni prag rada postrojenja za svaku djelatnost, izražen odgovarajućim pokazateljem kapaciteta, koji predstavlja pravno obvezujuće ograničenje opsega rada postrojenja i ne smije biti viši od najvećeg dopuštenog praga rada propisanog uredbom iz članka 76. stavka 5. ovoga Zakona</w:t>
      </w:r>
    </w:p>
    <w:p>
      <w:pPr>
        <w:pBdr/>
        <w:pStyle w:val="Normal"/>
        <w:spacing/>
        <w:ind/>
        <w:rPr>
          <w:rFonts w:ascii="Arial" w:eastAsia="Arial" w:hAnsi="Arial" w:cs="Arial"/>
        </w:rPr>
      </w:pPr>
      <w:r>
        <w:rPr>
          <w:rFonts w:ascii="Arial" w:eastAsia="Arial" w:hAnsi="Arial" w:cs="Arial"/>
        </w:rPr>
        <w:t xml:space="preserve">3. uvjeti i način praćenja i dokazivanja rada postrojenja ispod dopuštenog praga</w:t>
      </w:r>
    </w:p>
    <w:p>
      <w:pPr>
        <w:pBdr/>
        <w:pStyle w:val="Normal"/>
        <w:spacing/>
        <w:ind/>
        <w:rPr>
          <w:rFonts w:ascii="Arial" w:eastAsia="Arial" w:hAnsi="Arial" w:cs="Arial"/>
        </w:rPr>
      </w:pPr>
      <w:r>
        <w:rPr>
          <w:rFonts w:ascii="Arial" w:eastAsia="Arial" w:hAnsi="Arial" w:cs="Arial"/>
        </w:rPr>
        <w:t xml:space="preserve">4. način i dinamika izvješćivanja tijela nadležnog za inspekcijske poslove o rezultatima praćenja rada postrojenja</w:t>
      </w:r>
    </w:p>
    <w:p>
      <w:pPr>
        <w:pBdr/>
        <w:pStyle w:val="Normal"/>
        <w:spacing/>
        <w:ind/>
        <w:rPr>
          <w:rFonts w:ascii="Arial" w:eastAsia="Arial" w:hAnsi="Arial" w:cs="Arial"/>
        </w:rPr>
      </w:pPr>
      <w:r>
        <w:rPr>
          <w:rFonts w:ascii="Arial" w:eastAsia="Arial" w:hAnsi="Arial" w:cs="Arial"/>
        </w:rPr>
        <w:t xml:space="preserve">5. obveza operatera da prije početka rada postrojenja u opsegu kojim bi se prešao prag kapaciteta za obvezu ishođenja okolišne dozvole utvrđen uredbom iz članka 76. stavka 5. ovoga Zakona ishodi okolišnu dozvolu</w:t>
      </w:r>
    </w:p>
    <w:p>
      <w:pPr>
        <w:pBdr/>
        <w:pStyle w:val="Normal"/>
        <w:spacing/>
        <w:ind/>
        <w:rPr>
          <w:rFonts w:ascii="Arial" w:eastAsia="Arial" w:hAnsi="Arial" w:cs="Arial"/>
        </w:rPr>
      </w:pPr>
      <w:r>
        <w:rPr>
          <w:rFonts w:ascii="Arial" w:eastAsia="Arial" w:hAnsi="Arial" w:cs="Arial"/>
        </w:rPr>
        <w:t xml:space="preserve">6. rok važenja rješenja.</w:t>
      </w:r>
    </w:p>
    <w:p>
      <w:pPr>
        <w:pBdr/>
        <w:pStyle w:val="Normal"/>
        <w:spacing/>
        <w:ind/>
        <w:rPr>
          <w:rFonts w:ascii="Arial" w:eastAsia="Arial" w:hAnsi="Arial" w:cs="Arial"/>
        </w:rPr>
      </w:pPr>
      <w:r>
        <w:rPr>
          <w:rFonts w:ascii="Arial" w:eastAsia="Arial" w:hAnsi="Arial" w:cs="Arial"/>
        </w:rPr>
        <w:t xml:space="preserve">(4) Operater kojem je izdano rješenje iz stavka 2. ovoga članka dužan je ishoditi sve dozvole, suglasnosti i druge akte potrebne za obavljanje djelatnosti postrojenja prema posebnim propisima za pojedine sastavnice i opterećenja okoliša te upravljanje kemikalijama.</w:t>
      </w:r>
    </w:p>
    <w:p>
      <w:pPr>
        <w:pBdr/>
        <w:pStyle w:val="Normal"/>
        <w:spacing/>
        <w:ind/>
        <w:rPr>
          <w:rFonts w:ascii="Arial" w:eastAsia="Arial" w:hAnsi="Arial" w:cs="Arial"/>
        </w:rPr>
      </w:pPr>
    </w:p>
    <w:p>
      <w:pPr>
        <w:pBdr/>
        <w:pStyle w:val="Heading 2"/>
        <w:spacing/>
        <w:ind/>
        <w:rPr/>
      </w:pPr>
      <w:r>
        <w:rPr/>
        <w:t xml:space="preserve">Važenje rješenja i pravna zaštita</w:t>
      </w:r>
    </w:p>
    <w:p>
      <w:pPr>
        <w:pBdr/>
        <w:pStyle w:val="Heading 2"/>
        <w:spacing/>
        <w:ind/>
        <w:rPr/>
      </w:pPr>
      <w:r>
        <w:rPr/>
        <w:t xml:space="preserve">Članak 149.</w:t>
      </w:r>
    </w:p>
    <w:p>
      <w:pPr>
        <w:pBdr/>
        <w:pStyle w:val="Normal"/>
        <w:spacing/>
        <w:ind/>
        <w:rPr>
          <w:rFonts w:ascii="Arial" w:eastAsia="Arial" w:hAnsi="Arial" w:cs="Arial"/>
        </w:rPr>
      </w:pPr>
      <w:r>
        <w:rPr>
          <w:rFonts w:ascii="Arial" w:eastAsia="Arial" w:hAnsi="Arial" w:cs="Arial"/>
        </w:rPr>
        <w:t xml:space="preserve">(1) Rješenje iz članka 148. stavka 2. ovoga Zakona izdaje se na rok od četiri godine od dana njegove izvršnosti.</w:t>
      </w:r>
    </w:p>
    <w:p>
      <w:pPr>
        <w:pBdr/>
        <w:pStyle w:val="Normal"/>
        <w:spacing/>
        <w:ind/>
        <w:rPr>
          <w:rFonts w:ascii="Arial" w:eastAsia="Arial" w:hAnsi="Arial" w:cs="Arial"/>
        </w:rPr>
      </w:pPr>
      <w:r>
        <w:rPr>
          <w:rFonts w:ascii="Arial" w:eastAsia="Arial" w:hAnsi="Arial" w:cs="Arial"/>
        </w:rPr>
        <w:t xml:space="preserve">(2) Protiv rješenja iz članka 147. stavka 3. i članka 148. stavaka 1. i 2. ovoga Zakona žalba nije dopuštena, ali se može pokrenuti upravni spor.</w:t>
      </w:r>
    </w:p>
    <w:p>
      <w:pPr>
        <w:pBdr/>
        <w:pStyle w:val="Normal"/>
        <w:spacing/>
        <w:ind/>
        <w:rPr>
          <w:rFonts w:ascii="Arial" w:eastAsia="Arial" w:hAnsi="Arial" w:cs="Arial"/>
        </w:rPr>
      </w:pPr>
    </w:p>
    <w:p>
      <w:pPr>
        <w:pBdr/>
        <w:pStyle w:val="Heading 1"/>
        <w:spacing/>
        <w:ind/>
        <w:rPr/>
      </w:pPr>
      <w:r>
        <w:rPr/>
        <w:t xml:space="preserve">POGLAVLJE X. SUKLADNOST, IZVANREDNI DOGAĐAJI, NESREĆE I NESUKLADNOSTI</w:t>
      </w:r>
    </w:p>
    <w:p>
      <w:pPr>
        <w:pBdr/>
        <w:pStyle w:val="Heading 2"/>
        <w:spacing/>
        <w:ind/>
        <w:rPr/>
      </w:pPr>
      <w:r>
        <w:rPr/>
        <w:t xml:space="preserve">Osiguranje sukladnosti</w:t>
      </w:r>
    </w:p>
    <w:p>
      <w:pPr>
        <w:pBdr/>
        <w:pStyle w:val="Heading 2"/>
        <w:spacing/>
        <w:ind/>
        <w:rPr/>
      </w:pPr>
      <w:r>
        <w:rPr/>
        <w:t xml:space="preserve">Članak 150.</w:t>
      </w:r>
    </w:p>
    <w:p>
      <w:pPr>
        <w:pBdr/>
        <w:pStyle w:val="Normal"/>
        <w:spacing/>
        <w:ind/>
        <w:rPr>
          <w:rFonts w:ascii="Arial" w:eastAsia="Arial" w:hAnsi="Arial" w:cs="Arial"/>
        </w:rPr>
      </w:pPr>
      <w:r>
        <w:rPr>
          <w:rFonts w:ascii="Arial" w:eastAsia="Arial" w:hAnsi="Arial" w:cs="Arial"/>
        </w:rPr>
        <w:t xml:space="preserve">(1) Ministarstvo radi pravilnog tumačenja i primjene odredaba ovoga Zakona poduzima preventivne i stručne mjere koje obuhvaćaju izradu smjernica, davanje stručnih uputa te provedbu savjetovanja i konzultacija s operaterima.</w:t>
      </w:r>
    </w:p>
    <w:p>
      <w:pPr>
        <w:pBdr/>
        <w:pStyle w:val="Normal"/>
        <w:spacing/>
        <w:ind/>
        <w:rPr>
          <w:rFonts w:ascii="Arial" w:eastAsia="Arial" w:hAnsi="Arial" w:cs="Arial"/>
        </w:rPr>
      </w:pPr>
      <w:r>
        <w:rPr>
          <w:rFonts w:ascii="Arial" w:eastAsia="Arial" w:hAnsi="Arial" w:cs="Arial"/>
        </w:rPr>
        <w:t xml:space="preserve">(2) Tijelo nadležno za inspekcijske poslove u području zaštite okoliša prati i analizira sukladnost rada postrojenja s uvjetima okolišne dozvole provedbom inspekcijskih odnosno koordiniranih inspekcijskih nadzora i analizom rezultata praćenja emisija i utjecaja opterećenja na okoliš.</w:t>
      </w:r>
    </w:p>
    <w:p>
      <w:pPr>
        <w:pBdr/>
        <w:pStyle w:val="Normal"/>
        <w:spacing/>
        <w:ind/>
        <w:rPr>
          <w:rFonts w:ascii="Arial" w:eastAsia="Arial" w:hAnsi="Arial" w:cs="Arial"/>
        </w:rPr>
      </w:pPr>
    </w:p>
    <w:p>
      <w:pPr>
        <w:pBdr/>
        <w:pStyle w:val="Heading 2"/>
        <w:spacing/>
        <w:ind/>
        <w:rPr/>
      </w:pPr>
      <w:r>
        <w:rPr/>
        <w:t xml:space="preserve">Postupanje u slučaju izvanrednog događaja ili nesreće</w:t>
      </w:r>
    </w:p>
    <w:p>
      <w:pPr>
        <w:pBdr/>
        <w:pStyle w:val="Heading 2"/>
        <w:spacing/>
        <w:ind/>
        <w:rPr/>
      </w:pPr>
      <w:r>
        <w:rPr/>
        <w:t xml:space="preserve">Članak 151.</w:t>
      </w:r>
    </w:p>
    <w:p>
      <w:pPr>
        <w:pBdr/>
        <w:pStyle w:val="Normal"/>
        <w:spacing/>
        <w:ind/>
        <w:rPr>
          <w:rFonts w:ascii="Arial" w:eastAsia="Arial" w:hAnsi="Arial" w:cs="Arial"/>
        </w:rPr>
      </w:pPr>
      <w:r>
        <w:rPr>
          <w:rFonts w:ascii="Arial" w:eastAsia="Arial" w:hAnsi="Arial" w:cs="Arial"/>
        </w:rPr>
        <w:t xml:space="preserve">U slučaju izvanrednog događaja ili nesreće uzrokovanih radom postrojenja koji znatno utječu na zdravlje ljudi ili okoliš, operater je dužan:</w:t>
      </w:r>
    </w:p>
    <w:p>
      <w:pPr>
        <w:pBdr/>
        <w:pStyle w:val="Normal"/>
        <w:spacing/>
        <w:ind/>
        <w:rPr>
          <w:rFonts w:ascii="Arial" w:eastAsia="Arial" w:hAnsi="Arial" w:cs="Arial"/>
        </w:rPr>
      </w:pPr>
      <w:r>
        <w:rPr>
          <w:rFonts w:ascii="Arial" w:eastAsia="Arial" w:hAnsi="Arial" w:cs="Arial"/>
        </w:rPr>
        <w:t xml:space="preserve">1. odmah obavijestiti Ministarstvo, tijelo nadležno za inspekcijske poslove u području zaštite okoliša te druga tijela nadležna za pojedine sastavnice okoliša</w:t>
      </w:r>
    </w:p>
    <w:p>
      <w:pPr>
        <w:pBdr/>
        <w:pStyle w:val="Normal"/>
        <w:spacing/>
        <w:ind/>
        <w:rPr>
          <w:rFonts w:ascii="Arial" w:eastAsia="Arial" w:hAnsi="Arial" w:cs="Arial"/>
        </w:rPr>
      </w:pPr>
      <w:r>
        <w:rPr>
          <w:rFonts w:ascii="Arial" w:eastAsia="Arial" w:hAnsi="Arial" w:cs="Arial"/>
        </w:rPr>
        <w:t xml:space="preserve">2. odmah poduzeti mjere za ograničavanje posljedica za zdravlje ljudi i/ili okoliš te sprječavanje mogućih daljnjih izvanrednih događaja ili nesreća</w:t>
      </w:r>
    </w:p>
    <w:p>
      <w:pPr>
        <w:pBdr/>
        <w:pStyle w:val="Normal"/>
        <w:spacing/>
        <w:ind/>
        <w:rPr>
          <w:rFonts w:ascii="Arial" w:eastAsia="Arial" w:hAnsi="Arial" w:cs="Arial"/>
        </w:rPr>
      </w:pPr>
      <w:r>
        <w:rPr>
          <w:rFonts w:ascii="Arial" w:eastAsia="Arial" w:hAnsi="Arial" w:cs="Arial"/>
        </w:rPr>
        <w:t xml:space="preserve">3. poduzeti sve dodatne mjere koje rješenjem naredi tijelo nadležno za inspekcijske poslove u području zaštite okoliša radi ograničavanja posljedica za zdravlje ljudi i/ili okoliš te sprječavanja mogućih daljnjih izvanrednih događaja ili nesreća.</w:t>
      </w:r>
    </w:p>
    <w:p>
      <w:pPr>
        <w:pBdr/>
        <w:pStyle w:val="Normal"/>
        <w:spacing/>
        <w:ind/>
        <w:rPr>
          <w:rFonts w:ascii="Arial" w:eastAsia="Arial" w:hAnsi="Arial" w:cs="Arial"/>
        </w:rPr>
      </w:pPr>
    </w:p>
    <w:p>
      <w:pPr>
        <w:pBdr/>
        <w:pStyle w:val="Heading 2"/>
        <w:spacing/>
        <w:ind/>
        <w:rPr/>
      </w:pPr>
      <w:r>
        <w:rPr/>
        <w:t xml:space="preserve">Postupanje u slučaju nesukladnosti s okolišnom dozvolom</w:t>
      </w:r>
    </w:p>
    <w:p>
      <w:pPr>
        <w:pBdr/>
        <w:pStyle w:val="Heading 2"/>
        <w:spacing/>
        <w:ind/>
        <w:rPr/>
      </w:pPr>
      <w:r>
        <w:rPr/>
        <w:t xml:space="preserve">Članak 152.</w:t>
      </w:r>
    </w:p>
    <w:p>
      <w:pPr>
        <w:pBdr/>
        <w:pStyle w:val="Normal"/>
        <w:spacing/>
        <w:ind/>
        <w:rPr>
          <w:rFonts w:ascii="Arial" w:eastAsia="Arial" w:hAnsi="Arial" w:cs="Arial"/>
        </w:rPr>
      </w:pPr>
      <w:r>
        <w:rPr>
          <w:rFonts w:ascii="Arial" w:eastAsia="Arial" w:hAnsi="Arial" w:cs="Arial"/>
        </w:rPr>
        <w:t xml:space="preserve">(1) U slučaju nesukladnosti s uvjetima utvrđenima okolišnom dozvolom operater je dužan:</w:t>
      </w:r>
    </w:p>
    <w:p>
      <w:pPr>
        <w:pBdr/>
        <w:pStyle w:val="Normal"/>
        <w:spacing/>
        <w:ind/>
        <w:rPr>
          <w:rFonts w:ascii="Arial" w:eastAsia="Arial" w:hAnsi="Arial" w:cs="Arial"/>
        </w:rPr>
      </w:pPr>
      <w:r>
        <w:rPr>
          <w:rFonts w:ascii="Arial" w:eastAsia="Arial" w:hAnsi="Arial" w:cs="Arial"/>
        </w:rPr>
        <w:t xml:space="preserve">1. odmah obavijestiti Ministarstvo i tijelo nadležno za inspekcijske poslove u području zaštite okoliša</w:t>
      </w:r>
    </w:p>
    <w:p>
      <w:pPr>
        <w:pBdr/>
        <w:pStyle w:val="Normal"/>
        <w:spacing/>
        <w:ind/>
        <w:rPr>
          <w:rFonts w:ascii="Arial" w:eastAsia="Arial" w:hAnsi="Arial" w:cs="Arial"/>
        </w:rPr>
      </w:pPr>
      <w:r>
        <w:rPr>
          <w:rFonts w:ascii="Arial" w:eastAsia="Arial" w:hAnsi="Arial" w:cs="Arial"/>
        </w:rPr>
        <w:t xml:space="preserve">2. odmah poduzeti sve mjere potrebne za ponovno postizanje sukladnosti s uvjetima okolišne dozvole u najkraćem mogućem roku</w:t>
      </w:r>
    </w:p>
    <w:p>
      <w:pPr>
        <w:pBdr/>
        <w:pStyle w:val="Normal"/>
        <w:spacing/>
        <w:ind/>
        <w:rPr>
          <w:rFonts w:ascii="Arial" w:eastAsia="Arial" w:hAnsi="Arial" w:cs="Arial"/>
        </w:rPr>
      </w:pPr>
      <w:r>
        <w:rPr>
          <w:rFonts w:ascii="Arial" w:eastAsia="Arial" w:hAnsi="Arial" w:cs="Arial"/>
        </w:rPr>
        <w:t xml:space="preserve">3. poduzeti sve druge posebne i dodatne mjere koje rješenjem naredi tijelo nadležno za inspekcijske poslove u području zaštite okoliša.</w:t>
      </w:r>
    </w:p>
    <w:p>
      <w:pPr>
        <w:pBdr/>
        <w:pStyle w:val="Normal"/>
        <w:spacing/>
        <w:ind/>
        <w:rPr>
          <w:rFonts w:ascii="Arial" w:eastAsia="Arial" w:hAnsi="Arial" w:cs="Arial"/>
        </w:rPr>
      </w:pPr>
      <w:r>
        <w:rPr>
          <w:rFonts w:ascii="Arial" w:eastAsia="Arial" w:hAnsi="Arial" w:cs="Arial"/>
        </w:rPr>
        <w:t xml:space="preserve">(2) Ako nesukladnost iz stavka 1. ovoga članka predstavlja neposrednu opasnost za zdravlje ljudi i/ili prijeti uzrokovanjem neposrednog znatnog negativnog učinka na okoliš, operater je dužan odmah prekinuti rad postrojenja odnosno odgovarajućeg dijela postrojenja dok se provedbom mjera iz stavka 1. točaka 2. i 3. ovoga članka ponovno ne postigne sukladnost s uvjetima okolišne dozvole.</w:t>
      </w:r>
    </w:p>
    <w:p>
      <w:pPr>
        <w:pBdr/>
        <w:pStyle w:val="Normal"/>
        <w:spacing/>
        <w:ind/>
        <w:rPr>
          <w:rFonts w:ascii="Arial" w:eastAsia="Arial" w:hAnsi="Arial" w:cs="Arial"/>
        </w:rPr>
      </w:pPr>
    </w:p>
    <w:p>
      <w:pPr>
        <w:pBdr/>
        <w:pStyle w:val="Heading 1"/>
        <w:spacing/>
        <w:ind/>
        <w:rPr/>
      </w:pPr>
      <w:r>
        <w:rPr/>
        <w:t xml:space="preserve">POGLAVLJE XI. PREKOGRANIČNI UČINCI RADA POSTROJENJA</w:t>
      </w:r>
    </w:p>
    <w:p>
      <w:pPr>
        <w:pBdr/>
        <w:pStyle w:val="Heading 2"/>
        <w:spacing/>
        <w:ind/>
        <w:rPr/>
      </w:pPr>
      <w:r>
        <w:rPr/>
        <w:t xml:space="preserve">Obavješćivanje druge države o radu postrojenja</w:t>
      </w:r>
    </w:p>
    <w:p>
      <w:pPr>
        <w:pBdr/>
        <w:pStyle w:val="Heading 2"/>
        <w:spacing/>
        <w:ind/>
        <w:rPr>
          <w:iCs/>
        </w:rPr>
      </w:pPr>
      <w:r>
        <w:rPr/>
        <w:t xml:space="preserve">Članak 153.</w:t>
      </w:r>
    </w:p>
    <w:p>
      <w:pPr>
        <w:pBdr/>
        <w:pStyle w:val="Normal"/>
        <w:spacing/>
        <w:ind/>
        <w:rPr>
          <w:rFonts w:ascii="Arial" w:eastAsia="Arial" w:hAnsi="Arial" w:cs="Arial"/>
        </w:rPr>
      </w:pPr>
      <w:r>
        <w:rPr>
          <w:rFonts w:ascii="Arial" w:eastAsia="Arial" w:hAnsi="Arial" w:cs="Arial"/>
        </w:rPr>
        <w:t xml:space="preserve">(1) Ako Ministarstvo procijeni da bi rad postrojenja mogao imati znatne negativne učinke na okoliš druge države ili ako to zahtijeva druga država koja bi mogla biti znatno pogođena, Ministarstvo toj državi dostavlja sve informacije koje se u postupku izdavanja okolišne dozvole ili njezine izmjene i/ili dopune zbog značajne promjene u radu postrojenja stavljaju na raspolaganje javnosti, istodobno s njihovim stavljanjem na raspolaganje javnosti u Republici Hrvatskoj.</w:t>
      </w:r>
    </w:p>
    <w:p>
      <w:pPr>
        <w:pBdr/>
        <w:pStyle w:val="Normal"/>
        <w:spacing/>
        <w:ind/>
        <w:rPr>
          <w:rFonts w:ascii="Arial" w:eastAsia="Arial" w:hAnsi="Arial" w:cs="Arial"/>
        </w:rPr>
      </w:pPr>
      <w:r>
        <w:rPr>
          <w:rFonts w:ascii="Arial" w:eastAsia="Arial" w:hAnsi="Arial" w:cs="Arial"/>
        </w:rPr>
        <w:t xml:space="preserve">(2) U slučaju iz stavka 1. ovoga članka Ministarstvo informira javnost i zainteresiranu javnost u Republici Hrvatskoj o obvezi obavješćivanja druge države, provedbi prekograničnih savjetovanja i ovisnosti donošenja okolišne dozvole o rezultatima tih savjetovanja te uz informacije dostavljene drugoj državi određuje primjeren rok za dostavu mišljenja i primjedbi njezina nadležnog tijela, osiguravajući da zahtjev bude dostupan javnosti te države u istom razdoblju u kojem je dostupan javnosti u Republici Hrvatskoj.</w:t>
      </w:r>
    </w:p>
    <w:p>
      <w:pPr>
        <w:pBdr/>
        <w:pStyle w:val="Normal"/>
        <w:spacing/>
        <w:ind/>
        <w:rPr>
          <w:rFonts w:ascii="Arial" w:eastAsia="Arial" w:hAnsi="Arial" w:cs="Arial"/>
        </w:rPr>
      </w:pPr>
      <w:r>
        <w:rPr>
          <w:rFonts w:ascii="Arial" w:eastAsia="Arial" w:hAnsi="Arial" w:cs="Arial"/>
        </w:rPr>
        <w:t xml:space="preserve">(3) Na temelju informacija iz stavka 1. ovoga članka Ministarstvo i nadležno tijelo druge države provode savjetovanja, osiguravajući dostavu primjedbi druge države prije donošenja okolišne dozvole, a rezultati svih provedenih savjetovanja uzimaju se u obzir pri njezinu donošenju.</w:t>
      </w:r>
    </w:p>
    <w:p>
      <w:pPr>
        <w:pBdr/>
        <w:pStyle w:val="Normal"/>
        <w:spacing/>
        <w:ind/>
        <w:rPr>
          <w:rFonts w:ascii="Arial" w:eastAsia="Arial" w:hAnsi="Arial" w:cs="Arial"/>
        </w:rPr>
      </w:pPr>
      <w:r>
        <w:rPr>
          <w:rFonts w:ascii="Arial" w:eastAsia="Arial" w:hAnsi="Arial" w:cs="Arial"/>
        </w:rPr>
        <w:t xml:space="preserve">(4) Ako druga država ne dostavi primjedbe u roku iz stavka 2. ovoga članka, Ministarstvo nastavlja postupak izdavanja okolišne dozvole.</w:t>
      </w:r>
    </w:p>
    <w:p>
      <w:pPr>
        <w:pBdr/>
        <w:pStyle w:val="Normal"/>
        <w:spacing/>
        <w:ind/>
        <w:rPr>
          <w:rFonts w:ascii="Arial" w:eastAsia="Arial" w:hAnsi="Arial" w:cs="Arial"/>
        </w:rPr>
      </w:pPr>
      <w:r>
        <w:rPr>
          <w:rFonts w:ascii="Arial" w:eastAsia="Arial" w:hAnsi="Arial" w:cs="Arial"/>
        </w:rPr>
        <w:t xml:space="preserve">(5) Nakon izdavanja okolišne dozvole Ministarstvo nadležnom tijelu druge države dostavlja obavijest o izdanoj dozvoli koja uključuje okolišnu dozvolu, razloge na kojima se temelji i rezultate provedenih savjetovanja, u skladu s člankom 93. stavkom 2. ovoga Zakona.</w:t>
      </w:r>
    </w:p>
    <w:p>
      <w:pPr>
        <w:pBdr/>
        <w:pStyle w:val="Normal"/>
        <w:spacing/>
        <w:ind/>
        <w:rPr>
          <w:rFonts w:ascii="Arial" w:eastAsia="Arial" w:hAnsi="Arial" w:cs="Arial"/>
        </w:rPr>
      </w:pPr>
    </w:p>
    <w:p>
      <w:pPr>
        <w:pBdr/>
        <w:pStyle w:val="Heading 2"/>
        <w:spacing/>
        <w:ind/>
        <w:rPr/>
      </w:pPr>
      <w:r>
        <w:rPr/>
        <w:t xml:space="preserve">Sudjelovanje u postupku izdavanja okolišne dozvole za postrojenje u drugoj državi</w:t>
      </w:r>
    </w:p>
    <w:p>
      <w:pPr>
        <w:pBdr/>
        <w:pStyle w:val="Heading 2"/>
        <w:spacing/>
        <w:ind/>
        <w:rPr/>
      </w:pPr>
      <w:r>
        <w:rPr/>
        <w:t xml:space="preserve">Članak 154.</w:t>
      </w:r>
    </w:p>
    <w:p>
      <w:pPr>
        <w:pBdr/>
        <w:pStyle w:val="Normal"/>
        <w:spacing/>
        <w:ind/>
        <w:rPr>
          <w:rFonts w:ascii="Arial" w:eastAsia="Arial" w:hAnsi="Arial" w:cs="Arial"/>
        </w:rPr>
      </w:pPr>
      <w:r>
        <w:rPr>
          <w:rFonts w:ascii="Arial" w:eastAsia="Arial" w:hAnsi="Arial" w:cs="Arial"/>
        </w:rPr>
        <w:t xml:space="preserve">(1) Ako Ministarstvo procijeni da bi rad planiranog postrojenja ili značajna promjena u radu postrojenja na području druge države mogla imati znatne negativne učinke na okoliš i zdravlje ljudi u Republici Hrvatskoj ili zaprimi obavijest druge države o takvom postrojenju, obavješćuje nadležno tijelo te države o namjeri sudjelovanja u postupku izdavanja okolišne dozvole.</w:t>
      </w:r>
    </w:p>
    <w:p>
      <w:pPr>
        <w:pBdr/>
        <w:pStyle w:val="Normal"/>
        <w:spacing/>
        <w:ind/>
        <w:rPr>
          <w:rFonts w:ascii="Arial" w:eastAsia="Arial" w:hAnsi="Arial" w:cs="Arial"/>
        </w:rPr>
      </w:pPr>
      <w:r>
        <w:rPr>
          <w:rFonts w:ascii="Arial" w:eastAsia="Arial" w:hAnsi="Arial" w:cs="Arial"/>
        </w:rPr>
        <w:t xml:space="preserve">(2) Ministarstvo dostavlja zaprimljene podatke o postrojenju iz stavka 1. ovoga članka na mišljenje tijelima iz članka 87. stavka 1. ovoga Zakona, u okviru njihove nadležnosti i ovisno o očekivanom prekograničnom utjecaju, te nadležnom upravnom tijelu u županiji odnosno Gradu Zagrebu, ovisno o području koje bi moglo biti znatno pogođeno.</w:t>
      </w:r>
    </w:p>
    <w:p>
      <w:pPr>
        <w:pBdr/>
        <w:pStyle w:val="Normal"/>
        <w:spacing/>
        <w:ind/>
        <w:rPr>
          <w:rFonts w:ascii="Arial" w:eastAsia="Arial" w:hAnsi="Arial" w:cs="Arial"/>
        </w:rPr>
      </w:pPr>
      <w:r>
        <w:rPr>
          <w:rFonts w:ascii="Arial" w:eastAsia="Arial" w:hAnsi="Arial" w:cs="Arial"/>
        </w:rPr>
        <w:t xml:space="preserve">(3) Nakon zaprimanja informacije o postupku u drugoj državi u kojem je odlučilo sudjelovati, Ministarstvo obavješćuje javnost i zainteresiranu javnost u Republici </w:t>
      </w:r>
      <w:r>
        <w:rPr>
          <w:rFonts w:ascii="Arial" w:eastAsia="Arial" w:hAnsi="Arial" w:cs="Arial"/>
        </w:rPr>
        <w:t xml:space="preserve">Hrvatskoj te osigurava njihovo sudjelovanje u rokovima usklađenima s razdobljem savjetovanja u državi u kojoj je zahtjev podnesen.</w:t>
      </w:r>
    </w:p>
    <w:p>
      <w:pPr>
        <w:pBdr/>
        <w:pStyle w:val="Normal"/>
        <w:spacing/>
        <w:ind/>
        <w:rPr>
          <w:rFonts w:ascii="Arial" w:eastAsia="Arial" w:hAnsi="Arial" w:cs="Arial"/>
        </w:rPr>
      </w:pPr>
      <w:r>
        <w:rPr>
          <w:rFonts w:ascii="Arial" w:eastAsia="Arial" w:hAnsi="Arial" w:cs="Arial"/>
        </w:rPr>
        <w:t xml:space="preserve">(4) Ministarstvo nakon razmatranja mišljenja tijela iz stavka 2. ovoga članka i primjedbi javnosti i zainteresirane javnosti dostavlja objedinjeno mišljenje nadležnom tijelu druge države u utvrđenom roku te s tim tijelom dogovara način i postupak provedbe savjetovanja o mjerama za sprječavanje ili smanjenje prekograničnih utjecaja.</w:t>
      </w:r>
    </w:p>
    <w:p>
      <w:pPr>
        <w:pBdr/>
        <w:pStyle w:val="Normal"/>
        <w:spacing/>
        <w:ind/>
        <w:rPr>
          <w:rFonts w:ascii="Arial" w:eastAsia="Arial" w:hAnsi="Arial" w:cs="Arial"/>
        </w:rPr>
      </w:pPr>
      <w:r>
        <w:rPr>
          <w:rFonts w:ascii="Arial" w:eastAsia="Arial" w:hAnsi="Arial" w:cs="Arial"/>
        </w:rPr>
        <w:t xml:space="preserve">(5) Nakon što od nadležnog tijela druge države zaprimi obavijest o odluci o okolišnoj dozvoli, uključujući okolišnu dozvolu, razloge na kojima se temelji i rezultate provedenih savjetovanja,  Ministarstvo osigurava dostupnost tih informacija javnosti i zainteresiranoj javnosti u Republici Hrvatskoj.</w:t>
      </w:r>
    </w:p>
    <w:p>
      <w:pPr>
        <w:pBdr/>
        <w:pStyle w:val="Heading 1"/>
        <w:spacing/>
        <w:ind/>
        <w:rPr/>
      </w:pPr>
      <w:r>
        <w:rPr/>
        <w:t xml:space="preserve">GLAVA V. REGISTRACIJA POSTROJENJA ZA UZGOJ ŽIVOTINJA</w:t>
      </w:r>
    </w:p>
    <w:p>
      <w:pPr>
        <w:pBdr/>
        <w:pStyle w:val="Heading 1"/>
        <w:spacing/>
        <w:ind/>
        <w:rPr/>
      </w:pPr>
      <w:r>
        <w:rPr/>
        <w:t xml:space="preserve">ODJELJAK 1. REGISTRACIJA POSTROJENJA</w:t>
      </w:r>
    </w:p>
    <w:p>
      <w:pPr>
        <w:pBdr/>
        <w:pStyle w:val="Heading 2"/>
        <w:spacing/>
        <w:ind/>
        <w:rPr/>
      </w:pPr>
      <w:r>
        <w:rPr/>
        <w:t xml:space="preserve">Područje primjene</w:t>
      </w:r>
    </w:p>
    <w:p>
      <w:pPr>
        <w:pBdr/>
        <w:pStyle w:val="Heading 2"/>
        <w:spacing/>
        <w:ind/>
        <w:rPr/>
      </w:pPr>
      <w:r>
        <w:rPr/>
        <w:t xml:space="preserve">Članak 155.</w:t>
      </w:r>
    </w:p>
    <w:p>
      <w:pPr>
        <w:pBdr/>
        <w:pStyle w:val="Normal"/>
        <w:spacing/>
        <w:ind/>
        <w:rPr>
          <w:rFonts w:ascii="Arial" w:eastAsia="Arial" w:hAnsi="Arial" w:cs="Arial"/>
        </w:rPr>
      </w:pPr>
      <w:r>
        <w:rPr>
          <w:rFonts w:ascii="Arial" w:eastAsia="Arial" w:hAnsi="Arial" w:cs="Arial"/>
        </w:rPr>
        <w:t xml:space="preserve">Odredbe ove glave primjenjuju se na postrojenja u kojima se obavljaju djelatnosti utvrđene u Dodatku IV. ovoga Zakona ako kapacitet tih djelatnosti doseže ili prelazi pragove utvrđene u tom dodatku.</w:t>
      </w:r>
    </w:p>
    <w:p>
      <w:pPr>
        <w:pBdr/>
        <w:pStyle w:val="Normal"/>
        <w:spacing/>
        <w:ind/>
        <w:rPr>
          <w:rFonts w:ascii="Arial" w:eastAsia="Arial" w:hAnsi="Arial" w:cs="Arial"/>
        </w:rPr>
      </w:pPr>
    </w:p>
    <w:p>
      <w:pPr>
        <w:pBdr/>
        <w:pStyle w:val="Heading 2"/>
        <w:spacing/>
        <w:ind/>
        <w:rPr/>
      </w:pPr>
      <w:r>
        <w:rPr/>
        <w:t xml:space="preserve">Izuzeće od primjene</w:t>
      </w:r>
    </w:p>
    <w:p>
      <w:pPr>
        <w:pBdr/>
        <w:pStyle w:val="Heading 2"/>
        <w:spacing/>
        <w:ind/>
        <w:rPr/>
      </w:pPr>
      <w:r>
        <w:rPr/>
        <w:t xml:space="preserve">Članak 156.</w:t>
      </w:r>
    </w:p>
    <w:p>
      <w:pPr>
        <w:pBdr/>
        <w:pStyle w:val="Normal"/>
        <w:spacing w:line="276" w:lineRule="auto"/>
        <w:ind/>
        <w:tabs>
          <w:tab w:val="num" w:pos="360"/>
        </w:tabs>
        <w:rPr>
          <w:rFonts w:ascii="Arial" w:eastAsia="Arial" w:hAnsi="Arial" w:cs="Arial"/>
        </w:rPr>
      </w:pPr>
      <w:r>
        <w:rPr>
          <w:rFonts w:ascii="Arial" w:eastAsia="Arial" w:hAnsi="Arial" w:cs="Arial"/>
        </w:rPr>
        <w:t xml:space="preserve">Odredbe ove glave ne primjenjuju se na istraživačke i razvojne aktivnosti ni na ispitivanje novih proizvoda i postupaka.</w:t>
      </w:r>
    </w:p>
    <w:p>
      <w:pPr>
        <w:pBdr/>
        <w:pStyle w:val="Heading 2"/>
        <w:spacing/>
        <w:ind/>
        <w:rPr/>
      </w:pPr>
      <w:r>
        <w:rPr/>
        <w:t xml:space="preserve">Odnos okolišne dozvole i registracije</w:t>
      </w:r>
    </w:p>
    <w:p>
      <w:pPr>
        <w:pBdr/>
        <w:pStyle w:val="Heading 2"/>
        <w:spacing/>
        <w:ind/>
        <w:rPr/>
      </w:pPr>
      <w:r>
        <w:rPr/>
        <w:t xml:space="preserve">Članak 157.</w:t>
      </w:r>
    </w:p>
    <w:p>
      <w:pPr>
        <w:pBdr/>
        <w:pStyle w:val="Normal"/>
        <w:spacing/>
        <w:ind/>
        <w:rPr>
          <w:rFonts w:ascii="Arial" w:eastAsia="Arial" w:hAnsi="Arial" w:cs="Arial"/>
        </w:rPr>
      </w:pPr>
      <w:r>
        <w:rPr>
          <w:rFonts w:ascii="Arial" w:eastAsia="Arial" w:hAnsi="Arial" w:cs="Arial"/>
        </w:rPr>
        <w:t xml:space="preserve">(1) Ako se na istoj lokaciji uz djelatnost iz članka 155. ovoga Zakona obavljaju i djelatnosti za koje je propisana obveza ishođenja okolišne dozvole, Ministarstvo odlučuje hoće li se djelatnost iz članka 155. ovoga Zakona:</w:t>
      </w:r>
    </w:p>
    <w:p>
      <w:pPr>
        <w:pBdr/>
        <w:pStyle w:val="Normal"/>
        <w:spacing/>
        <w:ind/>
        <w:rPr>
          <w:rFonts w:ascii="Arial" w:eastAsia="Arial" w:hAnsi="Arial" w:cs="Arial"/>
        </w:rPr>
      </w:pPr>
      <w:r>
        <w:rPr>
          <w:rFonts w:ascii="Arial" w:eastAsia="Arial" w:hAnsi="Arial" w:cs="Arial"/>
        </w:rPr>
        <w:t xml:space="preserve">1. obuhvatiti okolišnom dozvolom ili</w:t>
      </w:r>
    </w:p>
    <w:p>
      <w:pPr>
        <w:pBdr/>
        <w:pStyle w:val="Normal"/>
        <w:spacing/>
        <w:ind/>
        <w:rPr>
          <w:rFonts w:ascii="Arial" w:eastAsia="Arial" w:hAnsi="Arial" w:cs="Arial"/>
        </w:rPr>
      </w:pPr>
      <w:r>
        <w:rPr>
          <w:rFonts w:ascii="Arial" w:eastAsia="Arial" w:hAnsi="Arial" w:cs="Arial"/>
        </w:rPr>
        <w:t xml:space="preserve">2. obuhvatiti rješenjem o registraciji, uz obuhvaćanje ostalih djelatnosti okolišnom dozvolom.</w:t>
      </w:r>
    </w:p>
    <w:p>
      <w:pPr>
        <w:pBdr/>
        <w:pStyle w:val="Normal"/>
        <w:spacing/>
        <w:ind/>
        <w:rPr>
          <w:rFonts w:ascii="Arial" w:eastAsia="Arial" w:hAnsi="Arial" w:cs="Arial"/>
        </w:rPr>
      </w:pPr>
      <w:r>
        <w:rPr>
          <w:rFonts w:ascii="Arial" w:eastAsia="Arial" w:hAnsi="Arial" w:cs="Arial"/>
        </w:rPr>
        <w:t xml:space="preserve">(2) Pri odlučivanju iz stavka 1. ovoga članka Ministarstvo uzima u obzir tehnološku povezanost djelatnosti i obuhvat operativnih pravila.</w:t>
      </w:r>
    </w:p>
    <w:p>
      <w:pPr>
        <w:pBdr/>
        <w:pStyle w:val="Normal"/>
        <w:spacing/>
        <w:ind/>
        <w:rPr>
          <w:rFonts w:ascii="Arial" w:eastAsia="Arial" w:hAnsi="Arial" w:cs="Arial"/>
        </w:rPr>
      </w:pPr>
      <w:r>
        <w:rPr>
          <w:rFonts w:ascii="Arial" w:eastAsia="Arial" w:hAnsi="Arial" w:cs="Arial"/>
        </w:rPr>
        <w:t xml:space="preserve">(3) Ako se djelatnost iz članka 155. ovoga Zakona obuhvaća okolišnom dozvolom u skladu sa stavkom 1. točkom 1. ovoga članka, zahtjev za izdavanje odnosno izmjenu i/ili dopunu okolišne dozvole mora, uz podatke propisane za postupak izdavanja okolišne dozvole, sadržavati najmanje i podatke iz članka 159. stavaka 1. i 2. ovoga Zakona.</w:t>
      </w:r>
    </w:p>
    <w:p>
      <w:pPr>
        <w:pBdr/>
        <w:pStyle w:val="Normal"/>
        <w:spacing/>
        <w:ind/>
        <w:rPr>
          <w:rFonts w:ascii="Arial" w:eastAsia="Arial" w:hAnsi="Arial" w:cs="Arial"/>
        </w:rPr>
      </w:pPr>
    </w:p>
    <w:p>
      <w:pPr>
        <w:pBdr/>
        <w:pStyle w:val="Heading 1"/>
        <w:spacing/>
        <w:ind/>
        <w:rPr/>
      </w:pPr>
      <w:r>
        <w:rPr/>
        <w:t xml:space="preserve">ODJELJAK 2. OPERATIVNA PRAVILA I OBVEZE OPERATERA</w:t>
      </w:r>
    </w:p>
    <w:p>
      <w:pPr>
        <w:pBdr/>
        <w:pStyle w:val="Heading 2"/>
        <w:spacing/>
        <w:ind/>
        <w:rPr/>
      </w:pPr>
      <w:r>
        <w:rPr/>
        <w:t xml:space="preserve">Pravilo akumulacije</w:t>
      </w:r>
    </w:p>
    <w:p>
      <w:pPr>
        <w:pBdr/>
        <w:pStyle w:val="Heading 2"/>
        <w:spacing/>
        <w:ind/>
        <w:rPr/>
      </w:pPr>
      <w:r>
        <w:rPr/>
        <w:t xml:space="preserve">Članak 158.</w:t>
      </w:r>
    </w:p>
    <w:p>
      <w:pPr>
        <w:pBdr/>
        <w:pStyle w:val="Normal"/>
        <w:spacing/>
        <w:ind/>
        <w:rPr>
          <w:rFonts w:ascii="Arial" w:eastAsia="Arial" w:hAnsi="Arial" w:cs="Arial"/>
        </w:rPr>
      </w:pPr>
      <w:r>
        <w:rPr>
          <w:rFonts w:ascii="Arial" w:eastAsia="Arial" w:hAnsi="Arial" w:cs="Arial"/>
        </w:rPr>
        <w:t xml:space="preserve">(1) Ministarstvo na temelju podataka iz zahtjeva operatera i drugih dostupnih podataka odnosno tijelo nadležno za inspekcijske poslove u području zaštite okoliša u postupku inspekcijskog nadzora može dva ili više postrojenja u kojima se obavljaju djelatnosti uzgoja životinja smatrati jedinstvenom jedinicom za izračun pragova kapaciteta iz Dodatka IV. ovoga Zakona ako se postrojenja nalaze u blizini i njima upravlja isti operater ili operateri povezani gospodarskim ili pravnim odnosom (u daljnjem tekstu: pravilo akumulacije).</w:t>
      </w:r>
    </w:p>
    <w:p>
      <w:pPr>
        <w:pBdr/>
        <w:pStyle w:val="Normal"/>
        <w:spacing/>
        <w:ind/>
        <w:rPr>
          <w:rFonts w:ascii="Arial" w:eastAsia="Arial" w:hAnsi="Arial" w:cs="Arial"/>
        </w:rPr>
      </w:pPr>
      <w:r>
        <w:rPr>
          <w:rFonts w:ascii="Arial" w:eastAsia="Arial" w:hAnsi="Arial" w:cs="Arial"/>
        </w:rPr>
        <w:t xml:space="preserve">(2) Pravilo akumulacije primjenjuje se radi sprječavanja dijeljenja postrojenja kojim se izbjegavaju obveze propisane ovim Zakonom.</w:t>
      </w:r>
    </w:p>
    <w:p>
      <w:pPr>
        <w:pBdr/>
        <w:pStyle w:val="Normal"/>
        <w:spacing/>
        <w:ind/>
        <w:rPr>
          <w:rFonts w:ascii="Arial" w:eastAsia="Arial" w:hAnsi="Arial" w:cs="Arial"/>
        </w:rPr>
      </w:pPr>
    </w:p>
    <w:p>
      <w:pPr>
        <w:pBdr/>
        <w:pStyle w:val="Heading 2"/>
        <w:spacing/>
        <w:ind/>
        <w:rPr/>
      </w:pPr>
      <w:r>
        <w:rPr/>
        <w:t xml:space="preserve">Zahtjev za registraciju postrojenja</w:t>
      </w:r>
    </w:p>
    <w:p>
      <w:pPr>
        <w:pBdr/>
        <w:pStyle w:val="Heading 2"/>
        <w:spacing/>
        <w:ind/>
        <w:rPr/>
      </w:pPr>
      <w:r>
        <w:rPr/>
        <w:t xml:space="preserve">Članak 159.</w:t>
      </w:r>
    </w:p>
    <w:p>
      <w:pPr>
        <w:pBdr/>
        <w:pStyle w:val="Normal"/>
        <w:spacing/>
        <w:ind/>
        <w:rPr>
          <w:rFonts w:ascii="Arial" w:eastAsia="Arial" w:hAnsi="Arial" w:cs="Arial"/>
        </w:rPr>
      </w:pPr>
      <w:r>
        <w:rPr>
          <w:rFonts w:ascii="Arial" w:eastAsia="Arial" w:hAnsi="Arial" w:cs="Arial"/>
        </w:rPr>
        <w:t xml:space="preserve">(1) Zahtjev za registraciju postrojenja za uzgoj životinja iz članka 155. ovoga Zakona obvezno sadrži opis i podatke o:</w:t>
      </w:r>
    </w:p>
    <w:p>
      <w:pPr>
        <w:pBdr/>
        <w:pStyle w:val="Normal"/>
        <w:spacing/>
        <w:ind/>
        <w:rPr>
          <w:rFonts w:ascii="Arial" w:eastAsia="Arial" w:hAnsi="Arial" w:cs="Arial"/>
        </w:rPr>
      </w:pPr>
      <w:r>
        <w:rPr>
          <w:rFonts w:ascii="Arial" w:eastAsia="Arial" w:hAnsi="Arial" w:cs="Arial"/>
        </w:rPr>
        <w:t xml:space="preserve">1. postrojenju i djelatnosti koja se u njemu obavlja</w:t>
      </w:r>
    </w:p>
    <w:p>
      <w:pPr>
        <w:pBdr/>
        <w:pStyle w:val="Normal"/>
        <w:spacing/>
        <w:ind/>
        <w:rPr>
          <w:rFonts w:ascii="Arial" w:eastAsia="Arial" w:hAnsi="Arial" w:cs="Arial"/>
        </w:rPr>
      </w:pPr>
      <w:r>
        <w:rPr>
          <w:rFonts w:ascii="Arial" w:eastAsia="Arial" w:hAnsi="Arial" w:cs="Arial"/>
        </w:rPr>
        <w:t xml:space="preserve">2. vrsti životinja koje se uzgajaju u postrojenju</w:t>
      </w:r>
    </w:p>
    <w:p>
      <w:pPr>
        <w:pBdr/>
        <w:pStyle w:val="Normal"/>
        <w:spacing/>
        <w:ind/>
        <w:rPr>
          <w:rFonts w:ascii="Arial" w:eastAsia="Arial" w:hAnsi="Arial" w:cs="Arial"/>
        </w:rPr>
      </w:pPr>
      <w:r>
        <w:rPr>
          <w:rFonts w:ascii="Arial" w:eastAsia="Arial" w:hAnsi="Arial" w:cs="Arial"/>
        </w:rPr>
        <w:t xml:space="preserve">3. kapacitetu postrojenja</w:t>
      </w:r>
    </w:p>
    <w:p>
      <w:pPr>
        <w:pBdr/>
        <w:pStyle w:val="Normal"/>
        <w:spacing/>
        <w:ind/>
        <w:rPr>
          <w:rFonts w:ascii="Arial" w:eastAsia="Arial" w:hAnsi="Arial" w:cs="Arial"/>
        </w:rPr>
      </w:pPr>
      <w:r>
        <w:rPr>
          <w:rFonts w:ascii="Arial" w:eastAsia="Arial" w:hAnsi="Arial" w:cs="Arial"/>
        </w:rPr>
        <w:t xml:space="preserve">4. izvorima emisija iz postrojenja</w:t>
      </w:r>
    </w:p>
    <w:p>
      <w:pPr>
        <w:pBdr/>
        <w:pStyle w:val="Normal"/>
        <w:spacing/>
        <w:ind/>
        <w:rPr>
          <w:rFonts w:ascii="Arial" w:eastAsia="Arial" w:hAnsi="Arial" w:cs="Arial"/>
        </w:rPr>
      </w:pPr>
      <w:r>
        <w:rPr>
          <w:rFonts w:ascii="Arial" w:eastAsia="Arial" w:hAnsi="Arial" w:cs="Arial"/>
        </w:rPr>
        <w:t xml:space="preserve">5. prirodi i količini predvidivih emisija iz postrojenja u okoliš</w:t>
      </w:r>
    </w:p>
    <w:p>
      <w:pPr>
        <w:pBdr/>
        <w:pStyle w:val="Normal"/>
        <w:spacing/>
        <w:ind/>
        <w:rPr>
          <w:rFonts w:ascii="Arial" w:eastAsia="Arial" w:hAnsi="Arial" w:cs="Arial"/>
        </w:rPr>
      </w:pPr>
      <w:r>
        <w:rPr>
          <w:rFonts w:ascii="Arial" w:eastAsia="Arial" w:hAnsi="Arial" w:cs="Arial"/>
        </w:rPr>
        <w:t xml:space="preserve">6. gustoći populacije izraženoj u stočnim jedinicama po hektaru, izračunatoj u skladu s Dodatkom IV. ovoga Zakona, ako je primjenjivo</w:t>
      </w:r>
    </w:p>
    <w:p>
      <w:pPr>
        <w:pBdr/>
        <w:pStyle w:val="Normal"/>
        <w:spacing/>
        <w:ind/>
        <w:rPr>
          <w:rFonts w:ascii="Arial" w:eastAsia="Arial" w:hAnsi="Arial" w:cs="Arial"/>
        </w:rPr>
      </w:pPr>
      <w:r>
        <w:rPr>
          <w:rFonts w:ascii="Arial" w:eastAsia="Arial" w:hAnsi="Arial" w:cs="Arial"/>
        </w:rPr>
        <w:t xml:space="preserve">7. drugim povezanim postrojenjima u neposrednoj blizini kojima upravlja isti operater ili s njim gospodarski ili pravno povezani operater</w:t>
      </w:r>
    </w:p>
    <w:p>
      <w:pPr>
        <w:pBdr/>
        <w:pStyle w:val="Normal"/>
        <w:spacing/>
        <w:ind/>
        <w:rPr>
          <w:rFonts w:ascii="Arial" w:eastAsia="Arial" w:hAnsi="Arial" w:cs="Arial"/>
        </w:rPr>
      </w:pPr>
      <w:r>
        <w:rPr>
          <w:rFonts w:ascii="Arial" w:eastAsia="Arial" w:hAnsi="Arial" w:cs="Arial"/>
        </w:rPr>
        <w:t xml:space="preserve">8. drugim djelatnostima koje se obavljaju na istoj lokaciji.</w:t>
      </w:r>
    </w:p>
    <w:p>
      <w:pPr>
        <w:pBdr/>
        <w:pStyle w:val="Normal"/>
        <w:spacing/>
        <w:ind/>
        <w:rPr>
          <w:rFonts w:ascii="Arial" w:eastAsia="Arial" w:hAnsi="Arial" w:cs="Arial"/>
        </w:rPr>
      </w:pPr>
      <w:r>
        <w:rPr>
          <w:rFonts w:ascii="Arial" w:eastAsia="Arial" w:hAnsi="Arial" w:cs="Arial"/>
        </w:rPr>
        <w:t xml:space="preserve">(2) Zahtjev iz stavka 1. ovoga članka sadrži i netehnički sažetak podataka iz toga stavka te druge podatke propisane pravilnikom iz članka 163. stavka 1. ovoga Zakona.</w:t>
      </w:r>
    </w:p>
    <w:p>
      <w:pPr>
        <w:pBdr/>
        <w:pStyle w:val="Normal"/>
        <w:spacing/>
        <w:ind/>
        <w:rPr>
          <w:rFonts w:ascii="Arial" w:eastAsia="Arial" w:hAnsi="Arial" w:cs="Arial"/>
        </w:rPr>
      </w:pPr>
      <w:r>
        <w:rPr>
          <w:rFonts w:ascii="Arial" w:eastAsia="Arial" w:hAnsi="Arial" w:cs="Arial"/>
        </w:rPr>
        <w:t xml:space="preserve">(3) Operater je odgovoran za točnost i istinitost podataka i dokumentacije dostavljenih uz zahtjev.</w:t>
      </w:r>
    </w:p>
    <w:p>
      <w:pPr>
        <w:pBdr/>
        <w:pStyle w:val="Normal"/>
        <w:spacing/>
        <w:ind/>
        <w:rPr>
          <w:rFonts w:ascii="Arial" w:eastAsia="Arial" w:hAnsi="Arial" w:cs="Arial"/>
        </w:rPr>
      </w:pPr>
    </w:p>
    <w:p>
      <w:pPr>
        <w:pBdr/>
        <w:pStyle w:val="Heading 2"/>
        <w:spacing/>
        <w:ind/>
        <w:rPr/>
      </w:pPr>
      <w:r>
        <w:rPr/>
        <w:t xml:space="preserve">Promjena u radu registriranog postrojenja</w:t>
      </w:r>
    </w:p>
    <w:p>
      <w:pPr>
        <w:pBdr/>
        <w:pStyle w:val="Heading 2"/>
        <w:spacing/>
        <w:ind/>
        <w:rPr/>
      </w:pPr>
      <w:r>
        <w:rPr/>
        <w:t xml:space="preserve">Članak 160.</w:t>
      </w:r>
    </w:p>
    <w:p>
      <w:pPr>
        <w:pBdr/>
        <w:pStyle w:val="Normal"/>
        <w:spacing/>
        <w:ind/>
        <w:rPr>
          <w:rFonts w:ascii="Arial" w:eastAsia="Arial" w:hAnsi="Arial" w:cs="Arial"/>
        </w:rPr>
      </w:pPr>
      <w:r>
        <w:rPr>
          <w:rFonts w:ascii="Arial" w:eastAsia="Arial" w:hAnsi="Arial" w:cs="Arial"/>
        </w:rPr>
        <w:t xml:space="preserve">(1) Operater je dužan odmah, a prije početka provedbe svake planirane značajne promjene registriranog postrojenja koja bi mogla utjecati na okoliš obavijestiti Ministarstvo o toj promjeni.</w:t>
      </w:r>
    </w:p>
    <w:p>
      <w:pPr>
        <w:pBdr/>
        <w:pStyle w:val="Normal"/>
        <w:spacing/>
        <w:ind/>
        <w:rPr>
          <w:rFonts w:ascii="Arial" w:eastAsia="Arial" w:hAnsi="Arial" w:cs="Arial"/>
        </w:rPr>
      </w:pPr>
      <w:r>
        <w:rPr>
          <w:rFonts w:ascii="Arial" w:eastAsia="Arial" w:hAnsi="Arial" w:cs="Arial"/>
        </w:rPr>
        <w:t xml:space="preserve">(2) Ministarstvo na temelju obavijesti iz stavka 1. ovoga članka pisanim putem obavješćuje operatera da nova registracija postrojenja nije potrebna ili da je potrebno podnijeti zahtjev za novu registraciju.</w:t>
      </w:r>
    </w:p>
    <w:p>
      <w:pPr>
        <w:pBdr/>
        <w:pStyle w:val="Normal"/>
        <w:spacing/>
        <w:ind/>
        <w:rPr>
          <w:rFonts w:ascii="Arial" w:eastAsia="Arial" w:hAnsi="Arial" w:cs="Arial"/>
        </w:rPr>
      </w:pPr>
      <w:r>
        <w:rPr>
          <w:rFonts w:ascii="Arial" w:eastAsia="Arial" w:hAnsi="Arial" w:cs="Arial"/>
        </w:rPr>
        <w:t xml:space="preserve">(3) Operater ne smije provesti značajnu promjenu za koju je Ministarstvo utvrdilo da zahtijeva novu registraciju prije izvršnosti novog rješenja o registraciji.</w:t>
      </w:r>
    </w:p>
    <w:p>
      <w:pPr>
        <w:pBdr/>
        <w:pStyle w:val="Normal"/>
        <w:spacing/>
        <w:ind/>
        <w:rPr>
          <w:rFonts w:ascii="Arial" w:eastAsia="Arial" w:hAnsi="Arial" w:cs="Arial"/>
        </w:rPr>
      </w:pPr>
    </w:p>
    <w:p>
      <w:pPr>
        <w:pBdr/>
        <w:pStyle w:val="Heading 2"/>
        <w:spacing/>
        <w:ind/>
        <w:rPr/>
      </w:pPr>
      <w:r>
        <w:rPr/>
        <w:t xml:space="preserve">Rješenje o registraciji</w:t>
      </w:r>
    </w:p>
    <w:p>
      <w:pPr>
        <w:pBdr/>
        <w:pStyle w:val="Heading 2"/>
        <w:spacing/>
        <w:ind/>
        <w:rPr/>
      </w:pPr>
      <w:r>
        <w:rPr/>
        <w:t xml:space="preserve">Članak 161.</w:t>
      </w:r>
    </w:p>
    <w:p>
      <w:pPr>
        <w:pBdr/>
        <w:pStyle w:val="Normal"/>
        <w:spacing/>
        <w:ind/>
        <w:rPr>
          <w:rFonts w:ascii="Arial" w:eastAsia="Arial" w:hAnsi="Arial" w:cs="Arial"/>
        </w:rPr>
      </w:pPr>
      <w:r>
        <w:rPr>
          <w:rFonts w:ascii="Arial" w:eastAsia="Arial" w:hAnsi="Arial" w:cs="Arial"/>
        </w:rPr>
        <w:t xml:space="preserve">(1) O zahtjevu za registraciju postrojenja iz članka 159. ovoga Zakona Ministarstvo odlučuje rješenjem o registraciji.</w:t>
      </w:r>
    </w:p>
    <w:p>
      <w:pPr>
        <w:pBdr/>
        <w:pStyle w:val="Normal"/>
        <w:spacing/>
        <w:ind/>
        <w:rPr>
          <w:rFonts w:ascii="Arial" w:eastAsia="Arial" w:hAnsi="Arial" w:cs="Arial"/>
        </w:rPr>
      </w:pPr>
      <w:r>
        <w:rPr>
          <w:rFonts w:ascii="Arial" w:eastAsia="Arial" w:hAnsi="Arial" w:cs="Arial"/>
        </w:rPr>
        <w:t xml:space="preserve">(2) Rješenje o registraciji je upravni akt.</w:t>
      </w:r>
    </w:p>
    <w:p>
      <w:pPr>
        <w:pBdr/>
        <w:pStyle w:val="Normal"/>
        <w:spacing/>
        <w:ind/>
        <w:rPr>
          <w:rFonts w:ascii="Arial" w:eastAsia="Arial" w:hAnsi="Arial" w:cs="Arial"/>
        </w:rPr>
      </w:pPr>
      <w:r>
        <w:rPr>
          <w:rFonts w:ascii="Arial" w:eastAsia="Arial" w:hAnsi="Arial" w:cs="Arial"/>
        </w:rPr>
        <w:t xml:space="preserve">(3) Protiv rješenja iz stavka 1. ovoga članka žalba nije dopuštena, ali se može pokrenuti upravni spor.</w:t>
      </w:r>
    </w:p>
    <w:p>
      <w:pPr>
        <w:pBdr/>
        <w:pStyle w:val="Normal"/>
        <w:spacing/>
        <w:ind/>
        <w:rPr>
          <w:rFonts w:ascii="Arial" w:eastAsia="Arial" w:hAnsi="Arial" w:cs="Arial"/>
        </w:rPr>
      </w:pPr>
      <w:r>
        <w:rPr>
          <w:rFonts w:ascii="Arial" w:eastAsia="Arial" w:hAnsi="Arial" w:cs="Arial"/>
        </w:rPr>
        <w:t xml:space="preserve">(4) Postrojenje iz članka 155. ovoga Zakona ne smije započeti s radom niti raditi bez izvršnog rješenja o registraciji, osim ako je obuhvaćeno okolišnom dozvolom u skladu s člankom 157. stavkom 1. točkom 1. ovoga Zakona.</w:t>
      </w:r>
    </w:p>
    <w:p>
      <w:pPr>
        <w:pBdr/>
        <w:pStyle w:val="Normal"/>
        <w:spacing/>
        <w:ind/>
        <w:rPr>
          <w:rFonts w:ascii="Arial" w:eastAsia="Arial" w:hAnsi="Arial" w:cs="Arial"/>
        </w:rPr>
      </w:pPr>
    </w:p>
    <w:p>
      <w:pPr>
        <w:pBdr/>
        <w:pStyle w:val="Heading 2"/>
        <w:spacing/>
        <w:ind/>
        <w:rPr/>
      </w:pPr>
      <w:r>
        <w:rPr/>
        <w:t xml:space="preserve">Registar postrojenja za uzgoj životinja i povezivanje podataka</w:t>
      </w:r>
    </w:p>
    <w:p>
      <w:pPr>
        <w:pBdr/>
        <w:pStyle w:val="Heading 2"/>
        <w:spacing/>
        <w:ind/>
        <w:rPr/>
      </w:pPr>
      <w:r>
        <w:rPr/>
        <w:t xml:space="preserve">Članak 162.</w:t>
      </w:r>
    </w:p>
    <w:p>
      <w:pPr>
        <w:pBdr/>
        <w:pStyle w:val="Normal"/>
        <w:spacing/>
        <w:ind/>
        <w:rPr>
          <w:rFonts w:ascii="Arial" w:eastAsia="Arial" w:hAnsi="Arial" w:cs="Arial"/>
        </w:rPr>
      </w:pPr>
      <w:r>
        <w:rPr>
          <w:rFonts w:ascii="Arial" w:eastAsia="Arial" w:hAnsi="Arial" w:cs="Arial"/>
        </w:rPr>
        <w:t xml:space="preserve">(1) Ministarstvo uspostavlja i vodi Registar postrojenja za uzgoj životinja za koja je izdano rješenje o registraciji u elektroničkom obliku kao sastavni dio ISZOP-</w:t>
      </w:r>
      <w:r>
        <w:rPr>
          <w:rFonts w:ascii="Arial" w:eastAsia="Arial" w:hAnsi="Arial" w:cs="Arial"/>
        </w:rPr>
        <w:t xml:space="preserve">a te osigurava njegovo informatičko povezivanje i razmjenu podataka s odgovarajućim upisnicima i registrima iz nadležnosti tijela državne uprave nadležnog za poljoprivredu.</w:t>
      </w:r>
    </w:p>
    <w:p>
      <w:pPr>
        <w:pBdr/>
        <w:pStyle w:val="Normal"/>
        <w:spacing/>
        <w:ind/>
        <w:rPr>
          <w:rFonts w:ascii="Arial" w:eastAsia="Arial" w:hAnsi="Arial" w:cs="Arial"/>
        </w:rPr>
      </w:pPr>
      <w:r>
        <w:rPr>
          <w:rFonts w:ascii="Arial" w:eastAsia="Arial" w:hAnsi="Arial" w:cs="Arial"/>
        </w:rPr>
        <w:t xml:space="preserve">(2) Dostupnost podataka iz Registra javnosti osigurava se u skladu s odredbama članka 233. ovoga Zakona kojima se uređuje informiranje javnosti o registraciji postrojenja za uzgoj životinja.</w:t>
      </w:r>
    </w:p>
    <w:p>
      <w:pPr>
        <w:pBdr/>
        <w:pStyle w:val="Normal"/>
        <w:spacing/>
        <w:ind/>
        <w:rPr>
          <w:rFonts w:ascii="Arial" w:eastAsia="Arial" w:hAnsi="Arial" w:cs="Arial"/>
        </w:rPr>
      </w:pPr>
      <w:r>
        <w:rPr>
          <w:rFonts w:ascii="Arial" w:eastAsia="Arial" w:hAnsi="Arial" w:cs="Arial"/>
        </w:rPr>
        <w:t xml:space="preserve">(3) Sadržaj i način vođenja Registra te način razmjene podataka iz stavka 1. ovoga članka propisuju se pravilnikom iz članka 163. stavka 1. ovoga Zakona.</w:t>
      </w:r>
    </w:p>
    <w:p>
      <w:pPr>
        <w:pBdr/>
        <w:pStyle w:val="Normal"/>
        <w:spacing/>
        <w:ind/>
        <w:rPr>
          <w:rFonts w:ascii="Arial" w:eastAsia="Arial" w:hAnsi="Arial" w:cs="Arial"/>
        </w:rPr>
      </w:pPr>
    </w:p>
    <w:p>
      <w:pPr>
        <w:pBdr/>
        <w:pStyle w:val="Heading 2"/>
        <w:spacing/>
        <w:ind/>
        <w:rPr/>
      </w:pPr>
      <w:r>
        <w:rPr/>
        <w:t xml:space="preserve">Operativna pravila</w:t>
      </w:r>
    </w:p>
    <w:p>
      <w:pPr>
        <w:pBdr/>
        <w:pStyle w:val="Heading 2"/>
        <w:spacing/>
        <w:ind/>
        <w:rPr/>
      </w:pPr>
      <w:r>
        <w:rPr/>
        <w:t xml:space="preserve">Članak 163.</w:t>
      </w:r>
    </w:p>
    <w:p>
      <w:pPr>
        <w:pBdr/>
        <w:pStyle w:val="Normal"/>
        <w:spacing/>
        <w:ind/>
        <w:rPr>
          <w:rFonts w:ascii="Arial" w:eastAsia="Arial" w:hAnsi="Arial" w:cs="Arial"/>
        </w:rPr>
      </w:pPr>
      <w:r>
        <w:rPr>
          <w:rFonts w:ascii="Arial" w:eastAsia="Arial" w:hAnsi="Arial" w:cs="Arial"/>
        </w:rPr>
        <w:t xml:space="preserve">(1) Ministar pravilnikom propisuje operativna pravila za postrojenja iz članka 155. ovoga Zakona u skladu s jedinstvenim uvjetima za operativna pravila koje donosi Europska komisija.</w:t>
      </w:r>
    </w:p>
    <w:p>
      <w:pPr>
        <w:pBdr/>
        <w:pStyle w:val="Normal"/>
        <w:spacing/>
        <w:ind/>
        <w:rPr>
          <w:rFonts w:ascii="Arial" w:eastAsia="Arial" w:hAnsi="Arial" w:cs="Arial"/>
        </w:rPr>
      </w:pPr>
      <w:r>
        <w:rPr>
          <w:rFonts w:ascii="Arial" w:eastAsia="Arial" w:hAnsi="Arial" w:cs="Arial"/>
        </w:rPr>
        <w:t xml:space="preserve">(2) Operativnim pravilima iz stavka 1. ovoga članka propisuju se granične vrijednosti emisija, granične vrijednosti okolišne učinkovitosti, zahtjevi i metode praćenja te, ako je primjenjivo, tehnički zahtjevi koji se odnose na sprječavanje i smanjenje onečišćenja, upravljanje hranjivim tvarima, pripremu hrane za životinje, smještaj životinja, gospodarenje stajskim gnojem, uključujući njegovo sakupljanje, skladištenje, obradu i rasprostiranje na tlo, te odlaganje uginulih životinja.</w:t>
      </w:r>
    </w:p>
    <w:p>
      <w:pPr>
        <w:pBdr/>
        <w:pStyle w:val="Normal"/>
        <w:spacing/>
        <w:ind/>
        <w:rPr>
          <w:rFonts w:ascii="Arial" w:eastAsia="Arial" w:hAnsi="Arial" w:cs="Arial"/>
        </w:rPr>
      </w:pPr>
      <w:r>
        <w:rPr>
          <w:rFonts w:ascii="Arial" w:eastAsia="Arial" w:hAnsi="Arial" w:cs="Arial"/>
        </w:rPr>
        <w:t xml:space="preserve">(3) Pravilnikom iz stavka 1. ovoga članka propisuju se i obrazac zahtjeva za registraciju postrojenja, dodatni podaci te dokumentacija koja se prilaže uz zahtjev.</w:t>
      </w:r>
    </w:p>
    <w:p>
      <w:pPr>
        <w:pBdr/>
        <w:pStyle w:val="Normal"/>
        <w:spacing/>
        <w:ind/>
        <w:rPr>
          <w:rFonts w:ascii="Arial" w:eastAsia="Arial" w:hAnsi="Arial" w:cs="Arial"/>
        </w:rPr>
      </w:pPr>
    </w:p>
    <w:p>
      <w:pPr>
        <w:pBdr/>
        <w:pStyle w:val="Heading 2"/>
        <w:spacing/>
        <w:ind/>
        <w:rPr/>
      </w:pPr>
      <w:r>
        <w:rPr/>
        <w:t xml:space="preserve">Opće obveze operatera</w:t>
      </w:r>
    </w:p>
    <w:p>
      <w:pPr>
        <w:pBdr/>
        <w:pStyle w:val="Heading 2"/>
        <w:spacing/>
        <w:ind/>
        <w:rPr/>
      </w:pPr>
      <w:r>
        <w:rPr/>
        <w:t xml:space="preserve">Članak 164.</w:t>
      </w:r>
    </w:p>
    <w:p>
      <w:pPr>
        <w:pBdr/>
        <w:pStyle w:val="Normal"/>
        <w:spacing/>
        <w:ind/>
        <w:rPr>
          <w:rFonts w:ascii="Arial" w:eastAsia="Arial" w:hAnsi="Arial" w:cs="Arial"/>
        </w:rPr>
      </w:pPr>
      <w:r>
        <w:rPr>
          <w:rFonts w:ascii="Arial" w:eastAsia="Arial" w:hAnsi="Arial" w:cs="Arial"/>
        </w:rPr>
        <w:t xml:space="preserve">(1) Operater postrojenja iz članka 155. ovoga Zakona dužan je osigurati da se rad postrojenja u cijelosti obavlja u skladu s operativnim pravilima propisanima pravilnikom iz članka 163. stavka 1. ovoga Zakona.</w:t>
      </w:r>
    </w:p>
    <w:p>
      <w:pPr>
        <w:pBdr/>
        <w:pStyle w:val="Normal"/>
        <w:spacing/>
        <w:ind/>
        <w:rPr>
          <w:rFonts w:ascii="Arial" w:eastAsia="Arial" w:hAnsi="Arial" w:cs="Arial"/>
        </w:rPr>
      </w:pPr>
      <w:r>
        <w:rPr>
          <w:rFonts w:ascii="Arial" w:eastAsia="Arial" w:hAnsi="Arial" w:cs="Arial"/>
        </w:rPr>
        <w:t xml:space="preserve">(2) Operater je dužan osigurati da se gospodarenje stajskim gnojem te rasprostiranje na tlo otpada, nusproizvoda životinjskog podrijetla ili drugih ostataka nastalih u postrojenju </w:t>
      </w:r>
      <w:r>
        <w:rPr>
          <w:rFonts w:ascii="Arial" w:eastAsia="Arial" w:hAnsi="Arial" w:cs="Arial"/>
        </w:rPr>
        <w:t xml:space="preserve">provodi u skladu s operativnim pravilima iz stavka 1. ovoga članka i drugim primjenjivim propisima te na način kojim se ne uzrokuje značajno onečišćenje okoliša.</w:t>
      </w:r>
    </w:p>
    <w:p>
      <w:pPr>
        <w:pBdr/>
        <w:pStyle w:val="Normal"/>
        <w:spacing/>
        <w:ind/>
        <w:rPr>
          <w:rFonts w:ascii="Arial" w:eastAsia="Arial" w:hAnsi="Arial" w:cs="Arial"/>
        </w:rPr>
      </w:pPr>
      <w:r>
        <w:rPr>
          <w:rFonts w:ascii="Arial" w:eastAsia="Arial" w:hAnsi="Arial" w:cs="Arial"/>
        </w:rPr>
        <w:t xml:space="preserve">(3) Na postupanje iz stavka 2. ovoga članka primjenjuju se i propisi kojima se uređuju nusproizvodi životinjskog podrijetla i od njih dobiveni proizvodi koji nisu namijenjeni prehrani ljudi.</w:t>
      </w:r>
    </w:p>
    <w:p>
      <w:pPr>
        <w:pBdr/>
        <w:pStyle w:val="Normal"/>
        <w:spacing/>
        <w:ind/>
        <w:rPr>
          <w:rFonts w:ascii="Arial" w:eastAsia="Arial" w:hAnsi="Arial" w:cs="Arial"/>
        </w:rPr>
      </w:pPr>
    </w:p>
    <w:p>
      <w:pPr>
        <w:pBdr/>
        <w:pStyle w:val="Heading 2"/>
        <w:spacing/>
        <w:ind/>
        <w:rPr/>
      </w:pPr>
      <w:r>
        <w:rPr/>
        <w:t xml:space="preserve">Praćenje emisija i okolišne učinkovitosti</w:t>
      </w:r>
    </w:p>
    <w:p>
      <w:pPr>
        <w:pBdr/>
        <w:pStyle w:val="Heading 2"/>
        <w:spacing/>
        <w:ind/>
        <w:rPr/>
      </w:pPr>
      <w:r>
        <w:rPr/>
        <w:t xml:space="preserve">Članak 165.</w:t>
      </w:r>
    </w:p>
    <w:p>
      <w:pPr>
        <w:pBdr/>
        <w:pStyle w:val="Normal"/>
        <w:spacing/>
        <w:ind/>
        <w:rPr>
          <w:rFonts w:ascii="Arial" w:eastAsia="Arial" w:hAnsi="Arial" w:cs="Arial"/>
        </w:rPr>
      </w:pPr>
      <w:r>
        <w:rPr>
          <w:rFonts w:ascii="Arial" w:eastAsia="Arial" w:hAnsi="Arial" w:cs="Arial"/>
        </w:rPr>
        <w:t xml:space="preserve">(1) Operater je dužan provoditi praćenje emisija i povezanih razina okolišne učinkovitosti te osigurati da ne prelaze granične vrijednosti propisane pravilnikom iz članka 163. stavka 1. ovoga Zakona.</w:t>
      </w:r>
    </w:p>
    <w:p>
      <w:pPr>
        <w:pBdr/>
        <w:pStyle w:val="Normal"/>
        <w:spacing/>
        <w:ind/>
        <w:rPr>
          <w:rFonts w:ascii="Arial" w:eastAsia="Arial" w:hAnsi="Arial" w:cs="Arial"/>
        </w:rPr>
      </w:pPr>
      <w:r>
        <w:rPr>
          <w:rFonts w:ascii="Arial" w:eastAsia="Arial" w:hAnsi="Arial" w:cs="Arial"/>
        </w:rPr>
        <w:t xml:space="preserve">(2) Podaci o praćenju dobivaju se mjerenjem ili, ako je to dopušteno operativnim pravilima, izračunom prema metodama propisanima pravilnikom iz članka 163. stavka 1. ovoga Zakona.</w:t>
      </w:r>
    </w:p>
    <w:p>
      <w:pPr>
        <w:pBdr/>
        <w:pStyle w:val="Normal"/>
        <w:spacing/>
        <w:ind/>
        <w:rPr>
          <w:rFonts w:ascii="Arial" w:eastAsia="Arial" w:hAnsi="Arial" w:cs="Arial"/>
        </w:rPr>
      </w:pPr>
      <w:r>
        <w:rPr>
          <w:rFonts w:ascii="Arial" w:eastAsia="Arial" w:hAnsi="Arial" w:cs="Arial"/>
        </w:rPr>
        <w:t xml:space="preserve">(3) Operater je dužan voditi evidenciju rezultata praćenja i čuvati je najmanje pet godina od dana zaprimanja rezultata mjerenja odnosno izrade rezultata izračuna na način koji omogućuje provjeru sukladnosti s propisanim uvjetima.</w:t>
      </w:r>
    </w:p>
    <w:p>
      <w:pPr>
        <w:pBdr/>
        <w:pStyle w:val="Normal"/>
        <w:spacing/>
        <w:ind/>
        <w:rPr>
          <w:rFonts w:ascii="Arial" w:eastAsia="Arial" w:hAnsi="Arial" w:cs="Arial"/>
        </w:rPr>
      </w:pPr>
      <w:r>
        <w:rPr>
          <w:rFonts w:ascii="Arial" w:eastAsia="Arial" w:hAnsi="Arial" w:cs="Arial"/>
        </w:rPr>
        <w:t xml:space="preserve">(4) Ako se podaci o praćenju dobivaju mjerenjem, praćenje i unos rezultata u ISZOP provode ovlašteni laboratoriji u skladu s ovim Zakonom i propisima kojima se uređuje zaštita pojedinih sastavnica okoliša, a ako se podaci dobivaju izračunom, izračun i unos rezultata u ISZOP osigurava operater.</w:t>
      </w:r>
    </w:p>
    <w:p>
      <w:pPr>
        <w:pBdr/>
        <w:pStyle w:val="Normal"/>
        <w:spacing/>
        <w:ind/>
        <w:rPr>
          <w:rFonts w:ascii="Arial" w:eastAsia="Arial" w:hAnsi="Arial" w:cs="Arial"/>
        </w:rPr>
      </w:pPr>
    </w:p>
    <w:p>
      <w:pPr>
        <w:pBdr/>
        <w:pStyle w:val="Heading 2"/>
        <w:spacing/>
        <w:ind/>
        <w:rPr/>
      </w:pPr>
      <w:r>
        <w:rPr/>
        <w:t xml:space="preserve">Postupanje u slučaju nesukladnosti, izvanrednog događaja ili nesreće</w:t>
      </w:r>
    </w:p>
    <w:p>
      <w:pPr>
        <w:pBdr/>
        <w:pStyle w:val="Heading 2"/>
        <w:spacing/>
        <w:ind/>
        <w:rPr/>
      </w:pPr>
      <w:r>
        <w:rPr/>
        <w:t xml:space="preserve">Članak 166.</w:t>
      </w:r>
    </w:p>
    <w:p>
      <w:pPr>
        <w:pBdr/>
        <w:pStyle w:val="Normal"/>
        <w:spacing/>
        <w:ind/>
        <w:rPr>
          <w:rFonts w:ascii="Arial" w:eastAsia="Arial" w:hAnsi="Arial" w:cs="Arial"/>
        </w:rPr>
      </w:pPr>
      <w:r>
        <w:rPr>
          <w:rFonts w:ascii="Arial" w:eastAsia="Arial" w:hAnsi="Arial" w:cs="Arial"/>
        </w:rPr>
        <w:t xml:space="preserve">(1) Operater je dužan u slučaju nesukladnosti s graničnim vrijednostima emisija ili graničnim vrijednostima okolišne učinkovitosti propisanima pravilnikom iz članka 163. stavka 1. ovoga Zakona odmah poduzeti sve potrebne mjere radi ponovnog postizanja sukladnosti u najkraćem mogućem roku i o tome odmah obavijestiti tijelo nadležno za inspekcijske poslove zaštite okoliša.</w:t>
      </w:r>
    </w:p>
    <w:p>
      <w:pPr>
        <w:pBdr/>
        <w:pStyle w:val="Normal"/>
        <w:spacing/>
        <w:ind/>
        <w:rPr>
          <w:rFonts w:ascii="Arial" w:eastAsia="Arial" w:hAnsi="Arial" w:cs="Arial"/>
        </w:rPr>
      </w:pPr>
      <w:r>
        <w:rPr>
          <w:rFonts w:ascii="Arial" w:eastAsia="Arial" w:hAnsi="Arial" w:cs="Arial"/>
        </w:rPr>
        <w:t xml:space="preserve">(2) U slučaju izvanrednog događaja ili nesreće uzrokovanih radom postrojenja koji znatno utječu na zdravlje ljudi ili okoliš operater je dužan:</w:t>
      </w:r>
    </w:p>
    <w:p>
      <w:pPr>
        <w:pBdr/>
        <w:pStyle w:val="Normal"/>
        <w:spacing/>
        <w:ind/>
        <w:rPr>
          <w:rFonts w:ascii="Arial" w:eastAsia="Arial" w:hAnsi="Arial" w:cs="Arial"/>
        </w:rPr>
      </w:pPr>
      <w:r>
        <w:rPr>
          <w:rFonts w:ascii="Arial" w:eastAsia="Arial" w:hAnsi="Arial" w:cs="Arial"/>
        </w:rPr>
        <w:t xml:space="preserve">1. odmah obavijestiti Ministarstvo i tijelo nadležno za inspekcijske poslove u području zaštite okoliša</w:t>
      </w:r>
    </w:p>
    <w:p>
      <w:pPr>
        <w:pBdr/>
        <w:pStyle w:val="Normal"/>
        <w:spacing/>
        <w:ind/>
        <w:rPr>
          <w:rFonts w:ascii="Arial" w:eastAsia="Arial" w:hAnsi="Arial" w:cs="Arial"/>
        </w:rPr>
      </w:pPr>
      <w:r>
        <w:rPr>
          <w:rFonts w:ascii="Arial" w:eastAsia="Arial" w:hAnsi="Arial" w:cs="Arial"/>
        </w:rPr>
        <w:t xml:space="preserve">2. odmah poduzeti mjere za ograničavanje posljedica za zdravlje ljudi ili okoliš i sprječavanje mogućih daljnjih izvanrednih događaja ili nesreća.</w:t>
      </w:r>
    </w:p>
    <w:p>
      <w:pPr>
        <w:pBdr/>
        <w:pStyle w:val="Normal"/>
        <w:spacing/>
        <w:ind/>
        <w:rPr>
          <w:rFonts w:ascii="Arial" w:eastAsia="Arial" w:hAnsi="Arial" w:cs="Arial"/>
        </w:rPr>
      </w:pPr>
    </w:p>
    <w:p>
      <w:pPr>
        <w:pBdr/>
        <w:pStyle w:val="Heading 2"/>
        <w:spacing/>
        <w:ind/>
        <w:rPr/>
      </w:pPr>
      <w:r>
        <w:rPr/>
        <w:t xml:space="preserve">Dostupnost podataka i nadzor</w:t>
      </w:r>
    </w:p>
    <w:p>
      <w:pPr>
        <w:pBdr/>
        <w:pStyle w:val="Heading 2"/>
        <w:spacing/>
        <w:ind/>
        <w:rPr/>
      </w:pPr>
      <w:r>
        <w:rPr/>
        <w:t xml:space="preserve">Članak 167.</w:t>
      </w:r>
    </w:p>
    <w:p>
      <w:pPr>
        <w:pBdr/>
        <w:pStyle w:val="Normal"/>
        <w:spacing/>
        <w:ind/>
        <w:rPr>
          <w:rFonts w:ascii="Arial" w:eastAsia="Arial" w:hAnsi="Arial" w:cs="Arial"/>
        </w:rPr>
      </w:pPr>
      <w:r>
        <w:rPr>
          <w:rFonts w:ascii="Arial" w:eastAsia="Arial" w:hAnsi="Arial" w:cs="Arial"/>
        </w:rPr>
        <w:t xml:space="preserve">(1) Operater je dužan rezultate praćenja iz članka 165. ovoga Zakona evidentirati, obrađivati i prikazivati na način koji tijelu nadležnom za inspekcijske poslove omogućuje provjeru sukladnosti s uvjetima rada, graničnim vrijednostima emisija i graničnim vrijednostima okolišne učinkovitosti propisanima pravilnikom iz članka 163. stavka 1. ovoga Zakona.</w:t>
      </w:r>
    </w:p>
    <w:p>
      <w:pPr>
        <w:pBdr/>
        <w:pStyle w:val="Normal"/>
        <w:spacing/>
        <w:ind/>
        <w:rPr>
          <w:rFonts w:ascii="Arial" w:eastAsia="Arial" w:hAnsi="Arial" w:cs="Arial"/>
        </w:rPr>
      </w:pPr>
      <w:r>
        <w:rPr>
          <w:rFonts w:ascii="Arial" w:eastAsia="Arial" w:hAnsi="Arial" w:cs="Arial"/>
        </w:rPr>
        <w:t xml:space="preserve">(2) Operater je dužan na zahtjev tijela nadležnog za inspekcijske poslove odmah staviti tom tijelu na raspolaganje sve podatke o praćenju iz članka 165. ovoga Zakona i druge podatke potrebne za provjeru usklađenosti rada postrojenja s operativnim pravilima propisanima pravilnikom iz članka 163. stavka 1. ovoga Zakona.</w:t>
      </w:r>
    </w:p>
    <w:p>
      <w:pPr>
        <w:pBdr/>
        <w:pStyle w:val="Normal"/>
        <w:spacing/>
        <w:ind/>
        <w:rPr>
          <w:rFonts w:ascii="Arial" w:eastAsia="Arial" w:hAnsi="Arial" w:cs="Arial"/>
        </w:rPr>
      </w:pPr>
      <w:r>
        <w:rPr>
          <w:rFonts w:ascii="Arial" w:eastAsia="Arial" w:hAnsi="Arial" w:cs="Arial"/>
        </w:rPr>
        <w:t xml:space="preserve">(3) Podaci o praćenju iz članka 165. ovoga Zakona smatraju se informacijama o okolišu, a tijelo nadležno za inspekcijske poslove u području zaštite okoliša dužno je na zahtjev javnosti omogućiti pristup tim podacima u skladu s odredbama ovoga Zakona kojima se uređuje pristup informacijama o okolišu te ih, ako njima ne raspolaže, zatražiti od operatera.</w:t>
      </w:r>
    </w:p>
    <w:p>
      <w:pPr>
        <w:pBdr/>
        <w:pStyle w:val="Normal"/>
        <w:spacing/>
        <w:ind/>
        <w:rPr>
          <w:rFonts w:ascii="Arial" w:eastAsia="Arial" w:hAnsi="Arial" w:cs="Arial"/>
        </w:rPr>
      </w:pPr>
    </w:p>
    <w:p>
      <w:pPr>
        <w:pBdr/>
        <w:pStyle w:val="Heading 1"/>
        <w:spacing/>
        <w:ind/>
        <w:rPr/>
      </w:pPr>
      <w:r>
        <w:rPr/>
        <w:t xml:space="preserve">ODJELJAK 3. PRAĆENJE RAZVOJA NRT-a I IZVJEŠĆIVANJE</w:t>
      </w:r>
    </w:p>
    <w:p>
      <w:pPr>
        <w:pBdr/>
        <w:pStyle w:val="Heading 2"/>
        <w:spacing/>
        <w:ind/>
        <w:rPr/>
      </w:pPr>
      <w:r>
        <w:rPr/>
        <w:t xml:space="preserve">Članak 168.</w:t>
      </w:r>
    </w:p>
    <w:p>
      <w:pPr>
        <w:pBdr/>
        <w:pStyle w:val="Normal"/>
        <w:spacing/>
        <w:ind/>
        <w:rPr>
          <w:rFonts w:ascii="Arial" w:eastAsia="Arial" w:hAnsi="Arial" w:cs="Arial"/>
        </w:rPr>
      </w:pPr>
      <w:r>
        <w:rPr>
          <w:rFonts w:ascii="Arial" w:eastAsia="Arial" w:hAnsi="Arial" w:cs="Arial"/>
        </w:rPr>
        <w:t xml:space="preserve">(1) Ministarstvo u suradnji s ministarstvom nadležnim za poljoprivredu prati razvoj NRT-</w:t>
      </w:r>
      <w:r>
        <w:rPr>
          <w:rFonts w:ascii="Arial" w:eastAsia="Arial" w:hAnsi="Arial" w:cs="Arial"/>
        </w:rPr>
        <w:t xml:space="preserve">a za postrojenja u kojima se obavljaju djelatnosti uzgoja životinja iz Dodatka IV. ovoga Zakona te objavu novih ili ažuriranih jedinstvenih uvjeta za operativna pravila koje donosi Europska komisija.</w:t>
      </w:r>
    </w:p>
    <w:p>
      <w:pPr>
        <w:pBdr/>
        <w:pStyle w:val="Normal"/>
        <w:spacing/>
        <w:ind/>
        <w:rPr>
          <w:rFonts w:ascii="Arial" w:eastAsia="Arial" w:hAnsi="Arial" w:cs="Arial"/>
        </w:rPr>
      </w:pPr>
      <w:r>
        <w:rPr>
          <w:rFonts w:ascii="Arial" w:eastAsia="Arial" w:hAnsi="Arial" w:cs="Arial"/>
        </w:rPr>
        <w:t xml:space="preserve">(2) Ministarstvo dostavlja Europskoj komisiji podatke o provedbi operativnih pravila iz članka 163. stavka 1. ovoga Zakona u opsegu, obliku i rokovima utvrđenima propisima Europske unije kojima se uređuje izvješćivanje o provedbi Direktive 2010/75/EU.</w:t>
      </w:r>
    </w:p>
    <w:p>
      <w:pPr>
        <w:pBdr/>
        <w:pStyle w:val="Normal"/>
        <w:spacing/>
        <w:ind/>
        <w:rPr>
          <w:rFonts w:ascii="Arial" w:eastAsia="Arial" w:hAnsi="Arial" w:cs="Arial"/>
        </w:rPr>
      </w:pPr>
    </w:p>
    <w:p>
      <w:pPr>
        <w:pBdr/>
        <w:pStyle w:val="Heading 1"/>
        <w:spacing/>
        <w:ind/>
        <w:rPr/>
      </w:pPr>
      <w:r>
        <w:rPr/>
        <w:t xml:space="preserve">GLAVA VI. SPRJEČAVANJE VELIKIH NESREĆA KOJE UKLJUČUJU OPASNE TVARI</w:t>
      </w:r>
    </w:p>
    <w:p>
      <w:pPr>
        <w:pBdr/>
        <w:pStyle w:val="Heading 2"/>
        <w:spacing/>
        <w:ind/>
        <w:rPr/>
      </w:pPr>
      <w:r>
        <w:rPr/>
        <w:t xml:space="preserve">Područje primjene</w:t>
      </w:r>
    </w:p>
    <w:p>
      <w:pPr>
        <w:pBdr/>
        <w:pStyle w:val="Heading 2"/>
        <w:spacing/>
        <w:ind/>
        <w:rPr/>
      </w:pPr>
      <w:r>
        <w:rPr/>
        <w:t xml:space="preserve">Članak 169.</w:t>
      </w:r>
    </w:p>
    <w:p>
      <w:pPr>
        <w:pBdr/>
        <w:pStyle w:val="Normal"/>
        <w:spacing/>
        <w:ind/>
        <w:rPr>
          <w:rFonts w:ascii="Arial" w:eastAsia="Arial" w:hAnsi="Arial" w:cs="Arial"/>
        </w:rPr>
      </w:pPr>
      <w:r>
        <w:rPr>
          <w:rFonts w:ascii="Arial" w:eastAsia="Arial" w:hAnsi="Arial" w:cs="Arial"/>
        </w:rPr>
        <w:t xml:space="preserve">(1) Odredbe ove Glave primjenjuju se na područja postrojenja u kojima su opasne tvari stvarno ili očekivano prisutne odnosno u kojima se može razumno predvidjeti njihov nastanak u slučaju gubitka kontrole nad procesima, uključujući skladištenje, u količinama jednakim ili većim od graničnih količina propisanih uredbom iz stavka 2. ovoga članka.</w:t>
      </w:r>
    </w:p>
    <w:p>
      <w:pPr>
        <w:pBdr/>
        <w:pStyle w:val="Normal"/>
        <w:spacing/>
        <w:ind/>
        <w:rPr>
          <w:rFonts w:ascii="Arial" w:eastAsia="Arial" w:hAnsi="Arial" w:cs="Arial"/>
        </w:rPr>
      </w:pPr>
      <w:r>
        <w:rPr>
          <w:rFonts w:ascii="Arial" w:eastAsia="Arial" w:hAnsi="Arial" w:cs="Arial"/>
        </w:rPr>
        <w:t xml:space="preserve">(2) Popis opasnih tvari i granične količine, sadržaj obavijesti o prisutnosti opasnih tvari u području postrojenja, načela politike sprječavanja velikih nesreća i elementi sustava upravljanja sigurnošću, sadržaj izvješća o sigurnosti, sadržaj unutarnjeg i vanjskog plana, sadržaj suglasnosti, sadržaj i opseg informiranja javnosti o sigurnosnim mjerama te kriterije za utvrđivanje velikih nesreća o kojima se podaci dostavljaju Europskoj komisiji uređuje Vlada uredbom.</w:t>
      </w:r>
    </w:p>
    <w:p>
      <w:pPr>
        <w:pBdr/>
        <w:pStyle w:val="Normal"/>
        <w:spacing/>
        <w:ind/>
        <w:rPr>
          <w:rFonts w:ascii="Arial" w:eastAsia="Arial" w:hAnsi="Arial" w:cs="Arial"/>
        </w:rPr>
      </w:pPr>
      <w:r>
        <w:rPr>
          <w:rFonts w:ascii="Arial" w:eastAsia="Arial" w:hAnsi="Arial" w:cs="Arial"/>
        </w:rPr>
        <w:t xml:space="preserve">(3) Radi vođenja Registra iz članka 189. ovoga Zakona, uredbom iz stavka 2. ovoga članka propisuje se i dostava ograničenog skupa podataka za lokacije poslovanja pod kontrolom operatera u kojima su opasne tvari prisutne u količinama manjim od donjih graničnih količina ako je to nužno i razmjerno svrsi procjene rizika i planiranja u sustavu civilne zaštite.</w:t>
      </w:r>
    </w:p>
    <w:p>
      <w:pPr>
        <w:pBdr/>
        <w:pStyle w:val="Normal"/>
        <w:spacing/>
        <w:ind/>
        <w:rPr>
          <w:rFonts w:ascii="Arial" w:eastAsia="Arial" w:hAnsi="Arial" w:cs="Arial"/>
        </w:rPr>
      </w:pPr>
      <w:r>
        <w:rPr>
          <w:rFonts w:ascii="Arial" w:eastAsia="Arial" w:hAnsi="Arial" w:cs="Arial"/>
        </w:rPr>
        <w:t xml:space="preserve">(4) Na lokacije poslovanja iz stavka 3. ovoga članka ne primjenjuju se obveze propisane za područja postrojenja nižeg ili višeg razreda, osim ako je ovim Zakonom ili posebnim zakonom izričito drukčije propisano.</w:t>
      </w:r>
    </w:p>
    <w:p>
      <w:pPr>
        <w:pBdr/>
        <w:pStyle w:val="Normal"/>
        <w:spacing/>
        <w:ind/>
        <w:rPr>
          <w:rFonts w:ascii="Arial" w:eastAsia="Arial" w:hAnsi="Arial" w:cs="Arial"/>
        </w:rPr>
      </w:pPr>
    </w:p>
    <w:p>
      <w:pPr>
        <w:pBdr/>
        <w:pStyle w:val="Heading 2"/>
        <w:spacing/>
        <w:ind/>
        <w:rPr/>
      </w:pPr>
      <w:r>
        <w:rPr/>
        <w:t xml:space="preserve">Opće obveze operatera u vezi sa sprječavanjem velikih nesreća i dostava obavijesti</w:t>
      </w:r>
    </w:p>
    <w:p>
      <w:pPr>
        <w:pBdr/>
        <w:pStyle w:val="Heading 2"/>
        <w:spacing/>
        <w:ind/>
        <w:rPr/>
      </w:pPr>
      <w:r>
        <w:rPr/>
        <w:t xml:space="preserve">Članak 170.</w:t>
      </w:r>
    </w:p>
    <w:p>
      <w:pPr>
        <w:pBdr/>
        <w:pStyle w:val="Normal"/>
        <w:spacing/>
        <w:ind/>
        <w:rPr>
          <w:rFonts w:ascii="Arial" w:eastAsia="Arial" w:hAnsi="Arial" w:cs="Arial"/>
        </w:rPr>
      </w:pPr>
      <w:r>
        <w:rPr>
          <w:rFonts w:ascii="Arial" w:eastAsia="Arial" w:hAnsi="Arial" w:cs="Arial"/>
        </w:rPr>
        <w:t xml:space="preserve">(1) Operater u čijem su području postrojenja prisutne opasne tvari dužan je poduzeti preventivne mjere za smanjenje rizika i sprječavanje nastanka velikih nesreća te mjere za ograničavanje njihovih posljedica za ljude, materijalna dobra i okoliš.</w:t>
      </w:r>
    </w:p>
    <w:p>
      <w:pPr>
        <w:pBdr/>
        <w:pStyle w:val="Normal"/>
        <w:spacing/>
        <w:ind/>
        <w:rPr>
          <w:rFonts w:ascii="Arial" w:eastAsia="Arial" w:hAnsi="Arial" w:cs="Arial"/>
        </w:rPr>
      </w:pPr>
      <w:r>
        <w:rPr>
          <w:rFonts w:ascii="Arial" w:eastAsia="Arial" w:hAnsi="Arial" w:cs="Arial"/>
        </w:rPr>
        <w:t xml:space="preserve">(2) Operater je dužan u svakom trenutku pružiti Ministarstvu i tijelu nadležnom za inspekcijske poslove dokaze da je poduzeo sve potrebne mjere u skladu s ovim Zakonom i propisima donesenima na temelju ovoga Zakona.</w:t>
      </w:r>
    </w:p>
    <w:p>
      <w:pPr>
        <w:pBdr/>
        <w:pStyle w:val="Normal"/>
        <w:spacing/>
        <w:ind/>
        <w:rPr>
          <w:rFonts w:ascii="Arial" w:eastAsia="Arial" w:hAnsi="Arial" w:cs="Arial"/>
        </w:rPr>
      </w:pPr>
      <w:r>
        <w:rPr>
          <w:rFonts w:ascii="Arial" w:eastAsia="Arial" w:hAnsi="Arial" w:cs="Arial"/>
        </w:rPr>
        <w:t xml:space="preserve">(3) Operater je dužan u skladu s uredbom iz članka 169. stavka 2. ovoga Zakona utvrditi prisutnost odnosno moguću prisutnost opasnih tvari u području postrojenja prema vrstama i količinama, o tome obavijestiti Ministarstvo te dostaviti obavijest u Registar iz članka 189. ovoga Zakona:</w:t>
      </w:r>
    </w:p>
    <w:p>
      <w:pPr>
        <w:pBdr/>
        <w:pStyle w:val="Normal"/>
        <w:spacing/>
        <w:ind/>
        <w:rPr>
          <w:rFonts w:ascii="Arial" w:eastAsia="Arial" w:hAnsi="Arial" w:cs="Arial"/>
        </w:rPr>
      </w:pPr>
      <w:r>
        <w:rPr>
          <w:rFonts w:ascii="Arial" w:eastAsia="Arial" w:hAnsi="Arial" w:cs="Arial"/>
        </w:rPr>
        <w:t xml:space="preserve">1. za novo područje postrojenja:</w:t>
      </w:r>
    </w:p>
    <w:p>
      <w:pPr>
        <w:pBdr/>
        <w:pStyle w:val="Normal"/>
        <w:spacing/>
        <w:ind/>
        <w:rPr>
          <w:rFonts w:ascii="Arial" w:eastAsia="Arial" w:hAnsi="Arial" w:cs="Arial"/>
        </w:rPr>
      </w:pPr>
      <w:r>
        <w:rPr>
          <w:rFonts w:ascii="Arial" w:eastAsia="Arial" w:hAnsi="Arial" w:cs="Arial"/>
        </w:rPr>
        <w:t xml:space="preserve">a) prije početka izgradnje ili rada područja postrojenja</w:t>
      </w:r>
    </w:p>
    <w:p>
      <w:pPr>
        <w:pBdr/>
        <w:pStyle w:val="Normal"/>
        <w:spacing/>
        <w:ind/>
        <w:rPr>
          <w:rFonts w:ascii="Arial" w:eastAsia="Arial" w:hAnsi="Arial" w:cs="Arial"/>
        </w:rPr>
      </w:pPr>
      <w:r>
        <w:rPr>
          <w:rFonts w:ascii="Arial" w:eastAsia="Arial" w:hAnsi="Arial" w:cs="Arial"/>
        </w:rPr>
        <w:t xml:space="preserve">b) prije provedbe izmjena postrojenja ili djelatnosti kojima se mijenja popis opasnih tvari i zbog kojih područje postrojenja prelazi iz nižeg u viši razred ili obrnuto odnosno lokacija poslovanja postaje područje postrojenja na koje se primjenjuju odredbe ove glave</w:t>
      </w:r>
    </w:p>
    <w:p>
      <w:pPr>
        <w:pBdr/>
        <w:pStyle w:val="Normal"/>
        <w:spacing/>
        <w:ind/>
        <w:rPr>
          <w:rFonts w:ascii="Arial" w:eastAsia="Arial" w:hAnsi="Arial" w:cs="Arial"/>
        </w:rPr>
      </w:pPr>
      <w:r>
        <w:rPr>
          <w:rFonts w:ascii="Arial" w:eastAsia="Arial" w:hAnsi="Arial" w:cs="Arial"/>
        </w:rPr>
        <w:t xml:space="preserve">2. za postojeće područje postrojenja, prije planirane promjene:</w:t>
      </w:r>
    </w:p>
    <w:p>
      <w:pPr>
        <w:pBdr/>
        <w:pStyle w:val="Normal"/>
        <w:spacing/>
        <w:ind/>
        <w:rPr>
          <w:rFonts w:ascii="Arial" w:eastAsia="Arial" w:hAnsi="Arial" w:cs="Arial"/>
        </w:rPr>
      </w:pPr>
      <w:r>
        <w:rPr>
          <w:rFonts w:ascii="Arial" w:eastAsia="Arial" w:hAnsi="Arial" w:cs="Arial"/>
        </w:rPr>
        <w:t xml:space="preserve">a) područja postrojenja ili postrojenja, uključujući rekonstrukciju, koja bi mogla imati značajne posljedice u pogledu opasnosti od velike nesreće</w:t>
      </w:r>
    </w:p>
    <w:p>
      <w:pPr>
        <w:pBdr/>
        <w:pStyle w:val="Normal"/>
        <w:spacing/>
        <w:ind/>
        <w:rPr>
          <w:rFonts w:ascii="Arial" w:eastAsia="Arial" w:hAnsi="Arial" w:cs="Arial"/>
        </w:rPr>
      </w:pPr>
      <w:r>
        <w:rPr>
          <w:rFonts w:ascii="Arial" w:eastAsia="Arial" w:hAnsi="Arial" w:cs="Arial"/>
        </w:rPr>
        <w:t xml:space="preserve">b) kojom se znatno povećava ili smanjuje količina prisutne opasne tvari odnosno značajno mijenja njezina vrsta ili fizikalni oblik u odnosu na ranije dostavljenu obavijest</w:t>
      </w:r>
    </w:p>
    <w:p>
      <w:pPr>
        <w:pBdr/>
        <w:pStyle w:val="Normal"/>
        <w:spacing/>
        <w:ind/>
        <w:rPr>
          <w:rFonts w:ascii="Arial" w:eastAsia="Arial" w:hAnsi="Arial" w:cs="Arial"/>
        </w:rPr>
      </w:pPr>
      <w:r>
        <w:rPr>
          <w:rFonts w:ascii="Arial" w:eastAsia="Arial" w:hAnsi="Arial" w:cs="Arial"/>
        </w:rPr>
        <w:t xml:space="preserve">c) procesa u kojima se opasna tvar koristi, ako bi promjena mogla znatno utjecati na opasnost od velikih nesreća</w:t>
      </w:r>
    </w:p>
    <w:p>
      <w:pPr>
        <w:pBdr/>
        <w:pStyle w:val="Normal"/>
        <w:spacing/>
        <w:ind/>
        <w:rPr>
          <w:rFonts w:ascii="Arial" w:eastAsia="Arial" w:hAnsi="Arial" w:cs="Arial"/>
        </w:rPr>
      </w:pPr>
      <w:r>
        <w:rPr>
          <w:rFonts w:ascii="Arial" w:eastAsia="Arial" w:hAnsi="Arial" w:cs="Arial"/>
        </w:rPr>
        <w:t xml:space="preserve">d) proizvodnje ili rada, ako bi promjena mogla znatno utjecati na opasnost od velikih nesreća</w:t>
      </w:r>
    </w:p>
    <w:p>
      <w:pPr>
        <w:pBdr/>
        <w:pStyle w:val="Normal"/>
        <w:spacing/>
        <w:ind/>
        <w:rPr>
          <w:rFonts w:ascii="Arial" w:eastAsia="Arial" w:hAnsi="Arial" w:cs="Arial"/>
        </w:rPr>
      </w:pPr>
      <w:r>
        <w:rPr>
          <w:rFonts w:ascii="Arial" w:eastAsia="Arial" w:hAnsi="Arial" w:cs="Arial"/>
        </w:rPr>
        <w:t xml:space="preserve">e) dostavljenih podataka o operateru, uključujući naziv i adresu sjedišta operatera, adresu područja postrojenja ili odgovornu osobu operatera</w:t>
      </w:r>
    </w:p>
    <w:p>
      <w:pPr>
        <w:pBdr/>
        <w:pStyle w:val="Normal"/>
        <w:spacing/>
        <w:ind/>
        <w:rPr>
          <w:rFonts w:ascii="Arial" w:eastAsia="Arial" w:hAnsi="Arial" w:cs="Arial"/>
        </w:rPr>
      </w:pPr>
      <w:r>
        <w:rPr>
          <w:rFonts w:ascii="Arial" w:eastAsia="Arial" w:hAnsi="Arial" w:cs="Arial"/>
        </w:rPr>
        <w:t xml:space="preserve">f) trajnog prestanka rada odnosno stavljanje izvan pogona područja postrojenja.</w:t>
      </w:r>
    </w:p>
    <w:p>
      <w:pPr>
        <w:pBdr/>
        <w:pStyle w:val="Normal"/>
        <w:spacing/>
        <w:ind/>
        <w:rPr>
          <w:rFonts w:ascii="Arial" w:eastAsia="Arial" w:hAnsi="Arial" w:cs="Arial"/>
        </w:rPr>
      </w:pPr>
      <w:r>
        <w:rPr>
          <w:rFonts w:ascii="Arial" w:eastAsia="Arial" w:hAnsi="Arial" w:cs="Arial"/>
        </w:rPr>
        <w:t xml:space="preserve">(4) Ako je u vezi s obaviješću iz stavka 3. ovoga članka prema odredbama ovoga Zakona potrebno ishoditi suglasnost, izmjenu suglasnosti ili provesti postupak stavljanja suglasnosti izvan snage, operater podatke za Registar iz članka 189. ovoga Zakona dostavlja nakon provedenog postupka. Podaci dostavljeni u Registar moraju odgovarati podacima navedenim u dokumentaciji na temelju koje je Ministarstvo izdalo suglasnost ili izmjenu suglasnosti odnosno podacima utvrđenima u postupku stavljanja suglasnosti izvan snage.</w:t>
      </w:r>
    </w:p>
    <w:p>
      <w:pPr>
        <w:pBdr/>
        <w:pStyle w:val="Normal"/>
        <w:spacing/>
        <w:ind/>
        <w:rPr>
          <w:rFonts w:ascii="Arial" w:eastAsia="Arial" w:hAnsi="Arial" w:cs="Arial"/>
        </w:rPr>
      </w:pPr>
      <w:r>
        <w:rPr>
          <w:rFonts w:ascii="Arial" w:eastAsia="Arial" w:hAnsi="Arial" w:cs="Arial"/>
        </w:rPr>
        <w:t xml:space="preserve">(5) Ako za promjenu iz stavka 3. ovoga članka nije potrebno ishoditi suglasnost, izmjenu suglasnosti niti provesti postupak stavljanja suglasnosti izvan snage, operater promijenjene podatke dostavlja u Registar nakon što je o toj promjeni prethodno obavijestio Ministarstvo, u skladu s rokovima propisanim ovim Zakonom.</w:t>
      </w:r>
    </w:p>
    <w:p>
      <w:pPr>
        <w:pBdr/>
        <w:pStyle w:val="Normal"/>
        <w:spacing/>
        <w:ind/>
        <w:rPr>
          <w:rFonts w:ascii="Arial" w:eastAsia="Arial" w:hAnsi="Arial" w:cs="Arial"/>
        </w:rPr>
      </w:pPr>
    </w:p>
    <w:p>
      <w:pPr>
        <w:pBdr/>
        <w:pStyle w:val="Heading 2"/>
        <w:spacing/>
        <w:ind/>
        <w:rPr/>
      </w:pPr>
      <w:r>
        <w:rPr/>
        <w:t xml:space="preserve">Politika sprječavanja velikih nesreća</w:t>
      </w:r>
    </w:p>
    <w:p>
      <w:pPr>
        <w:pBdr/>
        <w:pStyle w:val="Heading 2"/>
        <w:spacing/>
        <w:ind/>
        <w:rPr/>
      </w:pPr>
      <w:r>
        <w:rPr/>
        <w:t xml:space="preserve">Članak 171.</w:t>
      </w:r>
    </w:p>
    <w:p>
      <w:pPr>
        <w:pBdr/>
        <w:pStyle w:val="Normal"/>
        <w:spacing/>
        <w:ind/>
        <w:rPr>
          <w:rFonts w:ascii="Arial" w:eastAsia="Arial" w:hAnsi="Arial" w:cs="Arial"/>
        </w:rPr>
      </w:pPr>
      <w:r>
        <w:rPr>
          <w:rFonts w:ascii="Arial" w:eastAsia="Arial" w:hAnsi="Arial" w:cs="Arial"/>
        </w:rPr>
        <w:t xml:space="preserve">(1) Operater u čijem su području postrojenja prisutne opasne tvari dužan je izraditi pisani dokument kojim utvrđuje politiku sprječavanja velikih nesreća te osigurati njezinu provedbu.</w:t>
      </w:r>
    </w:p>
    <w:p>
      <w:pPr>
        <w:pBdr/>
        <w:pStyle w:val="Normal"/>
        <w:spacing/>
        <w:ind/>
        <w:rPr>
          <w:rFonts w:ascii="Arial" w:eastAsia="Arial" w:hAnsi="Arial" w:cs="Arial"/>
        </w:rPr>
      </w:pPr>
      <w:r>
        <w:rPr>
          <w:rFonts w:ascii="Arial" w:eastAsia="Arial" w:hAnsi="Arial" w:cs="Arial"/>
        </w:rPr>
        <w:t xml:space="preserve">(2) Politika sprječavanja velikih nesreća mora biti razmjerna opasnostima od velikih nesreća i sadržavati ukupne ciljeve i načela djelovanja operatera, ulogu i odgovornost njegove uprave te opredjeljenje za stalno unaprjeđivanje kontrole opasnosti od velikih nesreća i osiguravanje visoke razine zaštite zdravlja ljudi i okoliša.</w:t>
      </w:r>
    </w:p>
    <w:p>
      <w:pPr>
        <w:pBdr/>
        <w:pStyle w:val="Normal"/>
        <w:spacing/>
        <w:ind/>
        <w:rPr>
          <w:rFonts w:ascii="Arial" w:eastAsia="Arial" w:hAnsi="Arial" w:cs="Arial"/>
        </w:rPr>
      </w:pPr>
      <w:r>
        <w:rPr>
          <w:rFonts w:ascii="Arial" w:eastAsia="Arial" w:hAnsi="Arial" w:cs="Arial"/>
        </w:rPr>
        <w:t xml:space="preserve">(3) Politika sprječavanja velikih nesreća provodi se odgovarajućim sredstvima, strukturama i sustavima upravljanja sigurnošću u skladu s ovim Zakonom i uredbom iz članka 169. stavka 2. ovoga Zakona, razmjerno opasnostima od velikih nesreća, djelatnostima i složenosti organizacije područja postrojenja.</w:t>
      </w:r>
    </w:p>
    <w:p>
      <w:pPr>
        <w:pBdr/>
        <w:pStyle w:val="Normal"/>
        <w:spacing/>
        <w:ind/>
        <w:rPr>
          <w:rFonts w:ascii="Arial" w:eastAsia="Arial" w:hAnsi="Arial" w:cs="Arial"/>
        </w:rPr>
      </w:pPr>
    </w:p>
    <w:p>
      <w:pPr>
        <w:pBdr/>
        <w:pStyle w:val="Heading 2"/>
        <w:spacing/>
        <w:ind/>
        <w:rPr/>
      </w:pPr>
      <w:r>
        <w:rPr/>
        <w:t xml:space="preserve">Područje postrojenja višeg razreda</w:t>
      </w:r>
    </w:p>
    <w:p>
      <w:pPr>
        <w:pBdr/>
        <w:pStyle w:val="Heading 2"/>
        <w:spacing/>
        <w:ind/>
        <w:rPr/>
      </w:pPr>
      <w:r>
        <w:rPr/>
        <w:t xml:space="preserve">Članak 172.</w:t>
      </w:r>
    </w:p>
    <w:p>
      <w:pPr>
        <w:pBdr/>
        <w:pStyle w:val="Normal"/>
        <w:spacing/>
        <w:ind/>
        <w:rPr>
          <w:rFonts w:ascii="Arial" w:eastAsia="Arial" w:hAnsi="Arial" w:cs="Arial"/>
        </w:rPr>
      </w:pPr>
      <w:r>
        <w:rPr>
          <w:rFonts w:ascii="Arial" w:eastAsia="Arial" w:hAnsi="Arial" w:cs="Arial"/>
        </w:rPr>
        <w:t xml:space="preserve">(1) Operater područja postrojenja višeg razreda, razvrstanog u skladu s uredbom iz članka 169. stavka 2. ovoga Zakona, dužan je izraditi izvješće o sigurnosti i unutarnji plan.</w:t>
      </w:r>
    </w:p>
    <w:p>
      <w:pPr>
        <w:pBdr/>
        <w:pStyle w:val="Normal"/>
        <w:spacing/>
        <w:ind/>
        <w:rPr>
          <w:rFonts w:ascii="Arial" w:eastAsia="Arial" w:hAnsi="Arial" w:cs="Arial"/>
        </w:rPr>
      </w:pPr>
      <w:r>
        <w:rPr>
          <w:rFonts w:ascii="Arial" w:eastAsia="Arial" w:hAnsi="Arial" w:cs="Arial"/>
        </w:rPr>
        <w:t xml:space="preserve">(2) Operater iz stavka 1. ovoga članka dužan je politiku sprječavanja velikih nesreća provoditi putem sustava upravljanja sigurnošću te izvješćem o sigurnosti dokazati da su politika i sustav upravljanja sigurnošću uspostavljeni i da se provode.</w:t>
      </w:r>
    </w:p>
    <w:p>
      <w:pPr>
        <w:pBdr/>
        <w:pStyle w:val="Normal"/>
        <w:spacing/>
        <w:ind/>
        <w:rPr>
          <w:rFonts w:ascii="Arial" w:eastAsia="Arial" w:hAnsi="Arial" w:cs="Arial"/>
        </w:rPr>
      </w:pPr>
    </w:p>
    <w:p>
      <w:pPr>
        <w:pBdr/>
        <w:pStyle w:val="Heading 2"/>
        <w:spacing/>
        <w:ind/>
        <w:rPr/>
      </w:pPr>
      <w:r>
        <w:rPr/>
        <w:t xml:space="preserve">Područje postrojenja nižeg razreda</w:t>
      </w:r>
    </w:p>
    <w:p>
      <w:pPr>
        <w:pBdr/>
        <w:pStyle w:val="Heading 2"/>
        <w:spacing/>
        <w:ind/>
        <w:rPr/>
      </w:pPr>
      <w:r>
        <w:rPr/>
        <w:t xml:space="preserve">Članak 173.</w:t>
      </w:r>
    </w:p>
    <w:p>
      <w:pPr>
        <w:pBdr/>
        <w:pStyle w:val="Normal"/>
        <w:spacing/>
        <w:ind/>
        <w:rPr>
          <w:rFonts w:ascii="Arial" w:eastAsia="Arial" w:hAnsi="Arial" w:cs="Arial"/>
        </w:rPr>
      </w:pPr>
      <w:r>
        <w:rPr>
          <w:rFonts w:ascii="Arial" w:eastAsia="Arial" w:hAnsi="Arial" w:cs="Arial"/>
        </w:rPr>
        <w:t xml:space="preserve">(1) Operater područja postrojenja nižeg razreda, razvrstanog u skladu s uredbom iz članka 169. stavka 2. ovoga Zakona, dužan je dokumentirati provedbu politike sprječavanja velikih nesreća uzimajući u obzir načela sustava upravljanja sigurnošću, pri čemu može koristiti odgovarajuću dokumentaciju sustava upravljanja i onu izrađenu prema posebnim propisima iz područja civilne zaštite, zaštite od požara, zaštite na radu i drugih područja ako se njome dokazuje provedba te politike.</w:t>
      </w:r>
    </w:p>
    <w:p>
      <w:pPr>
        <w:pBdr/>
        <w:pStyle w:val="Normal"/>
        <w:spacing/>
        <w:ind/>
        <w:rPr>
          <w:rFonts w:ascii="Arial" w:eastAsia="Arial" w:hAnsi="Arial" w:cs="Arial"/>
        </w:rPr>
      </w:pPr>
    </w:p>
    <w:p>
      <w:pPr>
        <w:pBdr/>
        <w:pStyle w:val="Heading 2"/>
        <w:spacing/>
        <w:ind/>
        <w:rPr/>
      </w:pPr>
      <w:r>
        <w:rPr/>
        <w:t xml:space="preserve">Domino-efekt</w:t>
      </w:r>
    </w:p>
    <w:p>
      <w:pPr>
        <w:pBdr/>
        <w:pStyle w:val="Heading 2"/>
        <w:spacing/>
        <w:ind/>
        <w:rPr/>
      </w:pPr>
      <w:r>
        <w:rPr/>
        <w:t xml:space="preserve">Članak 174.</w:t>
      </w:r>
    </w:p>
    <w:p>
      <w:pPr>
        <w:pBdr/>
        <w:pStyle w:val="Normal"/>
        <w:spacing/>
        <w:ind/>
        <w:rPr>
          <w:rFonts w:ascii="Arial" w:eastAsia="Arial" w:hAnsi="Arial" w:cs="Arial"/>
        </w:rPr>
      </w:pPr>
      <w:r>
        <w:rPr>
          <w:rFonts w:ascii="Arial" w:eastAsia="Arial" w:hAnsi="Arial" w:cs="Arial"/>
        </w:rPr>
        <w:t xml:space="preserve">(1) Ministarstvo odnosno Zavod  na temelju podataka dostavljenih u skladu s ovim Zakonom, dodatnih podataka pribavljenih od operatera i podataka utvrđenih inspekcijskim nadzorom utvrđuju područja postrojenja nižeg i višeg razreda ili skupine područja postrojenja kod kojih se zbog zemljopisnog položaja, međusobne blizine te vrste i količine prisutnih opasnih tvari može povećati rizik od velike nesreće ili pogoršati njezine posljedice.</w:t>
      </w:r>
    </w:p>
    <w:p>
      <w:pPr>
        <w:pBdr/>
        <w:pStyle w:val="Normal"/>
        <w:spacing/>
        <w:ind/>
        <w:rPr>
          <w:rFonts w:ascii="Arial" w:eastAsia="Arial" w:hAnsi="Arial" w:cs="Arial"/>
        </w:rPr>
      </w:pPr>
      <w:r>
        <w:rPr>
          <w:rFonts w:ascii="Arial" w:eastAsia="Arial" w:hAnsi="Arial" w:cs="Arial"/>
        </w:rPr>
        <w:t xml:space="preserve">(2) Ministarstvo operaterima područja postrojenja iz stavka 1. ovoga članka stavlja na raspolaganje podatke kojima raspolaže, a koji su potrebni za procjenu ukupne opasnosti od velike nesreće.</w:t>
      </w:r>
    </w:p>
    <w:p>
      <w:pPr>
        <w:pBdr/>
        <w:pStyle w:val="Normal"/>
        <w:spacing/>
        <w:ind/>
        <w:rPr>
          <w:rFonts w:ascii="Arial" w:eastAsia="Arial" w:hAnsi="Arial" w:cs="Arial"/>
        </w:rPr>
      </w:pPr>
      <w:r>
        <w:rPr>
          <w:rFonts w:ascii="Arial" w:eastAsia="Arial" w:hAnsi="Arial" w:cs="Arial"/>
        </w:rPr>
        <w:t xml:space="preserve">(3) Operateri područja postrojenja iz stavka 1. ovoga članka dužni su:</w:t>
      </w:r>
    </w:p>
    <w:p>
      <w:pPr>
        <w:pBdr/>
        <w:pStyle w:val="Normal"/>
        <w:spacing/>
        <w:ind/>
        <w:rPr>
          <w:rFonts w:ascii="Arial" w:eastAsia="Arial" w:hAnsi="Arial" w:cs="Arial"/>
        </w:rPr>
      </w:pPr>
      <w:r>
        <w:rPr>
          <w:rFonts w:ascii="Arial" w:eastAsia="Arial" w:hAnsi="Arial" w:cs="Arial"/>
        </w:rPr>
        <w:t xml:space="preserve">1. međusobno razmjenjivati podatke potrebne za uzimanje u obzir ukupne opasnosti od velike nesreće u politici sprječavanja velikih nesreća, sustavu upravljanja sigurnošću, izvješću o sigurnosti i unutarnjem planu</w:t>
      </w:r>
    </w:p>
    <w:p>
      <w:pPr>
        <w:pBdr/>
        <w:pStyle w:val="Normal"/>
        <w:spacing/>
        <w:ind/>
        <w:rPr>
          <w:rFonts w:ascii="Arial" w:eastAsia="Arial" w:hAnsi="Arial" w:cs="Arial"/>
        </w:rPr>
      </w:pPr>
      <w:r>
        <w:rPr>
          <w:rFonts w:ascii="Arial" w:eastAsia="Arial" w:hAnsi="Arial" w:cs="Arial"/>
        </w:rPr>
        <w:t xml:space="preserve">2. surađivati pri informiranju javnosti i susjednih lokacija poslovanja pod kontrolom operatera u kojima su opasne tvari prisutne u količinama manjim od donjih graničnih količina</w:t>
      </w:r>
    </w:p>
    <w:p>
      <w:pPr>
        <w:pBdr/>
        <w:pStyle w:val="Normal"/>
        <w:spacing/>
        <w:ind/>
        <w:rPr>
          <w:rFonts w:ascii="Arial" w:eastAsia="Arial" w:hAnsi="Arial" w:cs="Arial"/>
        </w:rPr>
      </w:pPr>
      <w:r>
        <w:rPr>
          <w:rFonts w:ascii="Arial" w:eastAsia="Arial" w:hAnsi="Arial" w:cs="Arial"/>
        </w:rPr>
        <w:t xml:space="preserve">3. surađivati pri dostavljanju podataka potrebnih za izradu vanjskog plana.</w:t>
      </w:r>
    </w:p>
    <w:p>
      <w:pPr>
        <w:pBdr/>
        <w:pStyle w:val="Normal"/>
        <w:spacing/>
        <w:ind/>
        <w:rPr>
          <w:rFonts w:ascii="Arial" w:eastAsia="Arial" w:hAnsi="Arial" w:cs="Arial"/>
        </w:rPr>
      </w:pPr>
    </w:p>
    <w:p>
      <w:pPr>
        <w:pBdr/>
        <w:pStyle w:val="Heading 2"/>
        <w:spacing/>
        <w:ind/>
        <w:rPr/>
      </w:pPr>
      <w:r>
        <w:rPr/>
        <w:t xml:space="preserve">Izuzeća</w:t>
      </w:r>
    </w:p>
    <w:p>
      <w:pPr>
        <w:pBdr/>
        <w:pStyle w:val="Heading 2"/>
        <w:spacing/>
        <w:ind/>
        <w:rPr/>
      </w:pPr>
      <w:r>
        <w:rPr/>
        <w:t xml:space="preserve">Članak 175.</w:t>
      </w:r>
    </w:p>
    <w:p>
      <w:pPr>
        <w:pBdr/>
        <w:pStyle w:val="Normal"/>
        <w:spacing/>
        <w:ind/>
        <w:rPr>
          <w:rFonts w:ascii="Arial" w:eastAsia="Arial" w:hAnsi="Arial" w:cs="Arial"/>
        </w:rPr>
      </w:pPr>
      <w:r>
        <w:rPr>
          <w:rFonts w:ascii="Arial" w:eastAsia="Arial" w:hAnsi="Arial" w:cs="Arial"/>
        </w:rPr>
        <w:t xml:space="preserve">(1) Odredbe ove glave ne primjenjuju se na:</w:t>
      </w:r>
    </w:p>
    <w:p>
      <w:pPr>
        <w:pBdr/>
        <w:pStyle w:val="Normal"/>
        <w:spacing/>
        <w:ind/>
        <w:rPr>
          <w:rFonts w:ascii="Arial" w:eastAsia="Arial" w:hAnsi="Arial" w:cs="Arial"/>
        </w:rPr>
      </w:pPr>
      <w:r>
        <w:rPr>
          <w:rFonts w:ascii="Arial" w:eastAsia="Arial" w:hAnsi="Arial" w:cs="Arial"/>
        </w:rPr>
        <w:t xml:space="preserve">1. vojna područja postrojenja, postrojenja i skladišta</w:t>
      </w:r>
    </w:p>
    <w:p>
      <w:pPr>
        <w:pBdr/>
        <w:pStyle w:val="Normal"/>
        <w:spacing/>
        <w:ind/>
        <w:rPr>
          <w:rFonts w:ascii="Arial" w:eastAsia="Arial" w:hAnsi="Arial" w:cs="Arial"/>
        </w:rPr>
      </w:pPr>
      <w:r>
        <w:rPr>
          <w:rFonts w:ascii="Arial" w:eastAsia="Arial" w:hAnsi="Arial" w:cs="Arial"/>
        </w:rPr>
        <w:t xml:space="preserve">2. opasnosti od ionizirajućeg zračenja koje potječe iz tvari</w:t>
      </w:r>
    </w:p>
    <w:p>
      <w:pPr>
        <w:pBdr/>
        <w:pStyle w:val="Normal"/>
        <w:spacing/>
        <w:ind/>
        <w:rPr>
          <w:rFonts w:ascii="Arial" w:eastAsia="Arial" w:hAnsi="Arial" w:cs="Arial"/>
        </w:rPr>
      </w:pPr>
      <w:r>
        <w:rPr>
          <w:rFonts w:ascii="Arial" w:eastAsia="Arial" w:hAnsi="Arial" w:cs="Arial"/>
        </w:rPr>
        <w:t xml:space="preserve">3. cestovni, željeznički i zračni prijevoz opasnih tvari te njihov prijevoz unutarnjim plovnim putovima i morem, uključujući izravno povezano posredno privremeno skladištenje izvan područja postrojenja na koja se primjenjuju odredbe ove glave, ukrcavanje i iskrcavanje te prijenos iz jednog prijevoznog sredstva u drugo u morskim lukama, pristaništima i lukama unutarnje plovidbe ili ranžirnim kolodvorima</w:t>
      </w:r>
    </w:p>
    <w:p>
      <w:pPr>
        <w:pBdr/>
        <w:pStyle w:val="Normal"/>
        <w:spacing/>
        <w:ind/>
        <w:rPr>
          <w:rFonts w:ascii="Arial" w:eastAsia="Arial" w:hAnsi="Arial" w:cs="Arial"/>
        </w:rPr>
      </w:pPr>
      <w:r>
        <w:rPr>
          <w:rFonts w:ascii="Arial" w:eastAsia="Arial" w:hAnsi="Arial" w:cs="Arial"/>
        </w:rPr>
        <w:t xml:space="preserve">4. prijevoz opasnih tvari cjevovodima, uključujući pumpne stanice, izvan područja postrojenja na koja se primjenjuju odredbe ove glave</w:t>
      </w:r>
    </w:p>
    <w:p>
      <w:pPr>
        <w:pBdr/>
        <w:pStyle w:val="Normal"/>
        <w:spacing/>
        <w:ind/>
        <w:rPr>
          <w:rFonts w:ascii="Arial" w:eastAsia="Arial" w:hAnsi="Arial" w:cs="Arial"/>
        </w:rPr>
      </w:pPr>
      <w:r>
        <w:rPr>
          <w:rFonts w:ascii="Arial" w:eastAsia="Arial" w:hAnsi="Arial" w:cs="Arial"/>
        </w:rPr>
        <w:t xml:space="preserve">5. istraživanje i eksploataciju mineralnih sirovina, uključujući vađenje, pridobivanje i oplemenjivanje, u istražnim prostorima i na eksploatacijskim poljima, uključujući bušotine</w:t>
      </w:r>
    </w:p>
    <w:p>
      <w:pPr>
        <w:pBdr/>
        <w:pStyle w:val="Normal"/>
        <w:spacing/>
        <w:ind/>
        <w:rPr>
          <w:rFonts w:ascii="Arial" w:eastAsia="Arial" w:hAnsi="Arial" w:cs="Arial"/>
        </w:rPr>
      </w:pPr>
      <w:r>
        <w:rPr>
          <w:rFonts w:ascii="Arial" w:eastAsia="Arial" w:hAnsi="Arial" w:cs="Arial"/>
        </w:rPr>
        <w:t xml:space="preserve">6. istraživanje i eksploataciju mineralnih sirovina na moru, uključujući ugljikovodike</w:t>
      </w:r>
    </w:p>
    <w:p>
      <w:pPr>
        <w:pBdr/>
        <w:pStyle w:val="Normal"/>
        <w:spacing/>
        <w:ind/>
        <w:rPr>
          <w:rFonts w:ascii="Arial" w:eastAsia="Arial" w:hAnsi="Arial" w:cs="Arial"/>
        </w:rPr>
      </w:pPr>
      <w:r>
        <w:rPr>
          <w:rFonts w:ascii="Arial" w:eastAsia="Arial" w:hAnsi="Arial" w:cs="Arial"/>
        </w:rPr>
        <w:t xml:space="preserve">7. skladištenje i trajno zbrinjavanje plinova u geološkim strukturama na moru, uključujući lokacije namijenjene skladištenju i lokacije na kojima se provodi istraživanje i eksploatacija mineralnih sirovina, uključujući ugljikovodike</w:t>
      </w:r>
    </w:p>
    <w:p>
      <w:pPr>
        <w:pBdr/>
        <w:pStyle w:val="Normal"/>
        <w:spacing/>
        <w:ind/>
        <w:rPr>
          <w:rFonts w:ascii="Arial" w:eastAsia="Arial" w:hAnsi="Arial" w:cs="Arial"/>
        </w:rPr>
      </w:pPr>
      <w:r>
        <w:rPr>
          <w:rFonts w:ascii="Arial" w:eastAsia="Arial" w:hAnsi="Arial" w:cs="Arial"/>
        </w:rPr>
        <w:t xml:space="preserve">8. odlagališta otpada, uključujući podzemno skladištenje otpada.</w:t>
      </w:r>
    </w:p>
    <w:p>
      <w:pPr>
        <w:pBdr/>
        <w:pStyle w:val="Normal"/>
        <w:spacing/>
        <w:ind/>
        <w:rPr>
          <w:rFonts w:ascii="Arial" w:eastAsia="Arial" w:hAnsi="Arial" w:cs="Arial"/>
        </w:rPr>
      </w:pPr>
      <w:r>
        <w:rPr>
          <w:rFonts w:ascii="Arial" w:eastAsia="Arial" w:hAnsi="Arial" w:cs="Arial"/>
        </w:rPr>
        <w:t xml:space="preserve">(2) Iznimno od stavka 1. točaka 5. i 8. ovoga članka, odredbe ove glave primjenjuju se na:</w:t>
      </w:r>
    </w:p>
    <w:p>
      <w:pPr>
        <w:pBdr/>
        <w:pStyle w:val="Normal"/>
        <w:spacing/>
        <w:ind/>
        <w:rPr>
          <w:rFonts w:ascii="Arial" w:eastAsia="Arial" w:hAnsi="Arial" w:cs="Arial"/>
        </w:rPr>
      </w:pPr>
      <w:r>
        <w:rPr>
          <w:rFonts w:ascii="Arial" w:eastAsia="Arial" w:hAnsi="Arial" w:cs="Arial"/>
        </w:rPr>
        <w:t xml:space="preserve">1. podzemno skladištenje i trajno zbrinjavanje plinova na kopnu u geološkim strukturama, vodonosnicima, slanicima i iscrpljenim rudnicima</w:t>
      </w:r>
    </w:p>
    <w:p>
      <w:pPr>
        <w:pBdr/>
        <w:pStyle w:val="Normal"/>
        <w:spacing/>
        <w:ind/>
        <w:rPr>
          <w:rFonts w:ascii="Arial" w:eastAsia="Arial" w:hAnsi="Arial" w:cs="Arial"/>
        </w:rPr>
      </w:pPr>
      <w:r>
        <w:rPr>
          <w:rFonts w:ascii="Arial" w:eastAsia="Arial" w:hAnsi="Arial" w:cs="Arial"/>
        </w:rPr>
        <w:t xml:space="preserve">2. povezane kemijske i termičke postupke prerade i skladištenja koji uključuju opasne tvari</w:t>
      </w:r>
    </w:p>
    <w:p>
      <w:pPr>
        <w:pBdr/>
        <w:pStyle w:val="Normal"/>
        <w:spacing/>
        <w:ind/>
        <w:rPr>
          <w:rFonts w:ascii="Arial" w:eastAsia="Arial" w:hAnsi="Arial" w:cs="Arial"/>
        </w:rPr>
      </w:pPr>
      <w:r>
        <w:rPr>
          <w:rFonts w:ascii="Arial" w:eastAsia="Arial" w:hAnsi="Arial" w:cs="Arial"/>
        </w:rPr>
        <w:t xml:space="preserve">3. jalovišta koja uključuju akumulacije, pregrade i/ili brane te građevine za odlaganje i zadržavanje procesne jalovine koje sadrže opasne tvari u skladu s uredbom iz članka 169. stavka 2. ovoga Zakona.</w:t>
      </w:r>
    </w:p>
    <w:p>
      <w:pPr>
        <w:pBdr/>
        <w:pStyle w:val="Normal"/>
        <w:spacing/>
        <w:ind/>
        <w:rPr>
          <w:rFonts w:ascii="Arial" w:eastAsia="Arial" w:hAnsi="Arial" w:cs="Arial"/>
        </w:rPr>
      </w:pPr>
    </w:p>
    <w:p>
      <w:pPr>
        <w:pBdr/>
        <w:pStyle w:val="Heading 2"/>
        <w:spacing/>
        <w:ind/>
        <w:rPr/>
      </w:pPr>
      <w:r>
        <w:rPr/>
        <w:t xml:space="preserve">Suglasnost na politiku sprječavanja velikih nesreća i izvješće o sigurnosti</w:t>
      </w:r>
    </w:p>
    <w:p>
      <w:pPr>
        <w:pBdr/>
        <w:pStyle w:val="Heading 2"/>
        <w:spacing/>
        <w:ind/>
        <w:rPr/>
      </w:pPr>
      <w:r>
        <w:rPr/>
        <w:t xml:space="preserve">Članak 176.</w:t>
      </w:r>
    </w:p>
    <w:p>
      <w:pPr>
        <w:pBdr/>
        <w:pStyle w:val="Normal"/>
        <w:spacing/>
        <w:ind/>
        <w:rPr>
          <w:rFonts w:ascii="Arial" w:eastAsia="Arial" w:hAnsi="Arial" w:cs="Arial"/>
        </w:rPr>
      </w:pPr>
      <w:r>
        <w:rPr>
          <w:rFonts w:ascii="Arial" w:eastAsia="Arial" w:hAnsi="Arial" w:cs="Arial"/>
        </w:rPr>
        <w:t xml:space="preserve">(1) Za rad područja postrojenja operater je dužan ishoditi:</w:t>
      </w:r>
    </w:p>
    <w:p>
      <w:pPr>
        <w:pBdr/>
        <w:pStyle w:val="Normal"/>
        <w:spacing/>
        <w:ind/>
        <w:rPr>
          <w:rFonts w:ascii="Arial" w:eastAsia="Arial" w:hAnsi="Arial" w:cs="Arial"/>
        </w:rPr>
      </w:pPr>
      <w:r>
        <w:rPr>
          <w:rFonts w:ascii="Arial" w:eastAsia="Arial" w:hAnsi="Arial" w:cs="Arial"/>
        </w:rPr>
        <w:t xml:space="preserve">1. suglasnost na izvješće o sigurnosti za područje postrojenja višeg razreda iz članka 172. ovoga Zakona</w:t>
      </w:r>
    </w:p>
    <w:p>
      <w:pPr>
        <w:pBdr/>
        <w:pStyle w:val="Normal"/>
        <w:spacing/>
        <w:ind/>
        <w:rPr>
          <w:rFonts w:ascii="Arial" w:eastAsia="Arial" w:hAnsi="Arial" w:cs="Arial"/>
        </w:rPr>
      </w:pPr>
      <w:r>
        <w:rPr>
          <w:rFonts w:ascii="Arial" w:eastAsia="Arial" w:hAnsi="Arial" w:cs="Arial"/>
        </w:rPr>
        <w:t xml:space="preserve">2. suglasnost na politiku sprječavanja velikih nesreća za područje postrojenja nižeg razreda iz članka 173. ovoga Zakona.</w:t>
      </w:r>
    </w:p>
    <w:p>
      <w:pPr>
        <w:pBdr/>
        <w:pStyle w:val="Normal"/>
        <w:spacing/>
        <w:ind/>
        <w:rPr>
          <w:rFonts w:ascii="Arial" w:eastAsia="Arial" w:hAnsi="Arial" w:cs="Arial"/>
        </w:rPr>
      </w:pPr>
      <w:r>
        <w:rPr>
          <w:rFonts w:ascii="Arial" w:eastAsia="Arial" w:hAnsi="Arial" w:cs="Arial"/>
        </w:rPr>
        <w:t xml:space="preserve">(2) Suglasnosti iz stavka 1. ovoga članka moraju se ishoditi i za izmjene i/ili dopune izvješća o sigurnosti odnosno politike sprječavanja velikih nesreća u skladu sa člankom 180. stavkom 1. ovoga Zakona.</w:t>
      </w:r>
    </w:p>
    <w:p>
      <w:pPr>
        <w:pBdr/>
        <w:pStyle w:val="Normal"/>
        <w:spacing/>
        <w:ind/>
        <w:rPr>
          <w:rFonts w:ascii="Arial" w:eastAsia="Arial" w:hAnsi="Arial" w:cs="Arial"/>
        </w:rPr>
      </w:pPr>
      <w:r>
        <w:rPr>
          <w:rFonts w:ascii="Arial" w:eastAsia="Arial" w:hAnsi="Arial" w:cs="Arial"/>
        </w:rPr>
        <w:t xml:space="preserve">(3) Suglasnosti iz stavaka 1. i 2. ovoga članka nisu upravni akti.</w:t>
      </w:r>
    </w:p>
    <w:p>
      <w:pPr>
        <w:pBdr/>
        <w:pStyle w:val="Normal"/>
        <w:spacing/>
        <w:ind/>
        <w:rPr>
          <w:rFonts w:ascii="Arial" w:eastAsia="Arial" w:hAnsi="Arial" w:cs="Arial"/>
        </w:rPr>
      </w:pPr>
      <w:r>
        <w:rPr>
          <w:rFonts w:ascii="Arial" w:eastAsia="Arial" w:hAnsi="Arial" w:cs="Arial"/>
        </w:rPr>
        <w:t xml:space="preserve">(4) Ministarstvo suglasnosti iz stavaka 1. i 2. ovoga članka dostavlja operateru, tijelu nadležnom za inspekcijske poslove u području zaštite okoliša, ministarstvu nadležnom za poslove civilne zaštite i upravnom tijelu nadležnom za prostorno uređenje u jedinici lokalne odnosno područne (regionalne) samouprave na čijem se području nalazi područje postrojenja te ih dostavlja u Registar iz članka 189. ovoga Zakona.</w:t>
      </w:r>
    </w:p>
    <w:p>
      <w:pPr>
        <w:pBdr/>
        <w:pStyle w:val="Normal"/>
        <w:spacing/>
        <w:ind/>
        <w:rPr>
          <w:rFonts w:ascii="Arial" w:eastAsia="Arial" w:hAnsi="Arial" w:cs="Arial"/>
        </w:rPr>
      </w:pPr>
    </w:p>
    <w:p>
      <w:pPr>
        <w:pBdr/>
        <w:pStyle w:val="Heading 2"/>
        <w:spacing/>
        <w:ind/>
        <w:rPr/>
      </w:pPr>
      <w:r>
        <w:rPr/>
        <w:t xml:space="preserve">Zahtjev za ishođenje suglasnosti</w:t>
      </w:r>
    </w:p>
    <w:p>
      <w:pPr>
        <w:pBdr/>
        <w:pStyle w:val="Heading 2"/>
        <w:spacing/>
        <w:ind/>
        <w:rPr/>
      </w:pPr>
      <w:r>
        <w:rPr/>
        <w:t xml:space="preserve">Članak 177.</w:t>
      </w:r>
    </w:p>
    <w:p>
      <w:pPr>
        <w:pBdr/>
        <w:pStyle w:val="Normal"/>
        <w:spacing/>
        <w:ind/>
        <w:rPr>
          <w:rFonts w:ascii="Arial" w:eastAsia="Arial" w:hAnsi="Arial" w:cs="Arial"/>
        </w:rPr>
      </w:pPr>
      <w:r>
        <w:rPr>
          <w:rFonts w:ascii="Arial" w:eastAsia="Arial" w:hAnsi="Arial" w:cs="Arial"/>
        </w:rPr>
        <w:t xml:space="preserve">(1) Zahtjev za ishođenje suglasnosti iz članka 176. stavka 1. ovoga Zakona podnosi se Ministarstvu pisanim putem do uspostave elektroničkog sustava za provedbu postupaka u zaštiti okoliša, najkasnije šest mjeseci prije početka rada područja postrojenja.</w:t>
      </w:r>
    </w:p>
    <w:p>
      <w:pPr>
        <w:pBdr/>
        <w:pStyle w:val="Normal"/>
        <w:spacing/>
        <w:ind/>
        <w:rPr>
          <w:rFonts w:ascii="Arial" w:eastAsia="Arial" w:hAnsi="Arial" w:cs="Arial"/>
        </w:rPr>
      </w:pPr>
      <w:r>
        <w:rPr>
          <w:rFonts w:ascii="Arial" w:eastAsia="Arial" w:hAnsi="Arial" w:cs="Arial"/>
        </w:rPr>
        <w:t xml:space="preserve">(2) Zahtjev iz stavka 1. ovoga članka sadrži:</w:t>
      </w:r>
    </w:p>
    <w:p>
      <w:pPr>
        <w:pBdr/>
        <w:pStyle w:val="Normal"/>
        <w:spacing/>
        <w:ind/>
        <w:rPr>
          <w:rFonts w:ascii="Arial" w:eastAsia="Arial" w:hAnsi="Arial" w:cs="Arial"/>
        </w:rPr>
      </w:pPr>
      <w:r>
        <w:rPr>
          <w:rFonts w:ascii="Arial" w:eastAsia="Arial" w:hAnsi="Arial" w:cs="Arial"/>
        </w:rPr>
        <w:t xml:space="preserve">1. naziv, sjedište i osobni identifikacijski broj operatera, ime i prezime odgovorne osobe te naziv i adresu lokacije područja postrojenja ako se razlikuje od adrese operatera</w:t>
      </w:r>
    </w:p>
    <w:p>
      <w:pPr>
        <w:pBdr/>
        <w:pStyle w:val="Normal"/>
        <w:spacing/>
        <w:ind/>
        <w:rPr>
          <w:rFonts w:ascii="Arial" w:eastAsia="Arial" w:hAnsi="Arial" w:cs="Arial"/>
        </w:rPr>
      </w:pPr>
      <w:r>
        <w:rPr>
          <w:rFonts w:ascii="Arial" w:eastAsia="Arial" w:hAnsi="Arial" w:cs="Arial"/>
        </w:rPr>
        <w:t xml:space="preserve">2. kratak opis djelatnosti postrojenja ili skladišta</w:t>
      </w:r>
    </w:p>
    <w:p>
      <w:pPr>
        <w:pBdr/>
        <w:pStyle w:val="Normal"/>
        <w:spacing/>
        <w:ind/>
        <w:rPr>
          <w:rFonts w:ascii="Arial" w:eastAsia="Arial" w:hAnsi="Arial" w:cs="Arial"/>
        </w:rPr>
      </w:pPr>
      <w:r>
        <w:rPr>
          <w:rFonts w:ascii="Arial" w:eastAsia="Arial" w:hAnsi="Arial" w:cs="Arial"/>
        </w:rPr>
        <w:t xml:space="preserve">3. podatke za utvrđivanje količina i kategorija opasnih tvari prisutnih u području postrojenja ili onih čiji se nastanak može razumno predvidjeti u slučaju gubitka kontrole nad procesima, uključujući skladištenje, te informacije o njihovu agregatnom stanju</w:t>
      </w:r>
    </w:p>
    <w:p>
      <w:pPr>
        <w:pBdr/>
        <w:pStyle w:val="Normal"/>
        <w:spacing/>
        <w:ind/>
        <w:rPr>
          <w:rFonts w:ascii="Arial" w:eastAsia="Arial" w:hAnsi="Arial" w:cs="Arial"/>
        </w:rPr>
      </w:pPr>
      <w:r>
        <w:rPr>
          <w:rFonts w:ascii="Arial" w:eastAsia="Arial" w:hAnsi="Arial" w:cs="Arial"/>
        </w:rPr>
        <w:t xml:space="preserve">4. informacije o neposrednom okolišu područja postrojenja i čimbenicima koji bi mogli uzrokovati veliku nesreću ili pogoršati njezine posljedice, uključujući dostupne podatke o susjednim područjima postrojenja, lokacijama poslovanja i zahvatima koji bi mogli uzrokovati ili povećati rizik ili posljedice velike nesreće</w:t>
      </w:r>
    </w:p>
    <w:p>
      <w:pPr>
        <w:pBdr/>
        <w:pStyle w:val="Normal"/>
        <w:spacing/>
        <w:ind/>
        <w:rPr>
          <w:rFonts w:ascii="Arial" w:eastAsia="Arial" w:hAnsi="Arial" w:cs="Arial"/>
        </w:rPr>
      </w:pPr>
      <w:r>
        <w:rPr>
          <w:rFonts w:ascii="Arial" w:eastAsia="Arial" w:hAnsi="Arial" w:cs="Arial"/>
        </w:rPr>
        <w:t xml:space="preserve">5. politiku sprječavanja velikih nesreća i dokumentaciju kojom se dokazuje njezina provedba za područje postrojenja nižeg razreda odnosno izvješće o sigurnosti i unutarnji plan za područje postrojenja višeg razreda</w:t>
      </w:r>
    </w:p>
    <w:p>
      <w:pPr>
        <w:pBdr/>
        <w:pStyle w:val="Normal"/>
        <w:spacing/>
        <w:ind/>
        <w:rPr>
          <w:rFonts w:ascii="Arial" w:eastAsia="Arial" w:hAnsi="Arial" w:cs="Arial"/>
        </w:rPr>
      </w:pPr>
      <w:r>
        <w:rPr>
          <w:rFonts w:ascii="Arial" w:eastAsia="Arial" w:hAnsi="Arial" w:cs="Arial"/>
        </w:rPr>
        <w:t xml:space="preserve">6. mjere koje je potrebno poduzeti u slučaju trajnog zatvaranja područja postrojenja koje operater može predvidjeti u trenutku podnošenja zahtjeva.</w:t>
      </w:r>
    </w:p>
    <w:p>
      <w:pPr>
        <w:pBdr/>
        <w:pStyle w:val="Normal"/>
        <w:spacing/>
        <w:ind/>
        <w:rPr>
          <w:rFonts w:ascii="Arial" w:eastAsia="Arial" w:hAnsi="Arial" w:cs="Arial"/>
        </w:rPr>
      </w:pPr>
      <w:r>
        <w:rPr>
          <w:rFonts w:ascii="Arial" w:eastAsia="Arial" w:hAnsi="Arial" w:cs="Arial"/>
        </w:rPr>
        <w:t xml:space="preserve">(3) Uz zahtjev se prilaže rješenje o prihvatljivosti zahvata za okoliš ili rješenje iz postupka ocjene o potrebi procjene utjecaja zahvata na okoliš ako ga je bilo potrebno ishoditi odnosno mišljenje da nije potrebno provesti postupak procjene ili ocjene o potrebi procjene utjecaja zahvata na okoliš. Uz zahtjev se prilaže i odgovarajuća potvrda tijela nadležnog prema propisima kojima se uređuje prostorno uređenje o usklađenosti zahvata s važećom prostorno-</w:t>
      </w:r>
      <w:r>
        <w:rPr>
          <w:rFonts w:ascii="Arial" w:eastAsia="Arial" w:hAnsi="Arial" w:cs="Arial"/>
        </w:rPr>
        <w:t xml:space="preserve">planskom dokumentacijom, osim ako je izdano rješenje o prihvatljivosti zahvata za okoliš.</w:t>
      </w:r>
    </w:p>
    <w:p>
      <w:pPr>
        <w:pBdr/>
        <w:pStyle w:val="Normal"/>
        <w:spacing/>
        <w:ind/>
        <w:rPr>
          <w:rFonts w:ascii="Arial" w:eastAsia="Arial" w:hAnsi="Arial" w:cs="Arial"/>
        </w:rPr>
      </w:pPr>
      <w:r>
        <w:rPr>
          <w:rFonts w:ascii="Arial" w:eastAsia="Arial" w:hAnsi="Arial" w:cs="Arial"/>
        </w:rPr>
        <w:t xml:space="preserve">(4) Pri odlučivanju o zahtjevu Ministarstvo uzima u obzir podatke pribavljene u postupku iz stavka 3. ovoga članka te prihvaća jednakovrijedne informacije koje je operater dostavio u skladu s drugim relevantnim propisima Europske unije ako se njima ispunjavaju zahtjevi ovoga Zakona i propisa donesenih na temelju ovoga Zakona.</w:t>
      </w:r>
    </w:p>
    <w:p>
      <w:pPr>
        <w:pBdr/>
        <w:pStyle w:val="Normal"/>
        <w:spacing/>
        <w:ind/>
        <w:rPr>
          <w:rFonts w:ascii="Arial" w:eastAsia="Arial" w:hAnsi="Arial" w:cs="Arial"/>
        </w:rPr>
      </w:pPr>
      <w:r>
        <w:rPr>
          <w:rFonts w:ascii="Arial" w:eastAsia="Arial" w:hAnsi="Arial" w:cs="Arial"/>
        </w:rPr>
        <w:t xml:space="preserve">(5) Ako Ministarstvo utvrdi da zahtjev nije na zakonu osnovan, rješenjem će odbiti zahtjev.</w:t>
      </w:r>
    </w:p>
    <w:p>
      <w:pPr>
        <w:pBdr/>
        <w:pStyle w:val="Normal"/>
        <w:spacing/>
        <w:ind/>
        <w:rPr>
          <w:rFonts w:ascii="Arial" w:eastAsia="Arial" w:hAnsi="Arial" w:cs="Arial"/>
        </w:rPr>
      </w:pPr>
      <w:r>
        <w:rPr>
          <w:rFonts w:ascii="Arial" w:eastAsia="Arial" w:hAnsi="Arial" w:cs="Arial"/>
        </w:rPr>
        <w:t xml:space="preserve">(6) Protiv rješenja iz stavka 5. ovoga članka žalba nije dopuštena, ali se može pokrenuti upravni spor.</w:t>
      </w:r>
    </w:p>
    <w:p>
      <w:pPr>
        <w:pBdr/>
        <w:pStyle w:val="Normal"/>
        <w:spacing/>
        <w:ind/>
        <w:rPr>
          <w:rFonts w:ascii="Arial" w:eastAsia="Arial" w:hAnsi="Arial" w:cs="Arial"/>
        </w:rPr>
      </w:pPr>
    </w:p>
    <w:p>
      <w:pPr>
        <w:pBdr/>
        <w:pStyle w:val="Heading 2"/>
        <w:spacing/>
        <w:ind/>
        <w:rPr/>
      </w:pPr>
      <w:r>
        <w:rPr/>
        <w:t xml:space="preserve">Postupak ishođenja suglasnosti</w:t>
      </w:r>
    </w:p>
    <w:p>
      <w:pPr>
        <w:pBdr/>
        <w:pStyle w:val="Heading 2"/>
        <w:spacing/>
        <w:ind/>
        <w:rPr/>
      </w:pPr>
      <w:r>
        <w:rPr/>
        <w:t xml:space="preserve">Članak 178.</w:t>
      </w:r>
    </w:p>
    <w:p>
      <w:pPr>
        <w:pBdr/>
        <w:pStyle w:val="Normal"/>
        <w:spacing/>
        <w:ind/>
        <w:rPr>
          <w:rFonts w:ascii="Arial" w:eastAsia="Arial" w:hAnsi="Arial" w:cs="Arial"/>
        </w:rPr>
      </w:pPr>
      <w:r>
        <w:rPr>
          <w:rFonts w:ascii="Arial" w:eastAsia="Arial" w:hAnsi="Arial" w:cs="Arial"/>
        </w:rPr>
        <w:t xml:space="preserve">(1) Ako su ispunjeni uvjeti propisani ovim Zakonom i uredbom iz članka 169. stavka 2. ovoga Zakona, Ministarstvo je dužno, na zahtjev operatera, izdati suglasnost iz članka 176. stavaka 1. i 2. ovoga Zakona u roku od šest mjeseci od dana zaprimanja urednog zahtjeva. </w:t>
      </w:r>
    </w:p>
    <w:p>
      <w:pPr>
        <w:pBdr/>
        <w:pStyle w:val="Normal"/>
        <w:spacing/>
        <w:ind/>
        <w:rPr>
          <w:rFonts w:ascii="Arial" w:eastAsia="Arial" w:hAnsi="Arial" w:cs="Arial"/>
        </w:rPr>
      </w:pPr>
      <w:r>
        <w:rPr>
          <w:rFonts w:ascii="Arial" w:eastAsia="Arial" w:hAnsi="Arial" w:cs="Arial"/>
        </w:rPr>
        <w:t xml:space="preserve">(2) Ministarstvo daje suglasnost na izvješće o sigurnosti na temelju ocjene jesu li tim izvješćem za područje postrojenja višeg razreda utvrđene sve mjere i aktivnosti te uvjeti i način njihove provedbe u skladu s ovim Zakonom i uredbom iz članka 169. stavka 2. ovoga Zakona.</w:t>
      </w:r>
    </w:p>
    <w:p>
      <w:pPr>
        <w:pBdr/>
        <w:pStyle w:val="Normal"/>
        <w:spacing/>
        <w:ind/>
        <w:rPr>
          <w:rFonts w:ascii="Arial" w:eastAsia="Arial" w:hAnsi="Arial" w:cs="Arial"/>
        </w:rPr>
      </w:pPr>
      <w:r>
        <w:rPr>
          <w:rFonts w:ascii="Arial" w:eastAsia="Arial" w:hAnsi="Arial" w:cs="Arial"/>
        </w:rPr>
        <w:t xml:space="preserve">(3) Ministarstvo daje suglasnost na politiku sprječavanja velikih nesreća na temelju ocjene je li u području postrojenja nižeg razreda osigurana provedba te politike u skladu s ovim Zakonom i uredbom iz članka 169. stavka 2. ovoga Zakona.</w:t>
      </w:r>
    </w:p>
    <w:p>
      <w:pPr>
        <w:pBdr/>
        <w:pStyle w:val="Normal"/>
        <w:spacing/>
        <w:ind/>
        <w:rPr>
          <w:rFonts w:ascii="Arial" w:eastAsia="Arial" w:hAnsi="Arial" w:cs="Arial"/>
        </w:rPr>
      </w:pPr>
      <w:r>
        <w:rPr>
          <w:rFonts w:ascii="Arial" w:eastAsia="Arial" w:hAnsi="Arial" w:cs="Arial"/>
        </w:rPr>
        <w:t xml:space="preserve">(4) Ministarstvo stavlja postojeću suglasnost izvan snage nakon provedbe postupka i davanja nove suglasnosti:</w:t>
      </w:r>
    </w:p>
    <w:p>
      <w:pPr>
        <w:pBdr/>
        <w:pStyle w:val="Normal"/>
        <w:spacing/>
        <w:ind/>
        <w:rPr>
          <w:rFonts w:ascii="Arial" w:eastAsia="Arial" w:hAnsi="Arial" w:cs="Arial"/>
        </w:rPr>
      </w:pPr>
      <w:r>
        <w:rPr>
          <w:rFonts w:ascii="Arial" w:eastAsia="Arial" w:hAnsi="Arial" w:cs="Arial"/>
        </w:rPr>
        <w:t xml:space="preserve">1. ako zbog planirane izmjene područje postrojenja prelazi iz nižeg u viši razred ili obrnuto</w:t>
      </w:r>
    </w:p>
    <w:p>
      <w:pPr>
        <w:pBdr/>
        <w:pStyle w:val="Normal"/>
        <w:spacing/>
        <w:ind/>
        <w:rPr>
          <w:rFonts w:ascii="Arial" w:eastAsia="Arial" w:hAnsi="Arial" w:cs="Arial"/>
        </w:rPr>
      </w:pPr>
      <w:r>
        <w:rPr>
          <w:rFonts w:ascii="Arial" w:eastAsia="Arial" w:hAnsi="Arial" w:cs="Arial"/>
        </w:rPr>
        <w:t xml:space="preserve">2. ako je zbog planirane značajne izmjene postojećeg područja postrojenja potrebno ishoditi suglasnost na izmjene i/ili dopune izvješća o sigurnosti odnosno politike sprječavanja velikih nesreća.</w:t>
      </w:r>
    </w:p>
    <w:p>
      <w:pPr>
        <w:pBdr/>
        <w:pStyle w:val="Normal"/>
        <w:spacing/>
        <w:ind/>
        <w:rPr>
          <w:rFonts w:ascii="Arial" w:eastAsia="Arial" w:hAnsi="Arial" w:cs="Arial"/>
        </w:rPr>
      </w:pPr>
    </w:p>
    <w:p>
      <w:pPr>
        <w:pBdr/>
        <w:pStyle w:val="Heading 2"/>
        <w:spacing/>
        <w:ind/>
        <w:rPr/>
      </w:pPr>
      <w:r>
        <w:rPr/>
        <w:t xml:space="preserve">Stručno vijeće</w:t>
      </w:r>
    </w:p>
    <w:p>
      <w:pPr>
        <w:pBdr/>
        <w:pStyle w:val="Heading 2"/>
        <w:spacing/>
        <w:ind/>
        <w:rPr/>
      </w:pPr>
      <w:r>
        <w:rPr/>
        <w:t xml:space="preserve">Članak 179.</w:t>
      </w:r>
    </w:p>
    <w:p>
      <w:pPr>
        <w:pBdr/>
        <w:pStyle w:val="Normal"/>
        <w:spacing/>
        <w:ind/>
        <w:rPr>
          <w:rFonts w:ascii="Arial" w:eastAsia="Arial" w:hAnsi="Arial" w:cs="Arial"/>
        </w:rPr>
      </w:pPr>
      <w:r>
        <w:rPr>
          <w:rFonts w:ascii="Arial" w:eastAsia="Arial" w:hAnsi="Arial" w:cs="Arial"/>
        </w:rPr>
        <w:t xml:space="preserve">(1) U postupku ocjenjivanja izvješća o sigurnosti odnosno provedbe politike sprječavanja velikih nesreća za novo područje postrojenja te njihovih izmjena i/ili dopuna u slučaju značajne izmjene postojećeg područja postrojenja sudjeluje Stručno vijeće.</w:t>
      </w:r>
    </w:p>
    <w:p>
      <w:pPr>
        <w:pBdr/>
        <w:pStyle w:val="Normal"/>
        <w:spacing/>
        <w:ind/>
        <w:rPr>
          <w:rFonts w:ascii="Arial" w:eastAsia="Arial" w:hAnsi="Arial" w:cs="Arial"/>
        </w:rPr>
      </w:pPr>
      <w:r>
        <w:rPr>
          <w:rFonts w:ascii="Arial" w:eastAsia="Arial" w:hAnsi="Arial" w:cs="Arial"/>
        </w:rPr>
        <w:t xml:space="preserve">(2) Članove Stručnog vijeća imenuje ministar.</w:t>
      </w:r>
    </w:p>
    <w:p>
      <w:pPr>
        <w:pBdr/>
        <w:pStyle w:val="Normal"/>
        <w:spacing/>
        <w:ind/>
        <w:rPr>
          <w:rFonts w:ascii="Arial" w:eastAsia="Arial" w:hAnsi="Arial" w:cs="Arial"/>
        </w:rPr>
      </w:pPr>
      <w:r>
        <w:rPr>
          <w:rFonts w:ascii="Arial" w:eastAsia="Arial" w:hAnsi="Arial" w:cs="Arial"/>
        </w:rPr>
        <w:t xml:space="preserve">(3) Članovi Stručnog vijeća imaju pravo na naknadu za rad koju osigurava operater u skladu s odlukom ministra.</w:t>
      </w:r>
    </w:p>
    <w:p>
      <w:pPr>
        <w:pBdr/>
        <w:pStyle w:val="Normal"/>
        <w:spacing/>
        <w:ind/>
        <w:rPr>
          <w:rFonts w:ascii="Arial" w:eastAsia="Arial" w:hAnsi="Arial" w:cs="Arial"/>
        </w:rPr>
      </w:pPr>
      <w:r>
        <w:rPr>
          <w:rFonts w:ascii="Arial" w:eastAsia="Arial" w:hAnsi="Arial" w:cs="Arial"/>
        </w:rPr>
        <w:t xml:space="preserve">(4) Postupak imenovanja i opoziva članova, obvezni sastav i način rada Stručnog vijeća, obvezni sadržaj njegova mišljenja te visinu i način isplate naknade za rad propisuje ministar pravilnikom.</w:t>
      </w:r>
    </w:p>
    <w:p>
      <w:pPr>
        <w:pBdr/>
        <w:pStyle w:val="Normal"/>
        <w:spacing/>
        <w:ind/>
        <w:rPr>
          <w:rFonts w:ascii="Arial" w:eastAsia="Arial" w:hAnsi="Arial" w:cs="Arial"/>
        </w:rPr>
      </w:pPr>
    </w:p>
    <w:p>
      <w:pPr>
        <w:pBdr/>
        <w:pStyle w:val="Heading 2"/>
        <w:spacing/>
        <w:ind/>
        <w:rPr/>
      </w:pPr>
      <w:r>
        <w:rPr/>
        <w:t xml:space="preserve">Izmjene dokumentacije zbog značajne izmjene područja postrojenja</w:t>
      </w:r>
    </w:p>
    <w:p>
      <w:pPr>
        <w:pBdr/>
        <w:pStyle w:val="Heading 2"/>
        <w:spacing/>
        <w:ind/>
        <w:rPr/>
      </w:pPr>
      <w:r>
        <w:rPr/>
        <w:t xml:space="preserve">Članak 180.</w:t>
      </w:r>
    </w:p>
    <w:p>
      <w:pPr>
        <w:pBdr/>
        <w:pStyle w:val="Normal"/>
        <w:spacing/>
        <w:ind/>
        <w:rPr>
          <w:rFonts w:ascii="Arial" w:eastAsia="Arial" w:hAnsi="Arial" w:cs="Arial"/>
        </w:rPr>
      </w:pPr>
      <w:r>
        <w:rPr>
          <w:rFonts w:ascii="Arial" w:eastAsia="Arial" w:hAnsi="Arial" w:cs="Arial"/>
        </w:rPr>
        <w:t xml:space="preserve">(1) Operater je dužan najkasnije šest mjeseci prije provedbe značajne izmjene u području postrojenja podnijeti Ministarstvu zahtjev za ishođenje suglasnosti na izmjene i/ili dopune izvješća o sigurnosti za područje postrojenja višeg razreda odnosno politike sprječavanja velikih nesreća za područje postrojenja nižeg razreda.</w:t>
      </w:r>
    </w:p>
    <w:p>
      <w:pPr>
        <w:pBdr/>
        <w:pStyle w:val="Normal"/>
        <w:spacing/>
        <w:ind/>
        <w:rPr>
          <w:rFonts w:ascii="Arial" w:eastAsia="Arial" w:hAnsi="Arial" w:cs="Arial"/>
        </w:rPr>
      </w:pPr>
      <w:r>
        <w:rPr>
          <w:rFonts w:ascii="Arial" w:eastAsia="Arial" w:hAnsi="Arial" w:cs="Arial"/>
        </w:rPr>
        <w:t xml:space="preserve">(2) U zahtjevu iz stavka 1. ovoga članka operater je dužan, prema sadržaju zahtjeva iz članka 177. stavka 2. ovoga Zakona, jasno navesti planirane izmjene područja postrojenja u odnosu na postojeće stanje.</w:t>
      </w:r>
    </w:p>
    <w:p>
      <w:pPr>
        <w:pBdr/>
        <w:pStyle w:val="Normal"/>
        <w:spacing/>
        <w:ind/>
        <w:rPr>
          <w:rFonts w:ascii="Arial" w:eastAsia="Arial" w:hAnsi="Arial" w:cs="Arial"/>
        </w:rPr>
      </w:pPr>
    </w:p>
    <w:p>
      <w:pPr>
        <w:pBdr/>
        <w:pStyle w:val="Heading 2"/>
        <w:spacing/>
        <w:ind/>
        <w:rPr/>
      </w:pPr>
      <w:r>
        <w:rPr/>
        <w:t xml:space="preserve">Preispitivanje i ažuriranje dokumentacije o sigurnosti</w:t>
      </w:r>
    </w:p>
    <w:p>
      <w:pPr>
        <w:pBdr/>
        <w:pStyle w:val="Heading 2"/>
        <w:spacing/>
        <w:ind/>
        <w:rPr/>
      </w:pPr>
      <w:r>
        <w:rPr/>
        <w:t xml:space="preserve">Članak 181.</w:t>
      </w:r>
    </w:p>
    <w:p>
      <w:pPr>
        <w:pBdr/>
        <w:pStyle w:val="Normal"/>
        <w:spacing/>
        <w:ind/>
        <w:rPr>
          <w:rFonts w:ascii="Arial" w:eastAsia="Arial" w:hAnsi="Arial" w:cs="Arial"/>
        </w:rPr>
      </w:pPr>
      <w:r>
        <w:rPr>
          <w:rFonts w:ascii="Arial" w:eastAsia="Arial" w:hAnsi="Arial" w:cs="Arial"/>
        </w:rPr>
        <w:t xml:space="preserve">(1) Operater je dužan redovito preispitivati izvješće o sigurnosti za područje postrojenja višeg razreda odnosno politiku sprječavanja velikih nesreća i pripadajuću dokumentaciju kojom se dokazuje njezina provedba za područje postrojenja nižeg razreda te ih prema potrebi ažurirati:</w:t>
      </w:r>
    </w:p>
    <w:p>
      <w:pPr>
        <w:pBdr/>
        <w:pStyle w:val="Normal"/>
        <w:spacing/>
        <w:ind/>
        <w:rPr>
          <w:rFonts w:ascii="Arial" w:eastAsia="Arial" w:hAnsi="Arial" w:cs="Arial"/>
        </w:rPr>
      </w:pPr>
      <w:r>
        <w:rPr>
          <w:rFonts w:ascii="Arial" w:eastAsia="Arial" w:hAnsi="Arial" w:cs="Arial"/>
        </w:rPr>
        <w:t xml:space="preserve">1. najmanje svakih pet godina</w:t>
      </w:r>
    </w:p>
    <w:p>
      <w:pPr>
        <w:pBdr/>
        <w:pStyle w:val="Normal"/>
        <w:spacing/>
        <w:ind/>
        <w:rPr>
          <w:rFonts w:ascii="Arial" w:eastAsia="Arial" w:hAnsi="Arial" w:cs="Arial"/>
        </w:rPr>
      </w:pPr>
      <w:r>
        <w:rPr>
          <w:rFonts w:ascii="Arial" w:eastAsia="Arial" w:hAnsi="Arial" w:cs="Arial"/>
        </w:rPr>
        <w:t xml:space="preserve">2. nakon velike nesreće</w:t>
      </w:r>
    </w:p>
    <w:p>
      <w:pPr>
        <w:pBdr/>
        <w:pStyle w:val="Normal"/>
        <w:spacing/>
        <w:ind/>
        <w:rPr>
          <w:rFonts w:ascii="Arial" w:eastAsia="Arial" w:hAnsi="Arial" w:cs="Arial"/>
        </w:rPr>
      </w:pPr>
      <w:r>
        <w:rPr>
          <w:rFonts w:ascii="Arial" w:eastAsia="Arial" w:hAnsi="Arial" w:cs="Arial"/>
        </w:rPr>
        <w:t xml:space="preserve">3. u bilo koje vrijeme, na vlastitu inicijativu ili na zahtjev nadležnog tijela, radi uzimanja u obzir novih tehnologija, sigurnosnih mjera i stručnih spoznaja o opasnostima od velikih nesreća, uključujući spoznaje proizašle iz analize nesreća i, ako je moguće, izbjegnutih nesreća te saznanja i pretpostavke o promjenama koje mogu bitno utjecati na posljedice velikih nesreća.</w:t>
      </w:r>
    </w:p>
    <w:p>
      <w:pPr>
        <w:pBdr/>
        <w:pStyle w:val="Normal"/>
        <w:spacing/>
        <w:ind/>
        <w:rPr>
          <w:rFonts w:ascii="Arial" w:eastAsia="Arial" w:hAnsi="Arial" w:cs="Arial"/>
        </w:rPr>
      </w:pPr>
      <w:r>
        <w:rPr>
          <w:rFonts w:ascii="Arial" w:eastAsia="Arial" w:hAnsi="Arial" w:cs="Arial"/>
        </w:rPr>
        <w:t xml:space="preserve">(2) Operater područja postrojenja višeg razreda dužan je u razmacima koji nisu dulji od tri godine preispitivati i testirati unutarnji plan te ga prema potrebi ažurirati, uzimajući u obzir promjene u području postrojenja i hitnim službama, nova stručna znanja te nove spoznaje o postupanju u slučaju velikih nesreća.</w:t>
      </w:r>
    </w:p>
    <w:p>
      <w:pPr>
        <w:pBdr/>
        <w:pStyle w:val="Normal"/>
        <w:spacing/>
        <w:ind/>
        <w:rPr>
          <w:rFonts w:ascii="Arial" w:eastAsia="Arial" w:hAnsi="Arial" w:cs="Arial"/>
        </w:rPr>
      </w:pPr>
      <w:r>
        <w:rPr>
          <w:rFonts w:ascii="Arial" w:eastAsia="Arial" w:hAnsi="Arial" w:cs="Arial"/>
        </w:rPr>
        <w:t xml:space="preserve">(3) Pri ažuriranju dokumentacije iz stavka 1. ovoga članka operater je dužan osigurati sljedivost izmjena i dopuna te svaki izmijenjeni ili dopunjeni dio označiti datumom izmjene ili dopune.</w:t>
      </w:r>
    </w:p>
    <w:p>
      <w:pPr>
        <w:pBdr/>
        <w:pStyle w:val="Normal"/>
        <w:spacing/>
        <w:ind/>
        <w:rPr>
          <w:rFonts w:ascii="Arial" w:eastAsia="Arial" w:hAnsi="Arial" w:cs="Arial"/>
        </w:rPr>
      </w:pPr>
      <w:r>
        <w:rPr>
          <w:rFonts w:ascii="Arial" w:eastAsia="Arial" w:hAnsi="Arial" w:cs="Arial"/>
        </w:rPr>
        <w:t xml:space="preserve">(4) Operater je dužan ažuriranu dokumentaciju iz stavka 1. ovoga članka bez odgađanja dostaviti tijelu nadležnom za inspekcijske poslove u području zaštite okoliša.</w:t>
      </w:r>
    </w:p>
    <w:p>
      <w:pPr>
        <w:pBdr/>
        <w:pStyle w:val="Normal"/>
        <w:spacing/>
        <w:ind/>
        <w:rPr>
          <w:rFonts w:ascii="Arial" w:eastAsia="Arial" w:hAnsi="Arial" w:cs="Arial"/>
        </w:rPr>
      </w:pPr>
    </w:p>
    <w:p>
      <w:pPr>
        <w:pBdr/>
        <w:pStyle w:val="Heading 2"/>
        <w:spacing/>
        <w:ind/>
        <w:rPr/>
      </w:pPr>
      <w:r>
        <w:rPr/>
        <w:t xml:space="preserve">Promjena operatera i podataka o operateru</w:t>
      </w:r>
    </w:p>
    <w:p>
      <w:pPr>
        <w:pBdr/>
        <w:pStyle w:val="Heading 2"/>
        <w:spacing/>
        <w:ind/>
        <w:rPr/>
      </w:pPr>
      <w:r>
        <w:rPr/>
        <w:t xml:space="preserve">Članak 182.</w:t>
      </w:r>
    </w:p>
    <w:p>
      <w:pPr>
        <w:pBdr/>
        <w:pStyle w:val="Normal"/>
        <w:spacing/>
        <w:ind/>
        <w:rPr>
          <w:rFonts w:ascii="Arial" w:eastAsia="Arial" w:hAnsi="Arial" w:cs="Arial"/>
        </w:rPr>
      </w:pPr>
      <w:r>
        <w:rPr>
          <w:rFonts w:ascii="Arial" w:eastAsia="Arial" w:hAnsi="Arial" w:cs="Arial"/>
        </w:rPr>
        <w:t xml:space="preserve">(1) U slučaju prijenosa prava upravljanja područjem postrojenja s jedne pravne osobe na drugu novi operater dužan je ishoditi izmjenu suglasnosti iz članka 176. ovoga Zakona i podnijeti Ministarstvu zahtjev za njezinu izmjenu u roku od 15 dana od dana nastale promjene.</w:t>
      </w:r>
    </w:p>
    <w:p>
      <w:pPr>
        <w:pBdr/>
        <w:pStyle w:val="Normal"/>
        <w:spacing/>
        <w:ind/>
        <w:rPr>
          <w:rFonts w:ascii="Arial" w:eastAsia="Arial" w:hAnsi="Arial" w:cs="Arial"/>
        </w:rPr>
      </w:pPr>
      <w:r>
        <w:rPr>
          <w:rFonts w:ascii="Arial" w:eastAsia="Arial" w:hAnsi="Arial" w:cs="Arial"/>
        </w:rPr>
        <w:t xml:space="preserve">(2) Uz zahtjev iz stavka 1. ovoga članka prilažu se:</w:t>
      </w:r>
    </w:p>
    <w:p>
      <w:pPr>
        <w:pBdr/>
        <w:pStyle w:val="Normal"/>
        <w:spacing/>
        <w:ind/>
        <w:rPr>
          <w:rFonts w:ascii="Arial" w:eastAsia="Arial" w:hAnsi="Arial" w:cs="Arial"/>
        </w:rPr>
      </w:pPr>
      <w:r>
        <w:rPr>
          <w:rFonts w:ascii="Arial" w:eastAsia="Arial" w:hAnsi="Arial" w:cs="Arial"/>
        </w:rPr>
        <w:t xml:space="preserve">1. dokaz o pravnoj osnovi prijenosa prava upravljanja odnosno vlasništva nad područjem postrojenja, osobito ugovor o prijenosu prava i obveza, izvadak iz nadležnog registra ili drugi odgovarajući dokaz o prijenosu prava upravljanja</w:t>
      </w:r>
    </w:p>
    <w:p>
      <w:pPr>
        <w:pBdr/>
        <w:pStyle w:val="Normal"/>
        <w:spacing/>
        <w:ind/>
        <w:rPr>
          <w:rFonts w:ascii="Arial" w:eastAsia="Arial" w:hAnsi="Arial" w:cs="Arial"/>
        </w:rPr>
      </w:pPr>
      <w:r>
        <w:rPr>
          <w:rFonts w:ascii="Arial" w:eastAsia="Arial" w:hAnsi="Arial" w:cs="Arial"/>
        </w:rPr>
        <w:t xml:space="preserve">2. pisana izjava novog operatera kojom potvrđuje da u cijelosti preuzima obveze utvrđene ovim Zakonom za predmetno područje postrojenja, uključujući izvješće o sigurnosti, unutarnji plan i obveze povezane sa sustavom upravljanja sigurnošću za područje postrojenja višeg razreda odnosno politiku sprječavanja velikih nesreća i obveze povezane s njezinom provedbom za područje postrojenja nižeg razreda.</w:t>
      </w:r>
    </w:p>
    <w:p>
      <w:pPr>
        <w:pBdr/>
        <w:pStyle w:val="Normal"/>
        <w:spacing/>
        <w:ind/>
        <w:rPr>
          <w:rFonts w:ascii="Arial" w:eastAsia="Arial" w:hAnsi="Arial" w:cs="Arial"/>
        </w:rPr>
      </w:pPr>
      <w:r>
        <w:rPr>
          <w:rFonts w:ascii="Arial" w:eastAsia="Arial" w:hAnsi="Arial" w:cs="Arial"/>
        </w:rPr>
        <w:t xml:space="preserve">(3) Ministarstvo dostavlja izmijenjenu suglasnost operateru i tijelu nadležnom za inspekcijske poslove u području zaštite okoliša, koje po njezinu zaprimanju, uključuje područje postrojenja u godišnji plan koordiniranih inspekcijskih nadzora radi provjere ispunjavanja obveza novog operatera.</w:t>
      </w:r>
    </w:p>
    <w:p>
      <w:pPr>
        <w:pBdr/>
        <w:pStyle w:val="Normal"/>
        <w:spacing/>
        <w:ind/>
        <w:rPr>
          <w:rFonts w:ascii="Arial" w:eastAsia="Arial" w:hAnsi="Arial" w:cs="Arial"/>
        </w:rPr>
      </w:pPr>
      <w:r>
        <w:rPr>
          <w:rFonts w:ascii="Arial" w:eastAsia="Arial" w:hAnsi="Arial" w:cs="Arial"/>
        </w:rPr>
        <w:t xml:space="preserve">(4) U slučaju promjene naziva i/ili sjedišta operatera odnosno preoblikovanja društva operater je dužan u roku od osam dana od dana upisa promjene u sudski registar pisanim putem obavijestiti Ministarstvo, uz obavijest priložiti izvadak iz sudskog registra koji nije </w:t>
      </w:r>
      <w:r>
        <w:rPr>
          <w:rFonts w:ascii="Arial" w:eastAsia="Arial" w:hAnsi="Arial" w:cs="Arial"/>
        </w:rPr>
        <w:t xml:space="preserve">stariji od 30 dana te unijeti promijenjene podatke u Registar iz članka 189. ovoga Zakona, osim ako se ti podaci automatski prenose iz sudskog registra u Registar.</w:t>
      </w:r>
    </w:p>
    <w:p>
      <w:pPr>
        <w:pBdr/>
        <w:pStyle w:val="Normal"/>
        <w:spacing/>
        <w:ind/>
        <w:rPr>
          <w:rFonts w:ascii="Arial" w:eastAsia="Arial" w:hAnsi="Arial" w:cs="Arial"/>
        </w:rPr>
      </w:pPr>
    </w:p>
    <w:p>
      <w:pPr>
        <w:pBdr/>
        <w:pStyle w:val="Heading 2"/>
        <w:spacing/>
        <w:ind/>
        <w:rPr/>
      </w:pPr>
      <w:r>
        <w:rPr/>
        <w:t xml:space="preserve">Trajno zatvaranje područja postrojenja</w:t>
      </w:r>
    </w:p>
    <w:p>
      <w:pPr>
        <w:pBdr/>
        <w:pStyle w:val="Heading 2"/>
        <w:spacing/>
        <w:ind/>
        <w:rPr/>
      </w:pPr>
      <w:r>
        <w:rPr/>
        <w:t xml:space="preserve">Članak 183.</w:t>
      </w:r>
    </w:p>
    <w:p>
      <w:pPr>
        <w:pBdr/>
        <w:pStyle w:val="Normal"/>
        <w:spacing/>
        <w:ind/>
        <w:rPr>
          <w:rFonts w:ascii="Arial" w:eastAsia="Arial" w:hAnsi="Arial" w:cs="Arial"/>
        </w:rPr>
      </w:pPr>
      <w:r>
        <w:rPr>
          <w:rFonts w:ascii="Arial" w:eastAsia="Arial" w:hAnsi="Arial" w:cs="Arial"/>
        </w:rPr>
        <w:t xml:space="preserve">(1) Operater odnosno stečajni upravitelj dužan je najmanje 60 dana prije početka postupka trajnog zatvaranja područja postrojenja pisanim putem obavijestiti Ministarstvo i tijelo nadležno za inspekcijske poslove u području zaštite okoliša o namjeri trajnog zatvaranja te uz obavijest dostaviti:</w:t>
      </w:r>
    </w:p>
    <w:p>
      <w:pPr>
        <w:pBdr/>
        <w:pStyle w:val="Normal"/>
        <w:spacing/>
        <w:ind/>
        <w:rPr>
          <w:rFonts w:ascii="Arial" w:eastAsia="Arial" w:hAnsi="Arial" w:cs="Arial"/>
        </w:rPr>
      </w:pPr>
      <w:r>
        <w:rPr>
          <w:rFonts w:ascii="Arial" w:eastAsia="Arial" w:hAnsi="Arial" w:cs="Arial"/>
        </w:rPr>
        <w:t xml:space="preserve">1. pisanu odluku o trajnom zatvaranju</w:t>
      </w:r>
    </w:p>
    <w:p>
      <w:pPr>
        <w:pBdr/>
        <w:pStyle w:val="Normal"/>
        <w:spacing/>
        <w:ind/>
        <w:rPr>
          <w:rFonts w:ascii="Arial" w:eastAsia="Arial" w:hAnsi="Arial" w:cs="Arial"/>
        </w:rPr>
      </w:pPr>
      <w:r>
        <w:rPr>
          <w:rFonts w:ascii="Arial" w:eastAsia="Arial" w:hAnsi="Arial" w:cs="Arial"/>
        </w:rPr>
        <w:t xml:space="preserve">2. plan trajnog zatvaranja i uklanjanja s rokovima provedbe</w:t>
      </w:r>
    </w:p>
    <w:p>
      <w:pPr>
        <w:pBdr/>
        <w:pStyle w:val="Normal"/>
        <w:spacing/>
        <w:ind/>
        <w:rPr>
          <w:rFonts w:ascii="Arial" w:eastAsia="Arial" w:hAnsi="Arial" w:cs="Arial"/>
        </w:rPr>
      </w:pPr>
      <w:r>
        <w:rPr>
          <w:rFonts w:ascii="Arial" w:eastAsia="Arial" w:hAnsi="Arial" w:cs="Arial"/>
        </w:rPr>
        <w:t xml:space="preserve">3. podatke o postupanju s opasnim tvarima, uključujući odgovarajuću procjenu rizika</w:t>
      </w:r>
    </w:p>
    <w:p>
      <w:pPr>
        <w:pBdr/>
        <w:pStyle w:val="Normal"/>
        <w:spacing/>
        <w:ind/>
        <w:rPr>
          <w:rFonts w:ascii="Arial" w:eastAsia="Arial" w:hAnsi="Arial" w:cs="Arial"/>
        </w:rPr>
      </w:pPr>
      <w:r>
        <w:rPr>
          <w:rFonts w:ascii="Arial" w:eastAsia="Arial" w:hAnsi="Arial" w:cs="Arial"/>
        </w:rPr>
        <w:t xml:space="preserve">4. podatke o planiranim mjerama zaštite okoliša koje planira poduzeti radi trajnog zatvaranja područja postrojenja.</w:t>
      </w:r>
    </w:p>
    <w:p>
      <w:pPr>
        <w:pBdr/>
        <w:pStyle w:val="Normal"/>
        <w:spacing/>
        <w:ind/>
        <w:rPr>
          <w:rFonts w:ascii="Arial" w:eastAsia="Arial" w:hAnsi="Arial" w:cs="Arial"/>
        </w:rPr>
      </w:pPr>
      <w:r>
        <w:rPr>
          <w:rFonts w:ascii="Arial" w:eastAsia="Arial" w:hAnsi="Arial" w:cs="Arial"/>
        </w:rPr>
        <w:t xml:space="preserve">(2) Operater odnosno stečajni upravitelj dužan je u roku od 24 mjeseca od dana donošenja odluke iz stavka 1. točke 1. ovoga članka u potpunosti ukloniti područje postrojenja te provesti sanaciju lokacije u skladu s obaviješću iz stavka 1. ovoga članka, odredbama ovoga Zakona te posebnim propisima iz područja navedenih u članku 288. stavku 6. ovoga Zakona, a ispunjenje tih obveza provjerava se koordiniranim Seveso nadzorom.</w:t>
      </w:r>
    </w:p>
    <w:p>
      <w:pPr>
        <w:pBdr/>
        <w:pStyle w:val="Normal"/>
        <w:spacing/>
        <w:ind/>
        <w:rPr>
          <w:rFonts w:ascii="Arial" w:eastAsia="Arial" w:hAnsi="Arial" w:cs="Arial"/>
        </w:rPr>
      </w:pPr>
      <w:r>
        <w:rPr>
          <w:rFonts w:ascii="Arial" w:eastAsia="Arial" w:hAnsi="Arial" w:cs="Arial"/>
        </w:rPr>
        <w:t xml:space="preserve">(3) Ministarstvo stavlja izvan snage suglasnost iz članka 176. ovoga Zakona nakon što zaprimi očitovanje tijela nadležnog za inspekcijske poslove u području zaštite okoliša kojim se potvrđuje ispunjenje obveza iz stavka 2. ovoga članka.</w:t>
      </w:r>
    </w:p>
    <w:p>
      <w:pPr>
        <w:pBdr/>
        <w:pStyle w:val="Normal"/>
        <w:spacing/>
        <w:ind/>
        <w:rPr>
          <w:rFonts w:ascii="Arial" w:eastAsia="Arial" w:hAnsi="Arial" w:cs="Arial"/>
        </w:rPr>
      </w:pPr>
      <w:r>
        <w:rPr>
          <w:rFonts w:ascii="Arial" w:eastAsia="Arial" w:hAnsi="Arial" w:cs="Arial"/>
        </w:rPr>
        <w:t xml:space="preserve">(4) Ministarstvo dostavlja obavijest o stavljanju suglasnosti izvan snage upravnom tijelu nadležnom za poslove prostornoga uređenja u jedinici lokalne odnosno područne (regionalne) samouprave na čijem se području nalazi područje postrojenja, ministarstvu nadležnom za poslove civilne zaštite i tijelu nadležnom za inspekcijske poslove u području zaštite okoliša te u Registar iz članka 190. ovoga Zakona.</w:t>
      </w:r>
    </w:p>
    <w:p>
      <w:pPr>
        <w:pBdr/>
        <w:pStyle w:val="Normal"/>
        <w:spacing/>
        <w:ind/>
        <w:rPr>
          <w:rFonts w:ascii="Arial" w:eastAsia="Arial" w:hAnsi="Arial" w:cs="Arial"/>
        </w:rPr>
      </w:pPr>
    </w:p>
    <w:p>
      <w:pPr>
        <w:pBdr/>
        <w:pStyle w:val="Heading 2"/>
        <w:spacing/>
        <w:ind/>
        <w:rPr/>
      </w:pPr>
      <w:r>
        <w:rPr/>
        <w:t xml:space="preserve">Stavljanje suglasnosti izvan snage zbog prestanka ispunjavanja uvjeta za razvrstavanje</w:t>
      </w:r>
    </w:p>
    <w:p>
      <w:pPr>
        <w:pBdr/>
        <w:pStyle w:val="Heading 2"/>
        <w:spacing/>
        <w:ind/>
        <w:rPr/>
      </w:pPr>
      <w:r>
        <w:rPr/>
        <w:t xml:space="preserve">Članak 184.</w:t>
      </w:r>
    </w:p>
    <w:p>
      <w:pPr>
        <w:pBdr/>
        <w:pStyle w:val="Normal"/>
        <w:spacing/>
        <w:ind/>
        <w:rPr>
          <w:rFonts w:ascii="Arial" w:eastAsia="Arial" w:hAnsi="Arial" w:cs="Arial"/>
        </w:rPr>
      </w:pPr>
      <w:r>
        <w:rPr>
          <w:rFonts w:ascii="Arial" w:eastAsia="Arial" w:hAnsi="Arial" w:cs="Arial"/>
        </w:rPr>
        <w:t xml:space="preserve">(1) Operater koji namjerava smanjiti količinu ili izmijeniti vrste opasnih tvari u području postrojenja tako da ono više ne ispunjava uvjete za razvrstavanje u područje postrojenja višeg ili nižeg razreda u skladu s člancima 172. i 173. ovoga Zakona dužan je o tome obavijestiti Ministarstvo i dostaviti podatke i dokumentaciju kojima se dokazuje namjeravana izmjena. </w:t>
      </w:r>
    </w:p>
    <w:p>
      <w:pPr>
        <w:pBdr/>
        <w:pStyle w:val="Normal"/>
        <w:spacing/>
        <w:ind/>
        <w:rPr>
          <w:rFonts w:ascii="Arial" w:eastAsia="Arial" w:hAnsi="Arial" w:cs="Arial"/>
        </w:rPr>
      </w:pPr>
      <w:r>
        <w:rPr>
          <w:rFonts w:ascii="Arial" w:eastAsia="Arial" w:hAnsi="Arial" w:cs="Arial"/>
        </w:rPr>
        <w:t xml:space="preserve">(2) Ministarstvo razmatra obavijest iz stavka 1. ovoga članka te, ako iz obavijesti i dostavljene dokumentacije proizlazi da bi područje postrojenja moglo prestati ispunjavati uvjete za razvrstavanje u područje postrojenja višeg ili nižeg razreda, u roku od 30 dana od dana zaprimanja uredne obavijesti, od tijela nadležnog za inspekcijske poslove u području zaštite okoliša traži provedbu koordiniranog Seveso nadzora radi provjere činjeničnog stanja.</w:t>
      </w:r>
    </w:p>
    <w:p>
      <w:pPr>
        <w:pBdr/>
        <w:pStyle w:val="Normal"/>
        <w:spacing/>
        <w:ind/>
        <w:rPr>
          <w:rFonts w:ascii="Arial" w:eastAsia="Arial" w:hAnsi="Arial" w:cs="Arial"/>
        </w:rPr>
      </w:pPr>
      <w:r>
        <w:rPr>
          <w:rFonts w:ascii="Arial" w:eastAsia="Arial" w:hAnsi="Arial" w:cs="Arial"/>
        </w:rPr>
        <w:t xml:space="preserve">(3) Ako se nadzorom iz stavka 2. ovoga članka utvrdi da područje postrojenja više ne ispunjava uvjete za razvrstavanje u područje postrojenja višeg ili nižeg razreda, Ministarstvo stavlja izvan snage suglasnost iz članka 176. ovoga Zakona.</w:t>
      </w:r>
    </w:p>
    <w:p>
      <w:pPr>
        <w:pBdr/>
        <w:pStyle w:val="Normal"/>
        <w:spacing/>
        <w:ind/>
        <w:rPr>
          <w:rFonts w:ascii="Arial" w:eastAsia="Arial" w:hAnsi="Arial" w:cs="Arial"/>
        </w:rPr>
      </w:pPr>
      <w:r>
        <w:rPr>
          <w:rFonts w:ascii="Arial" w:eastAsia="Arial" w:hAnsi="Arial" w:cs="Arial"/>
        </w:rPr>
        <w:t xml:space="preserve">(4) Ministarstvo dostavlja obavijest o stavljanju suglasnosti izvan snage tijelima nadležnim za inspekcijske poslove u područjima zaštite okoliša, zaštite od požara i eksplozivnih tvari, zaštite na radu, opasnih kemikalija, opreme pod tlakom, elektroenergetike i vodnoga gospodarstva, upravnom tijelu nadležnom za poslove prostornoga uređenja u jedinici lokalne odnosno područne (regionalne) samouprave na čijem se području nalazi područje postrojenja i ministarstvu nadležnom za poslove civilne zaštite te u Registar iz članka 189. ovoga Zakona.</w:t>
      </w:r>
    </w:p>
    <w:p>
      <w:pPr>
        <w:pBdr/>
        <w:pStyle w:val="Normal"/>
        <w:spacing/>
        <w:ind/>
        <w:rPr>
          <w:rFonts w:ascii="Arial" w:eastAsia="Arial" w:hAnsi="Arial" w:cs="Arial"/>
        </w:rPr>
      </w:pPr>
    </w:p>
    <w:p>
      <w:pPr>
        <w:pBdr/>
        <w:pStyle w:val="Heading 2"/>
        <w:spacing/>
        <w:ind/>
        <w:rPr/>
      </w:pPr>
      <w:r>
        <w:rPr/>
        <w:t xml:space="preserve">Odbijanje zahtjeva za davanje suglasnosti</w:t>
      </w:r>
    </w:p>
    <w:p>
      <w:pPr>
        <w:pBdr/>
        <w:pStyle w:val="Heading 2"/>
        <w:spacing/>
        <w:ind/>
        <w:rPr/>
      </w:pPr>
      <w:r>
        <w:rPr/>
        <w:t xml:space="preserve">Članak 185.</w:t>
      </w:r>
    </w:p>
    <w:p>
      <w:pPr>
        <w:pBdr/>
        <w:pStyle w:val="Normal"/>
        <w:spacing/>
        <w:ind/>
        <w:rPr>
          <w:rFonts w:ascii="Arial" w:eastAsia="Arial" w:hAnsi="Arial" w:cs="Arial"/>
        </w:rPr>
      </w:pPr>
      <w:r>
        <w:rPr>
          <w:rFonts w:ascii="Arial" w:eastAsia="Arial" w:hAnsi="Arial" w:cs="Arial"/>
        </w:rPr>
        <w:t xml:space="preserve">(1) Ako Ministarstvo na temelju mišljenja Stručnog vijeća iz članka 179. stavka 1. ovoga Zakona utvrdi da su mjere za sprječavanje nastanka i ublažavanje posljedica velikih nesreća ozbiljno manjkave, rješenjem odbija zahtjev za davanje suglasnosti na izvješće o sigurnosti odnosno politiku sprječavanja velikih nesreća ili njihove izmjene i/ili dopune.</w:t>
      </w:r>
    </w:p>
    <w:p>
      <w:pPr>
        <w:pBdr/>
        <w:pStyle w:val="Normal"/>
        <w:spacing/>
        <w:ind/>
        <w:rPr>
          <w:rFonts w:ascii="Arial" w:eastAsia="Arial" w:hAnsi="Arial" w:cs="Arial"/>
        </w:rPr>
      </w:pPr>
      <w:r>
        <w:rPr>
          <w:rFonts w:ascii="Arial" w:eastAsia="Arial" w:hAnsi="Arial" w:cs="Arial"/>
        </w:rPr>
        <w:t xml:space="preserve">(2) Ministarstvo dostavlja rješenje iz stavka 1. ovoga članka tijelima nadležnim za inspekcijske poslove u područjima zaštite okoliša, zaštite od požara i eksplozivnih tvari, civilne zaštite, zaštite na radu, opasnih kemikalija, opreme pod tlakom, elektroenergetike i vodnoga gospodarstva.</w:t>
      </w:r>
    </w:p>
    <w:p>
      <w:pPr>
        <w:pBdr/>
        <w:pStyle w:val="Normal"/>
        <w:spacing/>
        <w:ind/>
        <w:rPr>
          <w:rFonts w:ascii="Arial" w:eastAsia="Arial" w:hAnsi="Arial" w:cs="Arial"/>
        </w:rPr>
      </w:pPr>
      <w:r>
        <w:rPr>
          <w:rFonts w:ascii="Arial" w:eastAsia="Arial" w:hAnsi="Arial" w:cs="Arial"/>
        </w:rPr>
        <w:t xml:space="preserve">(3) Protiv rješenja iz stavka 1. ovoga članka žalba nije dopuštena, ali se može pokrenuti upravni spor.</w:t>
      </w:r>
    </w:p>
    <w:p>
      <w:pPr>
        <w:pBdr/>
        <w:pStyle w:val="Normal"/>
        <w:spacing/>
        <w:ind/>
        <w:rPr>
          <w:rFonts w:ascii="Arial" w:eastAsia="Arial" w:hAnsi="Arial" w:cs="Arial"/>
        </w:rPr>
      </w:pPr>
    </w:p>
    <w:p>
      <w:pPr>
        <w:pBdr/>
        <w:pStyle w:val="Heading 2"/>
        <w:spacing/>
        <w:ind/>
        <w:rPr/>
      </w:pPr>
      <w:r>
        <w:rPr/>
        <w:t xml:space="preserve">Informiranje javnosti o sigurnosnim mjerama</w:t>
      </w:r>
    </w:p>
    <w:p>
      <w:pPr>
        <w:pBdr/>
        <w:pStyle w:val="Heading 2"/>
        <w:spacing/>
        <w:ind/>
        <w:rPr/>
      </w:pPr>
      <w:r>
        <w:rPr/>
        <w:t xml:space="preserve">Članak 186.</w:t>
      </w:r>
    </w:p>
    <w:p>
      <w:pPr>
        <w:pBdr/>
        <w:pStyle w:val="Normal"/>
        <w:spacing/>
        <w:ind/>
        <w:rPr>
          <w:rFonts w:ascii="Arial" w:eastAsia="Arial" w:hAnsi="Arial" w:cs="Arial"/>
        </w:rPr>
      </w:pPr>
      <w:r>
        <w:rPr>
          <w:rFonts w:ascii="Arial" w:eastAsia="Arial" w:hAnsi="Arial" w:cs="Arial"/>
        </w:rPr>
        <w:t xml:space="preserve">(1) Operater područja postrojenja nižeg i višeg razreda dužan je osigurati da su informacije o području postrojenja, opasnim tvarima, sigurnosnim mjerama i potrebnom postupanju u slučaju velike nesreće trajno dostupne javnosti, uključujući elektroničkim putem, te ih redovito preispitivati i prema potrebi ažurirati, osobito u slučaju promjena iz članka 170. stavka 3. ovoga Zakona. </w:t>
      </w:r>
    </w:p>
    <w:p>
      <w:pPr>
        <w:pBdr/>
        <w:pStyle w:val="Normal"/>
        <w:spacing/>
        <w:ind/>
        <w:rPr>
          <w:rFonts w:ascii="Arial" w:eastAsia="Arial" w:hAnsi="Arial" w:cs="Arial"/>
        </w:rPr>
      </w:pPr>
      <w:r>
        <w:rPr>
          <w:rFonts w:ascii="Arial" w:eastAsia="Arial" w:hAnsi="Arial" w:cs="Arial"/>
        </w:rPr>
        <w:t xml:space="preserve">(2) Sadržaj i opseg informacija iz stavka 1. ovoga članka za područja postrojenja nižeg i višeg razreda propisuju se uredbom iz članka 169. stavka 2. ovoga Zakona.</w:t>
      </w:r>
    </w:p>
    <w:p>
      <w:pPr>
        <w:pBdr/>
        <w:pStyle w:val="Normal"/>
        <w:spacing/>
        <w:ind/>
        <w:rPr>
          <w:rFonts w:ascii="Arial" w:eastAsia="Arial" w:hAnsi="Arial" w:cs="Arial"/>
        </w:rPr>
      </w:pPr>
      <w:r>
        <w:rPr>
          <w:rFonts w:ascii="Arial" w:eastAsia="Arial" w:hAnsi="Arial" w:cs="Arial"/>
        </w:rPr>
        <w:t xml:space="preserve">(3) Operater područja postrojenja višeg razreda dužan je redovito, a najmanje svakih pet godina, u najprimjerenijem obliku i bez potrebe za prethodnim zahtjevom, dostavljati jasne i lako razumljive informacije iz stavka 1. ovoga članka svim osobama koje bi mogle biti pogođene velikom nesrećom.</w:t>
      </w:r>
    </w:p>
    <w:p>
      <w:pPr>
        <w:pBdr/>
        <w:pStyle w:val="Normal"/>
        <w:spacing/>
        <w:ind/>
        <w:rPr>
          <w:rFonts w:ascii="Arial" w:eastAsia="Arial" w:hAnsi="Arial" w:cs="Arial"/>
        </w:rPr>
      </w:pPr>
      <w:r>
        <w:rPr>
          <w:rFonts w:ascii="Arial" w:eastAsia="Arial" w:hAnsi="Arial" w:cs="Arial"/>
        </w:rPr>
        <w:t xml:space="preserve">(4) Informacije iz stavka 3. ovoga članka na isti se način dostavljaju svim javnim zgradama i površinama, uključujući škole i bolnice, te svim susjednim područjima postrojenja koja su, zajedno s predmetnim područjem postrojenja, utvrđena kao područja postrojenja kod kojih postoji mogućnost domino-</w:t>
      </w:r>
      <w:r>
        <w:rPr>
          <w:rFonts w:ascii="Arial" w:eastAsia="Arial" w:hAnsi="Arial" w:cs="Arial"/>
        </w:rPr>
        <w:t xml:space="preserve">efekta u skladu s člankom 174. stavkom 1. ovoga Zakona.</w:t>
      </w:r>
    </w:p>
    <w:p>
      <w:pPr>
        <w:pBdr/>
        <w:pStyle w:val="Normal"/>
        <w:spacing/>
        <w:ind/>
        <w:rPr>
          <w:rFonts w:ascii="Arial" w:eastAsia="Arial" w:hAnsi="Arial" w:cs="Arial"/>
        </w:rPr>
      </w:pPr>
    </w:p>
    <w:p>
      <w:pPr>
        <w:pBdr/>
        <w:pStyle w:val="Heading 2"/>
        <w:spacing/>
        <w:ind/>
        <w:rPr/>
      </w:pPr>
      <w:r>
        <w:rPr/>
        <w:t xml:space="preserve">Obavješćivanje i postupanje nakon velike nesreće</w:t>
      </w:r>
    </w:p>
    <w:p>
      <w:pPr>
        <w:pBdr/>
        <w:pStyle w:val="Heading 2"/>
        <w:spacing/>
        <w:ind/>
        <w:rPr/>
      </w:pPr>
      <w:r>
        <w:rPr/>
        <w:t xml:space="preserve">Članak 187.</w:t>
      </w:r>
    </w:p>
    <w:p>
      <w:pPr>
        <w:pBdr/>
        <w:pStyle w:val="Normal"/>
        <w:spacing/>
        <w:ind/>
        <w:rPr>
          <w:rFonts w:ascii="Arial" w:eastAsia="Arial" w:hAnsi="Arial" w:cs="Arial"/>
        </w:rPr>
      </w:pPr>
      <w:r>
        <w:rPr>
          <w:rFonts w:ascii="Arial" w:eastAsia="Arial" w:hAnsi="Arial" w:cs="Arial"/>
        </w:rPr>
        <w:t xml:space="preserve">(1) U slučaju velike nesreće operater je dužan bez odgađanja postupati prema unutarnjem planu odnosno prema operativnom planu pravnih osoba koje djelatnost obavljaju korištenjem opasnih tvari, te obavijestiti ministarstvo nadležno za poslove civilne zaštite o vremenu nastanka velike nesreće i dostaviti mu sve dostupne informacije o:</w:t>
      </w:r>
    </w:p>
    <w:p>
      <w:pPr>
        <w:pBdr/>
        <w:pStyle w:val="Normal"/>
        <w:spacing/>
        <w:ind/>
        <w:rPr>
          <w:rFonts w:ascii="Arial" w:eastAsia="Arial" w:hAnsi="Arial" w:cs="Arial"/>
        </w:rPr>
      </w:pPr>
      <w:r>
        <w:rPr>
          <w:rFonts w:ascii="Arial" w:eastAsia="Arial" w:hAnsi="Arial" w:cs="Arial"/>
        </w:rPr>
        <w:t xml:space="preserve">1. uzrocima i okolnostima nastanka velike nesreće</w:t>
      </w:r>
    </w:p>
    <w:p>
      <w:pPr>
        <w:pBdr/>
        <w:pStyle w:val="Normal"/>
        <w:spacing/>
        <w:ind/>
        <w:rPr>
          <w:rFonts w:ascii="Arial" w:eastAsia="Arial" w:hAnsi="Arial" w:cs="Arial"/>
        </w:rPr>
      </w:pPr>
      <w:r>
        <w:rPr>
          <w:rFonts w:ascii="Arial" w:eastAsia="Arial" w:hAnsi="Arial" w:cs="Arial"/>
        </w:rPr>
        <w:t xml:space="preserve">2. opasnim tvarima prisutnim tijekom i nakon velike nesreće</w:t>
      </w:r>
    </w:p>
    <w:p>
      <w:pPr>
        <w:pBdr/>
        <w:pStyle w:val="Normal"/>
        <w:spacing/>
        <w:ind/>
        <w:rPr>
          <w:rFonts w:ascii="Arial" w:eastAsia="Arial" w:hAnsi="Arial" w:cs="Arial"/>
        </w:rPr>
      </w:pPr>
      <w:r>
        <w:rPr>
          <w:rFonts w:ascii="Arial" w:eastAsia="Arial" w:hAnsi="Arial" w:cs="Arial"/>
        </w:rPr>
        <w:t xml:space="preserve">3. procjeni posljedica velike nesreće za zdravlje i život ljudi, materijalna dobra i okoliš</w:t>
      </w:r>
    </w:p>
    <w:p>
      <w:pPr>
        <w:pBdr/>
        <w:pStyle w:val="Normal"/>
        <w:spacing/>
        <w:ind/>
        <w:rPr>
          <w:rFonts w:ascii="Arial" w:eastAsia="Arial" w:hAnsi="Arial" w:cs="Arial"/>
        </w:rPr>
      </w:pPr>
      <w:r>
        <w:rPr>
          <w:rFonts w:ascii="Arial" w:eastAsia="Arial" w:hAnsi="Arial" w:cs="Arial"/>
        </w:rPr>
        <w:t xml:space="preserve">4. poduzetim interventnim mjerama i dodatnim aktivnostima.</w:t>
      </w:r>
    </w:p>
    <w:p>
      <w:pPr>
        <w:pBdr/>
        <w:pStyle w:val="Normal"/>
        <w:spacing/>
        <w:ind/>
        <w:rPr>
          <w:rFonts w:ascii="Arial" w:eastAsia="Arial" w:hAnsi="Arial" w:cs="Arial"/>
        </w:rPr>
      </w:pPr>
      <w:r>
        <w:rPr>
          <w:rFonts w:ascii="Arial" w:eastAsia="Arial" w:hAnsi="Arial" w:cs="Arial"/>
        </w:rPr>
        <w:t xml:space="preserve">(2) Ministarstvo nadležno za poslove civilne zaštite po zaprimanju obavijesti iz stavka 1. ovoga članka obavješćuje o velikoj nesreći operativne snage sustava civilne zaštite u skladu s propisima kojima se uređuje civilna zaštita, tijela nadležna za inspekcijske poslove u područjima zaštite okoliša, prirode i vodnoga gospodarstva te, prema potrebi, morskih voda i Ministarstvo te obavještava osobe koje bi mogle biti pogođene velikom nesrećom o nastaloj velikoj nesreći i, prema potrebi, o mjerama poduzetima radi ublažavanja njezinih posljedica.</w:t>
      </w:r>
    </w:p>
    <w:p>
      <w:pPr>
        <w:pBdr/>
        <w:pStyle w:val="Normal"/>
        <w:spacing/>
        <w:ind/>
        <w:rPr>
          <w:rFonts w:ascii="Arial" w:eastAsia="Arial" w:hAnsi="Arial" w:cs="Arial"/>
        </w:rPr>
      </w:pPr>
      <w:r>
        <w:rPr>
          <w:rFonts w:ascii="Arial" w:eastAsia="Arial" w:hAnsi="Arial" w:cs="Arial"/>
        </w:rPr>
        <w:t xml:space="preserve">(3) Operater je dužan obavijestiti ministarstvo nadležno za poslove civilne zaštite, tijela nadležna za inspekcijske poslove iz stavka 2. ovoga članka te Ministarstvo i o aktivnostima i mjerama poduzetima radi ublažavanja srednjoročnih i dugoročnih posljedica velike nesreće i sprječavanja njezina ponavljanja te naknadno o dodatnim okolnostima utvrđenima istragom i mjerama i aktivnostima koje se zbog tih okolnosti poduzimaju na mjestu događaja.</w:t>
      </w:r>
    </w:p>
    <w:p>
      <w:pPr>
        <w:pBdr/>
        <w:pStyle w:val="Normal"/>
        <w:spacing/>
        <w:ind/>
        <w:rPr>
          <w:rFonts w:ascii="Arial" w:eastAsia="Arial" w:hAnsi="Arial" w:cs="Arial"/>
        </w:rPr>
      </w:pPr>
      <w:r>
        <w:rPr>
          <w:rFonts w:ascii="Arial" w:eastAsia="Arial" w:hAnsi="Arial" w:cs="Arial"/>
        </w:rPr>
        <w:t xml:space="preserve">(4) Operater je dužan podatke iz stavaka 1. i 3. ovoga članka dostaviti:</w:t>
      </w:r>
    </w:p>
    <w:p>
      <w:pPr>
        <w:pBdr/>
        <w:pStyle w:val="Normal"/>
        <w:spacing/>
        <w:ind/>
        <w:rPr>
          <w:rFonts w:ascii="Arial" w:eastAsia="Arial" w:hAnsi="Arial" w:cs="Arial"/>
        </w:rPr>
      </w:pPr>
      <w:r>
        <w:rPr>
          <w:rFonts w:ascii="Arial" w:eastAsia="Arial" w:hAnsi="Arial" w:cs="Arial"/>
        </w:rPr>
        <w:t xml:space="preserve">1. bez odgađanja nadležnim upravnim tijelima jedinica lokalne odnosno područne (regionalne) samouprave na čijem se području dogodila velika nesreća, radi postupanja u skladu s propisima kojima se uređuje civilna zaštita</w:t>
      </w:r>
    </w:p>
    <w:p>
      <w:pPr>
        <w:pBdr/>
        <w:pStyle w:val="Normal"/>
        <w:spacing/>
        <w:ind/>
        <w:rPr>
          <w:rFonts w:ascii="Arial" w:eastAsia="Arial" w:hAnsi="Arial" w:cs="Arial"/>
        </w:rPr>
      </w:pPr>
      <w:r>
        <w:rPr>
          <w:rFonts w:ascii="Arial" w:eastAsia="Arial" w:hAnsi="Arial" w:cs="Arial"/>
        </w:rPr>
        <w:t xml:space="preserve">2. Ministarstvu odnosno Zavodu na način i u rokovima propisanima pravilnikom iz članka 190. stavka 2. ovoga Zakona</w:t>
      </w:r>
    </w:p>
    <w:p>
      <w:pPr>
        <w:pBdr/>
        <w:pStyle w:val="Normal"/>
        <w:spacing/>
        <w:ind/>
        <w:rPr>
          <w:rFonts w:ascii="Arial" w:eastAsia="Arial" w:hAnsi="Arial" w:cs="Arial"/>
        </w:rPr>
      </w:pPr>
      <w:r>
        <w:rPr>
          <w:rFonts w:ascii="Arial" w:eastAsia="Arial" w:hAnsi="Arial" w:cs="Arial"/>
        </w:rPr>
        <w:t xml:space="preserve">3. tijelima nadležnim za poslove civilne zaštite.</w:t>
      </w:r>
    </w:p>
    <w:p>
      <w:pPr>
        <w:pBdr/>
        <w:pStyle w:val="Normal"/>
        <w:spacing/>
        <w:ind/>
        <w:rPr>
          <w:rFonts w:ascii="Arial" w:eastAsia="Arial" w:hAnsi="Arial" w:cs="Arial"/>
          <w:i/>
        </w:rPr>
      </w:pPr>
    </w:p>
    <w:p>
      <w:pPr>
        <w:pBdr/>
        <w:pStyle w:val="Heading 2"/>
        <w:spacing/>
        <w:ind/>
        <w:rPr/>
      </w:pPr>
      <w:r>
        <w:rPr/>
        <w:t xml:space="preserve">Dostava i dostupnost izvješća o sigurnosti i popisa opasnih tvari</w:t>
      </w:r>
    </w:p>
    <w:p>
      <w:pPr>
        <w:pBdr/>
        <w:pStyle w:val="Heading 2"/>
        <w:spacing/>
        <w:ind/>
        <w:rPr/>
      </w:pPr>
      <w:r>
        <w:rPr/>
        <w:t xml:space="preserve">Članak 188.</w:t>
      </w:r>
    </w:p>
    <w:p>
      <w:pPr>
        <w:pBdr/>
        <w:pStyle w:val="Normal"/>
        <w:spacing/>
        <w:ind/>
        <w:rPr>
          <w:rFonts w:ascii="Arial" w:eastAsia="Arial" w:hAnsi="Arial" w:cs="Arial"/>
        </w:rPr>
      </w:pPr>
      <w:r>
        <w:rPr>
          <w:rFonts w:ascii="Arial" w:eastAsia="Arial" w:hAnsi="Arial" w:cs="Arial"/>
        </w:rPr>
        <w:t xml:space="preserve">(1) Operater područja postrojenja višeg razreda dužan je nakon ishođenja suglasnosti iz članka 176. stavka 1. točke 1. ovoga Zakona dostaviti izvješće o sigurnosti ministarstvu nadležnom za poslove civilne zaštite radi izrade vanjskog plana, u rokovima određenima propisima kojima se uređuje civilna zaštita.</w:t>
      </w:r>
    </w:p>
    <w:p>
      <w:pPr>
        <w:pBdr/>
        <w:pStyle w:val="Normal"/>
        <w:spacing/>
        <w:ind/>
        <w:rPr>
          <w:rFonts w:ascii="Arial" w:eastAsia="Arial" w:hAnsi="Arial" w:cs="Arial"/>
        </w:rPr>
      </w:pPr>
      <w:r>
        <w:rPr>
          <w:rFonts w:ascii="Arial" w:eastAsia="Arial" w:hAnsi="Arial" w:cs="Arial"/>
        </w:rPr>
        <w:t xml:space="preserve">(2) Ministarstvo je dužno na zahtjev javnosti staviti na raspolaganje izvješće o sigurnosti i popis opasnih tvari sadržan u izvješću o sigurnosti za područje postrojenja višeg razreda, u skladu s odredbama ovoga Zakona kojima se uređuje pristup informacijama o okolišu i propisom kojim se uređuje pravo na pristup informacijama.</w:t>
      </w:r>
    </w:p>
    <w:p>
      <w:pPr>
        <w:pBdr/>
        <w:pStyle w:val="Normal"/>
        <w:spacing/>
        <w:ind/>
        <w:rPr>
          <w:rFonts w:ascii="Arial" w:eastAsia="Arial" w:hAnsi="Arial" w:cs="Arial"/>
        </w:rPr>
      </w:pPr>
      <w:r>
        <w:rPr>
          <w:rFonts w:ascii="Arial" w:eastAsia="Arial" w:hAnsi="Arial" w:cs="Arial"/>
        </w:rPr>
        <w:t xml:space="preserve">(3) Ako se pristup pojedinim dijelovima izvješća o sigurnosti ograniči u skladu s propisima iz stavka 2. ovoga članka, Ministarstvo podnositelju zahtjeva stavlja na raspolaganje izvješće iz kojeg su izostavljeni zaštićeni dijelovi ili netehnički sažetak koji sadrži najmanje </w:t>
      </w:r>
      <w:r>
        <w:rPr>
          <w:rFonts w:ascii="Arial" w:eastAsia="Arial" w:hAnsi="Arial" w:cs="Arial"/>
        </w:rPr>
        <w:t xml:space="preserve">opće informacije o opasnostima od velikih nesreća i njihovim mogućim učincima na zdravlje ljudi i okoliš.</w:t>
      </w:r>
    </w:p>
    <w:p>
      <w:pPr>
        <w:pBdr/>
        <w:pStyle w:val="Normal"/>
        <w:spacing/>
        <w:ind/>
        <w:rPr>
          <w:rFonts w:ascii="Arial" w:eastAsia="Arial" w:hAnsi="Arial" w:cs="Arial"/>
        </w:rPr>
      </w:pPr>
    </w:p>
    <w:p>
      <w:pPr>
        <w:pBdr/>
        <w:pStyle w:val="Heading 2"/>
        <w:spacing/>
        <w:ind/>
        <w:rPr/>
      </w:pPr>
      <w:r>
        <w:rPr/>
        <w:t xml:space="preserve">Registar postrojenja i Očevidnik velikih nesreća</w:t>
      </w:r>
    </w:p>
    <w:p>
      <w:pPr>
        <w:pBdr/>
        <w:pStyle w:val="Heading 2"/>
        <w:spacing/>
        <w:ind/>
        <w:rPr/>
      </w:pPr>
      <w:r>
        <w:rPr/>
        <w:t xml:space="preserve">Članak 189.</w:t>
      </w:r>
    </w:p>
    <w:p>
      <w:pPr>
        <w:pBdr/>
        <w:pStyle w:val="Normal"/>
        <w:spacing/>
        <w:ind/>
        <w:rPr>
          <w:rFonts w:ascii="Arial" w:eastAsia="Arial" w:hAnsi="Arial" w:cs="Arial"/>
        </w:rPr>
      </w:pPr>
      <w:r>
        <w:rPr>
          <w:rFonts w:ascii="Arial" w:eastAsia="Arial" w:hAnsi="Arial" w:cs="Arial"/>
        </w:rPr>
        <w:t xml:space="preserve">(1) Ministarstvo odnosno Zavod vodi Registar postrojenja u kojima su prisutne opasne tvari i Očevidnik prijavljenih velikih nesreća.</w:t>
      </w:r>
    </w:p>
    <w:p>
      <w:pPr>
        <w:pBdr/>
        <w:pStyle w:val="Normal"/>
        <w:spacing/>
        <w:ind/>
        <w:rPr>
          <w:rFonts w:ascii="Arial" w:eastAsia="Arial" w:hAnsi="Arial" w:cs="Arial"/>
        </w:rPr>
      </w:pPr>
      <w:r>
        <w:rPr>
          <w:rFonts w:ascii="Arial" w:eastAsia="Arial" w:hAnsi="Arial" w:cs="Arial"/>
        </w:rPr>
        <w:t xml:space="preserve">(2) Za velike nesreće koje ispunjavaju kriterije propisane uredbom iz članka 169. stavka 2. ovoga Zakona podaci iz Očevidnika iz stavka 1. ovoga članka dostavljaju se Europskoj komisiji u skladu s člankom 213. ovoga Zakona.</w:t>
      </w:r>
    </w:p>
    <w:p>
      <w:pPr>
        <w:pBdr/>
        <w:pStyle w:val="Normal"/>
        <w:spacing/>
        <w:ind/>
        <w:rPr>
          <w:rFonts w:ascii="Arial" w:eastAsia="Arial" w:hAnsi="Arial" w:cs="Arial"/>
        </w:rPr>
      </w:pPr>
      <w:r>
        <w:rPr>
          <w:rFonts w:ascii="Arial" w:eastAsia="Arial" w:hAnsi="Arial" w:cs="Arial"/>
        </w:rPr>
        <w:t xml:space="preserve">(3) Sadržaj i način vođenja Registra i Očevidnika iz stavka 1. ovoga članka te sadržaj, način i rokove dostave podataka za Registar i Očevidnik propisuje ministar pravilnikom.</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bCs/>
          <w:szCs w:val="24"/>
        </w:rPr>
        <w:t xml:space="preserve">GLAVA VII. </w:t>
      </w:r>
      <w:bookmarkStart w:name="_Toc237275914" w:id="9"/>
      <w:r>
        <w:rPr>
          <w:rFonts w:ascii="Arial" w:eastAsia="Arial" w:hAnsi="Arial" w:cs="Arial"/>
          <w:szCs w:val="24"/>
        </w:rPr>
        <w:t xml:space="preserve">PROSTORNI PLANOVI KAO INSTRUMENT ZAŠTITE OKOLIŠA</w:t>
      </w:r>
      <w:bookmarkEnd w:id="9"/>
    </w:p>
    <w:p>
      <w:pPr>
        <w:pBdr/>
        <w:pStyle w:val="Heading 2"/>
        <w:spacing/>
        <w:ind/>
        <w:rPr/>
      </w:pPr>
      <w:r>
        <w:rPr/>
        <w:t xml:space="preserve">Članak 190.</w:t>
      </w:r>
    </w:p>
    <w:p>
      <w:pPr>
        <w:pBdr/>
        <w:pStyle w:val="Normal"/>
        <w:spacing/>
        <w:ind/>
        <w:rPr>
          <w:rFonts w:ascii="Arial" w:eastAsia="Arial" w:hAnsi="Arial" w:cs="Arial"/>
        </w:rPr>
      </w:pPr>
      <w:r>
        <w:rPr>
          <w:rFonts w:ascii="Arial" w:eastAsia="Arial" w:hAnsi="Arial" w:cs="Arial"/>
        </w:rPr>
        <w:t xml:space="preserve">(1) Pri izradi prostornih planova i pri donošenju odluka u skladu s propisom kojim se uređuje prostorno uređenje uzimaju se u obzir ciljevi sprječavanja velikih nesreća i ograničavanja njihovih posljedica za zdravlje ljudi i okoliš, osobito prilikom određivanja lokacija za nova područja postrojenja, utvrđivanja promjena na postojećim područjima postrojenja te planiranja novih zahvata u njihovoj blizini, uključujući prometne pravce, javne površine i stambena područja, ako njihovo lociranje može uzrokovati ili povećati rizik od velike nesreće ili njezine posljedice.</w:t>
      </w:r>
    </w:p>
    <w:p>
      <w:pPr>
        <w:pBdr/>
        <w:pStyle w:val="Normal"/>
        <w:spacing/>
        <w:ind/>
        <w:rPr>
          <w:rFonts w:ascii="Arial" w:eastAsia="Arial" w:hAnsi="Arial" w:cs="Arial"/>
        </w:rPr>
      </w:pPr>
      <w:r>
        <w:rPr>
          <w:rFonts w:ascii="Arial" w:eastAsia="Arial" w:hAnsi="Arial" w:cs="Arial"/>
        </w:rPr>
        <w:t xml:space="preserve">(2) Pri izradi prostornih planova, uz druge obveze propisane ovim Zakonom, vodi se računa o potrebi dugoročnog održavanja primjerenih sigurnosnih razmaka između područja postrojenja i stambenih područja, zgrada i javnih površina, rekreacijskih sadržaja i, koliko je to moguće, većih prometnih pravaca, zaštiti posebno osjetljivih područja ili područja od posebnog interesa za zaštitu prirode te primjeni dodatnih mjera u postojećim područjima postrojenja radi izbjegavanja povećanja rizika za zdravlje ljudi i okoliš.</w:t>
      </w:r>
    </w:p>
    <w:p>
      <w:pPr>
        <w:pBdr/>
        <w:pStyle w:val="Normal"/>
        <w:spacing/>
        <w:ind/>
        <w:rPr>
          <w:rFonts w:ascii="Arial" w:eastAsia="Arial" w:hAnsi="Arial" w:cs="Arial"/>
        </w:rPr>
      </w:pPr>
      <w:r>
        <w:rPr>
          <w:rFonts w:ascii="Arial" w:eastAsia="Arial" w:hAnsi="Arial" w:cs="Arial"/>
        </w:rPr>
        <w:t xml:space="preserve">(3) Pri izradi prostornih planova uzimaju se u obzir zahtjevi klimatske otpornosti prostora, održivog razvoja i klimatske tranzicije.</w:t>
      </w:r>
    </w:p>
    <w:p>
      <w:pPr>
        <w:pBdr/>
        <w:pStyle w:val="Normal"/>
        <w:spacing/>
        <w:ind/>
        <w:rPr>
          <w:rFonts w:ascii="Arial" w:eastAsia="Arial" w:hAnsi="Arial" w:cs="Arial"/>
        </w:rPr>
      </w:pPr>
      <w:r>
        <w:rPr>
          <w:rFonts w:ascii="Arial" w:eastAsia="Arial" w:hAnsi="Arial" w:cs="Arial"/>
        </w:rPr>
        <w:t xml:space="preserve">(4) Ministarstvo na zahtjev nositelja izrade prostornoga plana dostavlja raspoložive podatke o područjima postrojenja u kojima su prisutne opasne tvari, uključujući podatke o rizicima od velikih nesreća i domino-</w:t>
      </w:r>
      <w:r>
        <w:rPr>
          <w:rFonts w:ascii="Arial" w:eastAsia="Arial" w:hAnsi="Arial" w:cs="Arial"/>
        </w:rPr>
        <w:t xml:space="preserve">efektima, potrebne za potrebe prostornog planiranja.</w:t>
      </w:r>
    </w:p>
    <w:p>
      <w:pPr>
        <w:pBdr/>
        <w:pStyle w:val="Normal"/>
        <w:spacing/>
        <w:ind/>
        <w:rPr>
          <w:rFonts w:ascii="Arial" w:eastAsia="Arial" w:hAnsi="Arial" w:cs="Arial"/>
        </w:rPr>
      </w:pPr>
      <w:r>
        <w:rPr>
          <w:rFonts w:ascii="Arial" w:eastAsia="Arial" w:hAnsi="Arial" w:cs="Arial"/>
        </w:rPr>
        <w:t xml:space="preserve">(5) Operater je, na zahtjev Ministarstva ili tijela nadležnog za prostorno uređenje, dužan dostaviti dostatne podatke o rizicima od velikih nesreća koji proizlaze iz područja postrojenja, potrebne za potrebe prostornog planiranja.</w:t>
      </w:r>
    </w:p>
    <w:p>
      <w:pPr>
        <w:pBdr/>
        <w:pStyle w:val="Normal"/>
        <w:spacing/>
        <w:ind/>
        <w:rPr>
          <w:rFonts w:ascii="Arial" w:eastAsia="Arial" w:hAnsi="Arial" w:cs="Arial"/>
          <w:color w:val="000000"/>
        </w:rPr>
      </w:pPr>
    </w:p>
    <w:p>
      <w:pPr>
        <w:pBdr/>
        <w:pStyle w:val="Heading 1"/>
        <w:spacing/>
        <w:ind/>
        <w:rPr>
          <w:rFonts w:ascii="Arial" w:eastAsia="Arial" w:hAnsi="Arial" w:cs="Arial"/>
          <w:szCs w:val="24"/>
        </w:rPr>
      </w:pPr>
      <w:bookmarkStart w:name="_Toc237275915" w:id="10"/>
      <w:r>
        <w:rPr>
          <w:rFonts w:ascii="Arial" w:eastAsia="Arial" w:hAnsi="Arial" w:cs="Arial"/>
          <w:szCs w:val="24"/>
        </w:rPr>
        <w:t xml:space="preserve">GLAVA VIII. </w:t>
      </w:r>
      <w:bookmarkEnd w:id="10"/>
      <w:r>
        <w:rPr>
          <w:rFonts w:ascii="Arial" w:eastAsia="Arial" w:hAnsi="Arial" w:cs="Arial"/>
          <w:szCs w:val="24"/>
        </w:rPr>
        <w:t xml:space="preserve">MJERE ZAŠTITE OKOLIŠA ZA ZAHVATE ZA KOJE NIJE PROPISANA OBVEZA PROCJENE UTJECAJA NA OKOLIŠ</w:t>
      </w:r>
    </w:p>
    <w:p>
      <w:pPr>
        <w:pBdr/>
        <w:pStyle w:val="Heading 2"/>
        <w:spacing/>
        <w:ind/>
        <w:rPr/>
      </w:pPr>
      <w:r>
        <w:rPr/>
        <w:t xml:space="preserve">Članak 191.</w:t>
      </w:r>
    </w:p>
    <w:p>
      <w:pPr>
        <w:pBdr/>
        <w:pStyle w:val="Normal"/>
        <w:spacing/>
        <w:ind/>
        <w:rPr>
          <w:rFonts w:ascii="Arial" w:eastAsia="Arial" w:hAnsi="Arial" w:cs="Arial"/>
        </w:rPr>
      </w:pPr>
      <w:r>
        <w:rPr>
          <w:rFonts w:ascii="Arial" w:eastAsia="Arial" w:hAnsi="Arial" w:cs="Arial"/>
        </w:rPr>
        <w:t xml:space="preserve">(1) Mjere zaštite okoliša za zahvate za koje ovim Zakonom nije propisana obveza procjene utjecaja na okoliš određuju se elaboratom zaštite okoliša ako je radi ispunjenja obveza preuzetih međunarodnim ugovorima i sporazumima, provedbe postupaka prema posebnim propisima iz područja zaštite okoliša i pojedinih sastavnica okoliša ili u drugim slučajevima potrebno utvrditi prihvatljivost zahvata s obzirom na utjecaj na okoliš.</w:t>
      </w:r>
    </w:p>
    <w:p>
      <w:pPr>
        <w:pBdr/>
        <w:pStyle w:val="Normal"/>
        <w:spacing/>
        <w:ind/>
        <w:rPr>
          <w:rFonts w:ascii="Arial" w:eastAsia="Arial" w:hAnsi="Arial" w:cs="Arial"/>
        </w:rPr>
      </w:pPr>
      <w:r>
        <w:rPr>
          <w:rFonts w:ascii="Arial" w:eastAsia="Arial" w:hAnsi="Arial" w:cs="Arial"/>
        </w:rPr>
        <w:t xml:space="preserve">(2) Elaborat iz stavka 1. ovoga članka na zahtjev nositelja zahvata izrađuje ovlaštenik, a Ministarstvo na zahtjev nositelja zahvata izdaje potvrdu da su mjere određene elaboratom sukladne načelima zaštite okoliša uređenim ovim Zakonom ako nakon provjere sadržaja elaborata u odnosu na namjeravani zahvat utvrdi prihvatljivost zahvata s obzirom na utjecaj na okoliš.</w:t>
      </w:r>
    </w:p>
    <w:p>
      <w:pPr>
        <w:pBdr/>
        <w:pStyle w:val="Normal"/>
        <w:spacing/>
        <w:ind/>
        <w:rPr>
          <w:rFonts w:ascii="Arial" w:eastAsia="Arial" w:hAnsi="Arial" w:cs="Arial"/>
        </w:rPr>
      </w:pPr>
      <w:r>
        <w:rPr>
          <w:rFonts w:ascii="Arial" w:eastAsia="Arial" w:hAnsi="Arial" w:cs="Arial"/>
        </w:rPr>
        <w:t xml:space="preserve">(3) Iznimno od stavka 2. ovoga članka, potvrdu može izdati nadležno upravno tijelo za zaštitu okoliša u županiji odnosno Gradu Zagrebu ako je obveza njezina izdavanja utvrđena radi ispunjenja obveza preuzetih međunarodnim ugovorima i sporazumima i radi provedbe postupaka prema posebnim zakonima i propisima. </w:t>
      </w:r>
    </w:p>
    <w:p>
      <w:pPr>
        <w:pBdr/>
        <w:pStyle w:val="Normal"/>
        <w:spacing/>
        <w:ind/>
        <w:rPr>
          <w:rFonts w:ascii="Arial" w:eastAsia="Arial" w:hAnsi="Arial" w:cs="Arial"/>
        </w:rPr>
      </w:pPr>
      <w:r>
        <w:rPr>
          <w:rFonts w:ascii="Arial" w:eastAsia="Arial" w:hAnsi="Arial" w:cs="Arial"/>
        </w:rPr>
        <w:t xml:space="preserve">(4) Potvrda iz stavaka 2. i 3. ovoga članka nije upravni akt.</w:t>
      </w:r>
    </w:p>
    <w:p>
      <w:pPr>
        <w:pBdr/>
        <w:pStyle w:val="Normal"/>
        <w:spacing/>
        <w:ind/>
        <w:rPr>
          <w:rFonts w:ascii="Arial" w:eastAsia="Arial" w:hAnsi="Arial" w:cs="Arial"/>
        </w:rPr>
      </w:pPr>
      <w:r>
        <w:rPr>
          <w:rFonts w:ascii="Arial" w:eastAsia="Arial" w:hAnsi="Arial" w:cs="Arial"/>
        </w:rPr>
        <w:t xml:space="preserve">(5) Ako Ministarstvo na temelju ovoga Zakona i posebnih propisa iz područja zaštite okoliša i pojedinih sastavnica okoliša te zaštite od opterećenja okoliša utvrdi da zahtjev za izdavanje potvrde  iz stavka 2. ovoga članka nije osnovan na zakonu, zahtjev odbija rješenjem protiv kojeg nije dopuštena žalba, ali se može pokrenuti upravni spor. </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DIO ŠESTI PRAĆENJE STANJA OKOLIŠA</w:t>
      </w:r>
    </w:p>
    <w:p>
      <w:pPr>
        <w:pBdr/>
        <w:pStyle w:val="Heading 2"/>
        <w:spacing/>
        <w:ind/>
        <w:rPr/>
      </w:pPr>
      <w:r>
        <w:rPr/>
        <w:t xml:space="preserve">Svrha praćenja i ocjene stanja okoliša</w:t>
      </w:r>
    </w:p>
    <w:p>
      <w:pPr>
        <w:pBdr/>
        <w:pStyle w:val="Heading 2"/>
        <w:spacing/>
        <w:ind/>
        <w:rPr/>
      </w:pPr>
      <w:r>
        <w:rPr/>
        <w:t xml:space="preserve">Članak 192.</w:t>
      </w:r>
    </w:p>
    <w:p>
      <w:pPr>
        <w:pBdr/>
        <w:pStyle w:val="Normal"/>
        <w:spacing/>
        <w:ind/>
        <w:rPr>
          <w:rFonts w:ascii="Arial" w:eastAsia="Arial" w:hAnsi="Arial" w:cs="Arial"/>
        </w:rPr>
      </w:pPr>
      <w:r>
        <w:rPr>
          <w:rFonts w:ascii="Arial" w:eastAsia="Arial" w:hAnsi="Arial" w:cs="Arial"/>
        </w:rPr>
        <w:t xml:space="preserve">(1) Praćenje stanja okoliša obuhvaća kontinuirano ili povremeno standardizirano mjerenje ili prikupljanje podataka i informacija o kakvoći okoliša odnosno promjenama njegova stanja, uključujući emisije, imisije te prirodne i druge pojave.</w:t>
      </w:r>
    </w:p>
    <w:p>
      <w:pPr>
        <w:pBdr/>
        <w:pStyle w:val="Normal"/>
        <w:spacing/>
        <w:ind/>
        <w:rPr>
          <w:rFonts w:ascii="Arial" w:eastAsia="Arial" w:hAnsi="Arial" w:cs="Arial"/>
        </w:rPr>
      </w:pPr>
      <w:r>
        <w:rPr>
          <w:rFonts w:ascii="Arial" w:eastAsia="Arial" w:hAnsi="Arial" w:cs="Arial"/>
        </w:rPr>
        <w:t xml:space="preserve">(2) Praćenje i ocjena stanja okoliša provode se radi:</w:t>
      </w:r>
    </w:p>
    <w:p>
      <w:pPr>
        <w:pBdr/>
        <w:pStyle w:val="Normal"/>
        <w:spacing/>
        <w:ind/>
        <w:rPr>
          <w:rFonts w:ascii="Arial" w:eastAsia="Arial" w:hAnsi="Arial" w:cs="Arial"/>
        </w:rPr>
      </w:pPr>
      <w:r>
        <w:rPr>
          <w:rFonts w:ascii="Arial" w:eastAsia="Arial" w:hAnsi="Arial" w:cs="Arial"/>
        </w:rPr>
        <w:t xml:space="preserve">1. zaštite zdravlja ljudi</w:t>
      </w:r>
    </w:p>
    <w:p>
      <w:pPr>
        <w:pBdr/>
        <w:pStyle w:val="Normal"/>
        <w:spacing/>
        <w:ind/>
        <w:rPr>
          <w:rFonts w:ascii="Arial" w:eastAsia="Arial" w:hAnsi="Arial" w:cs="Arial"/>
        </w:rPr>
      </w:pPr>
      <w:r>
        <w:rPr>
          <w:rFonts w:ascii="Arial" w:eastAsia="Arial" w:hAnsi="Arial" w:cs="Arial"/>
        </w:rPr>
        <w:t xml:space="preserve">2. očuvanja prirode i usluga koje ona pruža</w:t>
      </w:r>
    </w:p>
    <w:p>
      <w:pPr>
        <w:pBdr/>
        <w:pStyle w:val="Normal"/>
        <w:spacing/>
        <w:ind/>
        <w:rPr>
          <w:rFonts w:ascii="Arial" w:eastAsia="Arial" w:hAnsi="Arial" w:cs="Arial"/>
        </w:rPr>
      </w:pPr>
      <w:r>
        <w:rPr>
          <w:rFonts w:ascii="Arial" w:eastAsia="Arial" w:hAnsi="Arial" w:cs="Arial"/>
        </w:rPr>
        <w:t xml:space="preserve">3. praćenja ostvarivanja ciljeva održivog razvoja, zelene tranzicije i nacionalnih politika zaštite okoliša</w:t>
      </w:r>
    </w:p>
    <w:p>
      <w:pPr>
        <w:pBdr/>
        <w:pStyle w:val="Normal"/>
        <w:spacing/>
        <w:ind/>
        <w:rPr>
          <w:rFonts w:ascii="Arial" w:eastAsia="Arial" w:hAnsi="Arial" w:cs="Arial"/>
        </w:rPr>
      </w:pPr>
      <w:r>
        <w:rPr>
          <w:rFonts w:ascii="Arial" w:eastAsia="Arial" w:hAnsi="Arial" w:cs="Arial"/>
        </w:rPr>
        <w:t xml:space="preserve">4. utvrđivanja trendova promjena stanja okoliša i ranog upozoravanja na moguće ekološke rizike</w:t>
      </w:r>
    </w:p>
    <w:p>
      <w:pPr>
        <w:pBdr/>
        <w:pStyle w:val="Normal"/>
        <w:spacing/>
        <w:ind/>
        <w:rPr>
          <w:rFonts w:ascii="Arial" w:eastAsia="Arial" w:hAnsi="Arial" w:cs="Arial"/>
        </w:rPr>
      </w:pPr>
      <w:r>
        <w:rPr>
          <w:rFonts w:ascii="Arial" w:eastAsia="Arial" w:hAnsi="Arial" w:cs="Arial"/>
        </w:rPr>
        <w:t xml:space="preserve">5. osiguravanja podataka i informacija potrebnih za odlučivanje nadležnih tijela</w:t>
      </w:r>
    </w:p>
    <w:p>
      <w:pPr>
        <w:pBdr/>
        <w:pStyle w:val="Normal"/>
        <w:spacing/>
        <w:ind/>
        <w:rPr>
          <w:rFonts w:ascii="Arial" w:eastAsia="Arial" w:hAnsi="Arial" w:cs="Arial"/>
        </w:rPr>
      </w:pPr>
      <w:r>
        <w:rPr>
          <w:rFonts w:ascii="Arial" w:eastAsia="Arial" w:hAnsi="Arial" w:cs="Arial"/>
        </w:rPr>
        <w:t xml:space="preserve">6. informiranja javnosti na temelju točnih podataka.</w:t>
      </w:r>
    </w:p>
    <w:p>
      <w:pPr>
        <w:pBdr/>
        <w:pStyle w:val="Normal"/>
        <w:spacing/>
        <w:ind/>
        <w:rPr>
          <w:rFonts w:ascii="Arial" w:eastAsia="Arial" w:hAnsi="Arial" w:cs="Arial"/>
        </w:rPr>
      </w:pPr>
    </w:p>
    <w:p>
      <w:pPr>
        <w:pBdr/>
        <w:pStyle w:val="Heading 2"/>
        <w:spacing/>
        <w:ind/>
        <w:rPr/>
      </w:pPr>
      <w:r>
        <w:rPr/>
        <w:t xml:space="preserve">Obuhvat praćenja stanja okoliša</w:t>
      </w:r>
    </w:p>
    <w:p>
      <w:pPr>
        <w:pBdr/>
        <w:pStyle w:val="Heading 2"/>
        <w:spacing/>
        <w:ind/>
        <w:rPr/>
      </w:pPr>
      <w:r>
        <w:rPr/>
        <w:t xml:space="preserve">Članak 193.</w:t>
      </w:r>
    </w:p>
    <w:p>
      <w:pPr>
        <w:pBdr/>
        <w:pStyle w:val="Normal"/>
        <w:spacing/>
        <w:ind/>
        <w:rPr>
          <w:rFonts w:ascii="Arial" w:eastAsia="Arial" w:hAnsi="Arial" w:cs="Arial"/>
        </w:rPr>
      </w:pPr>
      <w:r>
        <w:rPr>
          <w:rFonts w:ascii="Arial" w:eastAsia="Arial" w:hAnsi="Arial" w:cs="Arial"/>
        </w:rPr>
        <w:t xml:space="preserve">(1) Praćenje stanja okoliša obuhvaća redovito propisano praćenje, koje se odnosi na:</w:t>
      </w:r>
    </w:p>
    <w:p>
      <w:pPr>
        <w:pBdr/>
        <w:pStyle w:val="Normal"/>
        <w:spacing/>
        <w:ind/>
        <w:rPr>
          <w:rFonts w:ascii="Arial" w:eastAsia="Arial" w:hAnsi="Arial" w:cs="Arial"/>
        </w:rPr>
      </w:pPr>
      <w:r>
        <w:rPr>
          <w:rFonts w:ascii="Arial" w:eastAsia="Arial" w:hAnsi="Arial" w:cs="Arial"/>
        </w:rPr>
        <w:t xml:space="preserve">- kvalitetu zraka, tla, mora i voda</w:t>
      </w:r>
    </w:p>
    <w:p>
      <w:pPr>
        <w:pBdr/>
        <w:pStyle w:val="Normal"/>
        <w:spacing/>
        <w:ind/>
        <w:rPr>
          <w:rFonts w:ascii="Arial" w:eastAsia="Arial" w:hAnsi="Arial" w:cs="Arial"/>
        </w:rPr>
      </w:pPr>
      <w:r>
        <w:rPr>
          <w:rFonts w:ascii="Arial" w:eastAsia="Arial" w:hAnsi="Arial" w:cs="Arial"/>
        </w:rPr>
        <w:t xml:space="preserve">- klimu, utjecaje klimatskih promjena i prilagodbu klimatskim promjenama </w:t>
      </w:r>
    </w:p>
    <w:p>
      <w:pPr>
        <w:pBdr/>
        <w:pStyle w:val="Normal"/>
        <w:spacing/>
        <w:ind/>
        <w:rPr>
          <w:rFonts w:ascii="Arial" w:eastAsia="Arial" w:hAnsi="Arial" w:cs="Arial"/>
        </w:rPr>
      </w:pPr>
      <w:r>
        <w:rPr>
          <w:rFonts w:ascii="Arial" w:eastAsia="Arial" w:hAnsi="Arial" w:cs="Arial"/>
        </w:rPr>
        <w:t xml:space="preserve">- onečišćenje okoliša i emisije u okoliš</w:t>
      </w:r>
    </w:p>
    <w:p>
      <w:pPr>
        <w:pBdr/>
        <w:pStyle w:val="Normal"/>
        <w:spacing/>
        <w:ind/>
        <w:rPr>
          <w:rFonts w:ascii="Arial" w:eastAsia="Arial" w:hAnsi="Arial" w:cs="Arial"/>
        </w:rPr>
      </w:pPr>
      <w:r>
        <w:rPr>
          <w:rFonts w:ascii="Arial" w:eastAsia="Arial" w:hAnsi="Arial" w:cs="Arial"/>
        </w:rPr>
        <w:t xml:space="preserve">- utjecaje onečišćivača okoliša na zdravlje ljudi</w:t>
      </w:r>
    </w:p>
    <w:p>
      <w:pPr>
        <w:pBdr/>
        <w:pStyle w:val="Normal"/>
        <w:spacing/>
        <w:ind/>
        <w:rPr>
          <w:rFonts w:ascii="Arial" w:eastAsia="Arial" w:hAnsi="Arial" w:cs="Arial"/>
        </w:rPr>
      </w:pPr>
      <w:r>
        <w:rPr>
          <w:rFonts w:ascii="Arial" w:eastAsia="Arial" w:hAnsi="Arial" w:cs="Arial"/>
        </w:rPr>
        <w:t xml:space="preserve">- nastanak otpada i gospodarenje otpadom</w:t>
      </w:r>
    </w:p>
    <w:p>
      <w:pPr>
        <w:pBdr/>
        <w:pStyle w:val="Normal"/>
        <w:spacing/>
        <w:ind/>
        <w:rPr>
          <w:rFonts w:ascii="Arial" w:eastAsia="Arial" w:hAnsi="Arial" w:cs="Arial"/>
        </w:rPr>
      </w:pPr>
      <w:r>
        <w:rPr>
          <w:rFonts w:ascii="Arial" w:eastAsia="Arial" w:hAnsi="Arial" w:cs="Arial"/>
        </w:rPr>
        <w:t xml:space="preserve">- utjecaje sektorskih pritisaka na okoliš</w:t>
      </w:r>
    </w:p>
    <w:p>
      <w:pPr>
        <w:pBdr/>
        <w:pStyle w:val="Normal"/>
        <w:spacing/>
        <w:ind/>
        <w:rPr>
          <w:rFonts w:ascii="Arial" w:eastAsia="Arial" w:hAnsi="Arial" w:cs="Arial"/>
        </w:rPr>
      </w:pPr>
      <w:r>
        <w:rPr>
          <w:rFonts w:ascii="Arial" w:eastAsia="Arial" w:hAnsi="Arial" w:cs="Arial"/>
        </w:rPr>
        <w:t xml:space="preserve">- prirodne pojave, uključujući praćenje i nadziranje meteoroloških, hidroloških, erozijskih, seizmoloških, radioloških i drugih geofizikalnih pojava </w:t>
      </w:r>
    </w:p>
    <w:p>
      <w:pPr>
        <w:pBdr/>
        <w:pStyle w:val="Normal"/>
        <w:spacing/>
        <w:ind/>
        <w:rPr>
          <w:rFonts w:ascii="Arial" w:eastAsia="Arial" w:hAnsi="Arial" w:cs="Arial"/>
        </w:rPr>
      </w:pPr>
      <w:r>
        <w:rPr>
          <w:rFonts w:ascii="Arial" w:eastAsia="Arial" w:hAnsi="Arial" w:cs="Arial"/>
        </w:rPr>
        <w:t xml:space="preserve">- buku, svjetlosno i druga antropogena opterećenja okoliša</w:t>
      </w:r>
    </w:p>
    <w:p>
      <w:pPr>
        <w:pBdr/>
        <w:pStyle w:val="Normal"/>
        <w:spacing/>
        <w:ind/>
        <w:rPr>
          <w:rFonts w:ascii="Arial" w:eastAsia="Arial" w:hAnsi="Arial" w:cs="Arial"/>
        </w:rPr>
      </w:pPr>
      <w:r>
        <w:rPr>
          <w:rFonts w:ascii="Arial" w:eastAsia="Arial" w:hAnsi="Arial" w:cs="Arial"/>
        </w:rPr>
        <w:t xml:space="preserve">- stanje očuvanosti bioraznolikosti i drugih sastavnica prirode te usluge koje one pružaju</w:t>
      </w:r>
    </w:p>
    <w:p>
      <w:pPr>
        <w:pBdr/>
        <w:pStyle w:val="Normal"/>
        <w:spacing/>
        <w:ind/>
        <w:rPr>
          <w:rFonts w:ascii="Arial" w:eastAsia="Arial" w:hAnsi="Arial" w:cs="Arial"/>
        </w:rPr>
      </w:pPr>
      <w:r>
        <w:rPr>
          <w:rFonts w:ascii="Arial" w:eastAsia="Arial" w:hAnsi="Arial" w:cs="Arial"/>
        </w:rPr>
        <w:t xml:space="preserve">- druge parametre okoliša.</w:t>
      </w:r>
    </w:p>
    <w:p>
      <w:pPr>
        <w:pBdr/>
        <w:pStyle w:val="Normal"/>
        <w:spacing/>
        <w:ind/>
        <w:rPr>
          <w:rFonts w:ascii="Arial" w:eastAsia="Arial" w:hAnsi="Arial" w:cs="Arial"/>
        </w:rPr>
      </w:pPr>
      <w:r>
        <w:rPr>
          <w:rFonts w:ascii="Arial" w:eastAsia="Arial" w:hAnsi="Arial" w:cs="Arial"/>
        </w:rPr>
        <w:t xml:space="preserve">(2) Praćenje stanja okoliša provodi se i za područja utvrđena dokumentom za koji je provedena strateška procjena, zahvate za koje je praćenje određeno u postupku procjene utjecaja zahvata na okoliš, postrojenja za koja je praćenje određeno okolišnom dozvolom te područja na kojima je došlo do onečišćenja okoliša ako onečišćivač nije poznat.</w:t>
      </w:r>
    </w:p>
    <w:p>
      <w:pPr>
        <w:pBdr/>
        <w:pStyle w:val="Normal"/>
        <w:spacing/>
        <w:ind/>
        <w:rPr>
          <w:rFonts w:ascii="Arial" w:eastAsia="Arial" w:hAnsi="Arial" w:cs="Arial"/>
        </w:rPr>
      </w:pPr>
      <w:r>
        <w:rPr>
          <w:rFonts w:ascii="Arial" w:eastAsia="Arial" w:hAnsi="Arial" w:cs="Arial"/>
        </w:rPr>
        <w:t xml:space="preserve">(3) Vrste emisija, imisija, prirodnih i drugih pojava koje se prate, metodologija uzorkovanja i mjerenja te rokovi za dostavu podataka nadležnim upravnim tijelima u županiji odnosno Gradu Zagrebu i Ministarstvu odnosno Zavodu pobliže se određuju dokumentima i rješenjima kojima je utvrđena obveza praćenja iz stavka 2. ovoga članka.</w:t>
      </w:r>
    </w:p>
    <w:p>
      <w:pPr>
        <w:pBdr/>
        <w:pStyle w:val="Normal"/>
        <w:spacing/>
        <w:ind/>
        <w:rPr>
          <w:rFonts w:ascii="Arial" w:eastAsia="Arial" w:hAnsi="Arial" w:cs="Arial"/>
        </w:rPr>
      </w:pPr>
    </w:p>
    <w:p>
      <w:pPr>
        <w:pBdr/>
        <w:pStyle w:val="Heading 2"/>
        <w:spacing/>
        <w:ind/>
        <w:rPr/>
      </w:pPr>
      <w:r>
        <w:rPr/>
        <w:t xml:space="preserve">Sustav praćenja stanja okoliša</w:t>
      </w:r>
    </w:p>
    <w:p>
      <w:pPr>
        <w:pBdr/>
        <w:pStyle w:val="Heading 2"/>
        <w:spacing/>
        <w:ind/>
        <w:rPr/>
      </w:pPr>
      <w:r>
        <w:rPr/>
        <w:t xml:space="preserve">Članak 194.</w:t>
      </w:r>
    </w:p>
    <w:p>
      <w:pPr>
        <w:pBdr/>
        <w:pStyle w:val="Normal"/>
        <w:spacing/>
        <w:ind/>
        <w:rPr>
          <w:rFonts w:ascii="Arial" w:eastAsia="Arial" w:hAnsi="Arial" w:cs="Arial"/>
        </w:rPr>
      </w:pPr>
      <w:r>
        <w:rPr>
          <w:rFonts w:ascii="Arial" w:eastAsia="Arial" w:hAnsi="Arial" w:cs="Arial"/>
        </w:rPr>
        <w:t xml:space="preserve">(1) Sustav praćenja stanja okoliša obuhvaća:</w:t>
      </w:r>
    </w:p>
    <w:p>
      <w:pPr>
        <w:pBdr/>
        <w:pStyle w:val="Normal"/>
        <w:spacing/>
        <w:ind/>
        <w:rPr>
          <w:rFonts w:ascii="Arial" w:eastAsia="Arial" w:hAnsi="Arial" w:cs="Arial"/>
        </w:rPr>
      </w:pPr>
      <w:r>
        <w:rPr>
          <w:rFonts w:ascii="Arial" w:eastAsia="Arial" w:hAnsi="Arial" w:cs="Arial"/>
        </w:rPr>
        <w:t xml:space="preserve">- osobe i tijela koja su prema ovom Zakonu ili propisima iz područja zaštite okoliša i pojedinih sastavnica okoliša dužna provoditi praćenje stanja okoliša</w:t>
      </w:r>
    </w:p>
    <w:p>
      <w:pPr>
        <w:pBdr/>
        <w:pStyle w:val="Normal"/>
        <w:spacing/>
        <w:ind/>
        <w:rPr>
          <w:rFonts w:ascii="Arial" w:eastAsia="Arial" w:hAnsi="Arial" w:cs="Arial"/>
        </w:rPr>
      </w:pPr>
      <w:r>
        <w:rPr>
          <w:rFonts w:ascii="Arial" w:eastAsia="Arial" w:hAnsi="Arial" w:cs="Arial"/>
        </w:rPr>
        <w:t xml:space="preserve">- referentne centre iz članka 164. ovoga Zakona</w:t>
      </w:r>
    </w:p>
    <w:p>
      <w:pPr>
        <w:pBdr/>
        <w:pStyle w:val="Normal"/>
        <w:spacing/>
        <w:ind/>
        <w:rPr>
          <w:rFonts w:ascii="Arial" w:eastAsia="Arial" w:hAnsi="Arial" w:cs="Arial"/>
        </w:rPr>
      </w:pPr>
      <w:r>
        <w:rPr>
          <w:rFonts w:ascii="Arial" w:eastAsia="Arial" w:hAnsi="Arial" w:cs="Arial"/>
        </w:rPr>
        <w:t xml:space="preserve">- mrežu točaka motrenja, mjernih postaja i laboratorija</w:t>
      </w:r>
    </w:p>
    <w:p>
      <w:pPr>
        <w:pBdr/>
        <w:pStyle w:val="Normal"/>
        <w:spacing/>
        <w:ind/>
        <w:rPr>
          <w:rFonts w:ascii="Arial" w:eastAsia="Arial" w:hAnsi="Arial" w:cs="Arial"/>
        </w:rPr>
      </w:pPr>
      <w:r>
        <w:rPr>
          <w:rFonts w:ascii="Arial" w:eastAsia="Arial" w:hAnsi="Arial" w:cs="Arial"/>
        </w:rPr>
        <w:t xml:space="preserve">- podatke o emisijama iz točkastih izvora emisija koji se prikupljaju u skladu s posebnim propisima iz područja zaštite okoliša</w:t>
      </w:r>
    </w:p>
    <w:p>
      <w:pPr>
        <w:pBdr/>
        <w:pStyle w:val="Normal"/>
        <w:spacing/>
        <w:ind/>
        <w:rPr>
          <w:rFonts w:ascii="Arial" w:eastAsia="Arial" w:hAnsi="Arial" w:cs="Arial"/>
        </w:rPr>
      </w:pPr>
      <w:r>
        <w:rPr>
          <w:rFonts w:ascii="Arial" w:eastAsia="Arial" w:hAnsi="Arial" w:cs="Arial"/>
        </w:rPr>
        <w:t xml:space="preserve">- metodologije i standarde praćenja u skladu s nacionalnim, međunarodnim ili standardima Europske unije</w:t>
      </w:r>
    </w:p>
    <w:p>
      <w:pPr>
        <w:pBdr/>
        <w:pStyle w:val="Normal"/>
        <w:spacing/>
        <w:ind/>
        <w:rPr>
          <w:rFonts w:ascii="Arial" w:eastAsia="Arial" w:hAnsi="Arial" w:cs="Arial"/>
        </w:rPr>
      </w:pPr>
      <w:r>
        <w:rPr>
          <w:rFonts w:ascii="Arial" w:eastAsia="Arial" w:hAnsi="Arial" w:cs="Arial"/>
        </w:rPr>
        <w:t xml:space="preserve">- sustav ranog upozoravanja na ekološke incidente i rizike</w:t>
      </w:r>
    </w:p>
    <w:p>
      <w:pPr>
        <w:pBdr/>
        <w:pStyle w:val="Normal"/>
        <w:spacing/>
        <w:ind/>
        <w:rPr>
          <w:rFonts w:ascii="Arial" w:eastAsia="Arial" w:hAnsi="Arial" w:cs="Arial"/>
        </w:rPr>
      </w:pPr>
      <w:r>
        <w:rPr>
          <w:rFonts w:ascii="Arial" w:eastAsia="Arial" w:hAnsi="Arial" w:cs="Arial"/>
        </w:rPr>
        <w:t xml:space="preserve">- suradnju i pravodobnu razmjenu podataka i informacija s jedinicama lokalne i područne (regionalne) samouprave, nacionalnim i međunarodnim institucijama i programima te javnošću. </w:t>
      </w:r>
    </w:p>
    <w:p>
      <w:pPr>
        <w:pBdr/>
        <w:pStyle w:val="Normal"/>
        <w:spacing/>
        <w:ind/>
        <w:rPr>
          <w:rFonts w:ascii="Arial" w:eastAsia="Arial" w:hAnsi="Arial" w:cs="Arial"/>
        </w:rPr>
      </w:pPr>
      <w:r>
        <w:rPr>
          <w:rFonts w:ascii="Arial" w:eastAsia="Arial" w:hAnsi="Arial" w:cs="Arial"/>
        </w:rPr>
        <w:t xml:space="preserve">(2) Podaci prikupljeni pri utvrđivanja stanja ili provedbe praćenja stanja okoliša moraju biti dostupni kroz ISZOP.</w:t>
      </w:r>
    </w:p>
    <w:p>
      <w:pPr>
        <w:pBdr/>
        <w:pStyle w:val="Normal"/>
        <w:spacing/>
        <w:ind/>
        <w:rPr>
          <w:rFonts w:ascii="Arial" w:eastAsia="Arial" w:hAnsi="Arial" w:cs="Arial"/>
        </w:rPr>
      </w:pPr>
    </w:p>
    <w:p>
      <w:pPr>
        <w:pBdr/>
        <w:pStyle w:val="Heading 2"/>
        <w:spacing/>
        <w:ind/>
        <w:rPr/>
      </w:pPr>
      <w:r>
        <w:rPr/>
        <w:t xml:space="preserve">Nadležnosti u praćenju stanja okoliša</w:t>
      </w:r>
    </w:p>
    <w:p>
      <w:pPr>
        <w:pBdr/>
        <w:pStyle w:val="Heading 2"/>
        <w:spacing/>
        <w:ind/>
        <w:rPr/>
      </w:pPr>
      <w:r>
        <w:rPr/>
        <w:t xml:space="preserve">Članak 195.</w:t>
      </w:r>
    </w:p>
    <w:p>
      <w:pPr>
        <w:pBdr/>
        <w:pStyle w:val="Normal"/>
        <w:spacing/>
        <w:ind/>
        <w:rPr>
          <w:rFonts w:ascii="Arial" w:eastAsia="Arial" w:hAnsi="Arial" w:cs="Arial"/>
        </w:rPr>
      </w:pPr>
      <w:r>
        <w:rPr>
          <w:rFonts w:ascii="Arial" w:eastAsia="Arial" w:hAnsi="Arial" w:cs="Arial"/>
        </w:rPr>
        <w:t xml:space="preserve">(1) Ministarstvo:</w:t>
      </w:r>
    </w:p>
    <w:p>
      <w:pPr>
        <w:pBdr/>
        <w:pStyle w:val="Normal"/>
        <w:spacing/>
        <w:ind/>
        <w:rPr>
          <w:rFonts w:ascii="Arial" w:eastAsia="Arial" w:hAnsi="Arial" w:cs="Arial"/>
        </w:rPr>
      </w:pPr>
      <w:r>
        <w:rPr>
          <w:rFonts w:ascii="Arial" w:eastAsia="Arial" w:hAnsi="Arial" w:cs="Arial"/>
        </w:rPr>
        <w:t xml:space="preserve">- osigurava razvoj i provedbu sustava praćenja stanja okoliša te nadzire i usmjerava taj sustav </w:t>
      </w:r>
    </w:p>
    <w:p>
      <w:pPr>
        <w:pBdr/>
        <w:pStyle w:val="Normal"/>
        <w:spacing/>
        <w:ind/>
        <w:rPr>
          <w:rFonts w:ascii="Arial" w:eastAsia="Arial" w:hAnsi="Arial" w:cs="Arial"/>
        </w:rPr>
      </w:pPr>
      <w:r>
        <w:rPr>
          <w:rFonts w:ascii="Arial" w:eastAsia="Arial" w:hAnsi="Arial" w:cs="Arial"/>
        </w:rPr>
        <w:t xml:space="preserve">- određuje referentne centre iz članka 203. ovoga Zakona.</w:t>
      </w:r>
    </w:p>
    <w:p>
      <w:pPr>
        <w:pBdr/>
        <w:pStyle w:val="Normal"/>
        <w:spacing/>
        <w:ind/>
        <w:rPr>
          <w:rFonts w:ascii="Arial" w:eastAsia="Arial" w:hAnsi="Arial" w:cs="Arial"/>
        </w:rPr>
      </w:pPr>
      <w:r>
        <w:rPr>
          <w:rFonts w:ascii="Arial" w:eastAsia="Arial" w:hAnsi="Arial" w:cs="Arial"/>
        </w:rPr>
        <w:t xml:space="preserve">(2) Ministarstvo odnosno Zavod:</w:t>
      </w:r>
    </w:p>
    <w:p>
      <w:pPr>
        <w:pBdr/>
        <w:pStyle w:val="Normal"/>
        <w:spacing/>
        <w:ind/>
        <w:rPr>
          <w:rFonts w:ascii="Arial" w:eastAsia="Arial" w:hAnsi="Arial" w:cs="Arial"/>
        </w:rPr>
      </w:pPr>
      <w:r>
        <w:rPr>
          <w:rFonts w:ascii="Arial" w:eastAsia="Arial" w:hAnsi="Arial" w:cs="Arial"/>
        </w:rPr>
        <w:t xml:space="preserve">- utvrđuje metodologiju, standarde, programe i protokole praćenja stanja okoliša</w:t>
      </w:r>
    </w:p>
    <w:p>
      <w:pPr>
        <w:pBdr/>
        <w:pStyle w:val="Normal"/>
        <w:spacing/>
        <w:ind/>
        <w:rPr>
          <w:rFonts w:ascii="Arial" w:eastAsia="Arial" w:hAnsi="Arial" w:cs="Arial"/>
        </w:rPr>
      </w:pPr>
      <w:r>
        <w:rPr>
          <w:rFonts w:ascii="Arial" w:eastAsia="Arial" w:hAnsi="Arial" w:cs="Arial"/>
        </w:rPr>
        <w:t xml:space="preserve">- provodi razvoj sustava praćenja stanja okoliša</w:t>
      </w:r>
    </w:p>
    <w:p>
      <w:pPr>
        <w:pBdr/>
        <w:pStyle w:val="Normal"/>
        <w:spacing/>
        <w:ind/>
        <w:rPr>
          <w:rFonts w:ascii="Arial" w:eastAsia="Arial" w:hAnsi="Arial" w:cs="Arial"/>
        </w:rPr>
      </w:pPr>
      <w:r>
        <w:rPr>
          <w:rFonts w:ascii="Arial" w:eastAsia="Arial" w:hAnsi="Arial" w:cs="Arial"/>
        </w:rPr>
        <w:t xml:space="preserve">- uspostavlja, održava i razvija ISZOP i baze podataka za koje je nadležno te izrađuje izvješća</w:t>
      </w:r>
    </w:p>
    <w:p>
      <w:pPr>
        <w:pBdr/>
        <w:pStyle w:val="Normal"/>
        <w:spacing/>
        <w:ind/>
        <w:rPr>
          <w:rFonts w:ascii="Arial" w:eastAsia="Arial" w:hAnsi="Arial" w:cs="Arial"/>
        </w:rPr>
      </w:pPr>
      <w:r>
        <w:rPr>
          <w:rFonts w:ascii="Arial" w:eastAsia="Arial" w:hAnsi="Arial" w:cs="Arial"/>
        </w:rPr>
        <w:t xml:space="preserve">- utvrđuje načine dostave i razmjene podataka</w:t>
      </w:r>
    </w:p>
    <w:p>
      <w:pPr>
        <w:pBdr/>
        <w:pStyle w:val="Normal"/>
        <w:spacing/>
        <w:ind/>
        <w:rPr>
          <w:rFonts w:ascii="Arial" w:eastAsia="Arial" w:hAnsi="Arial" w:cs="Arial"/>
        </w:rPr>
      </w:pPr>
      <w:r>
        <w:rPr>
          <w:rFonts w:ascii="Arial" w:eastAsia="Arial" w:hAnsi="Arial" w:cs="Arial"/>
        </w:rPr>
        <w:t xml:space="preserve">- dostavlja podatke nacionalnim tijelima, tijelima Europske unije i međunarodnim tijelima.</w:t>
      </w:r>
    </w:p>
    <w:p>
      <w:pPr>
        <w:pBdr/>
        <w:pStyle w:val="Normal"/>
        <w:spacing/>
        <w:ind/>
        <w:rPr>
          <w:rFonts w:ascii="Arial" w:eastAsia="Arial" w:hAnsi="Arial" w:cs="Arial"/>
        </w:rPr>
      </w:pPr>
      <w:r>
        <w:rPr>
          <w:rFonts w:ascii="Arial" w:eastAsia="Arial" w:hAnsi="Arial" w:cs="Arial"/>
        </w:rPr>
        <w:t xml:space="preserve">(3) Sredstva za obavljanje poslova praćenja stanja okoliša i izvješćivanja iz stavka 2. ovoga članka osiguravaju se u državnom proračunu, a za razvojne projekte i unaprjeđenje sustava praćenja stanja okoliša mogu se koristiti i sredstva Fonda za zaštitu okoliša i energetsku učinkovitost, odgovarajućih nacionalnih fondova i fondova Europske unije te međunarodnih izvora financiranja odnosno sufinanciranja.</w:t>
      </w:r>
    </w:p>
    <w:p>
      <w:pPr>
        <w:pBdr/>
        <w:pStyle w:val="Normal"/>
        <w:spacing/>
        <w:ind/>
        <w:rPr>
          <w:rFonts w:ascii="Arial" w:eastAsia="Arial" w:hAnsi="Arial" w:cs="Arial"/>
        </w:rPr>
      </w:pPr>
    </w:p>
    <w:p>
      <w:pPr>
        <w:pBdr/>
        <w:pStyle w:val="Heading 2"/>
        <w:spacing/>
        <w:ind/>
        <w:rPr/>
      </w:pPr>
      <w:r>
        <w:rPr/>
        <w:t xml:space="preserve">Članak 196.</w:t>
      </w:r>
    </w:p>
    <w:p>
      <w:pPr>
        <w:pBdr/>
        <w:pStyle w:val="Normal"/>
        <w:spacing/>
        <w:ind/>
        <w:rPr>
          <w:rFonts w:ascii="Arial" w:eastAsia="Arial" w:hAnsi="Arial" w:cs="Arial"/>
        </w:rPr>
      </w:pPr>
      <w:r>
        <w:rPr>
          <w:rFonts w:ascii="Arial" w:eastAsia="Arial" w:hAnsi="Arial" w:cs="Arial"/>
        </w:rPr>
        <w:t xml:space="preserve">(1) Javne ustanove i znanstvene institucije kojima je osnivač Republika Hrvatska, a kojima je posebnim propisima iz područja zaštite okoliša i pojedinih sastavnica okoliša ili općim aktom određeno obavljanje poslova izravnog ili neizravnog praćenja stanja okoliša, praćenje emisija u okoliš ili istraživanje okoliša, dužne su na zahtjev Ministarstva odnosno Zavoda, prema potrebi proširiti opseg tih poslova radi praćenja:</w:t>
      </w:r>
    </w:p>
    <w:p>
      <w:pPr>
        <w:pBdr/>
        <w:pStyle w:val="Normal"/>
        <w:spacing/>
        <w:ind/>
        <w:rPr>
          <w:rFonts w:ascii="Arial" w:eastAsia="Arial" w:hAnsi="Arial" w:cs="Arial"/>
        </w:rPr>
      </w:pPr>
      <w:r>
        <w:rPr>
          <w:rFonts w:ascii="Arial" w:eastAsia="Arial" w:hAnsi="Arial" w:cs="Arial"/>
        </w:rPr>
        <w:t xml:space="preserve">- stanja okoliša</w:t>
      </w:r>
    </w:p>
    <w:p>
      <w:pPr>
        <w:pBdr/>
        <w:pStyle w:val="Normal"/>
        <w:spacing/>
        <w:ind/>
        <w:rPr>
          <w:rFonts w:ascii="Arial" w:eastAsia="Arial" w:hAnsi="Arial" w:cs="Arial"/>
        </w:rPr>
      </w:pPr>
      <w:r>
        <w:rPr>
          <w:rFonts w:ascii="Arial" w:eastAsia="Arial" w:hAnsi="Arial" w:cs="Arial"/>
        </w:rPr>
        <w:t xml:space="preserve">- pritisaka na okoliš i njihovih pokretača</w:t>
      </w:r>
    </w:p>
    <w:p>
      <w:pPr>
        <w:pBdr/>
        <w:pStyle w:val="Normal"/>
        <w:spacing/>
        <w:ind/>
        <w:rPr>
          <w:rFonts w:ascii="Arial" w:eastAsia="Arial" w:hAnsi="Arial" w:cs="Arial"/>
        </w:rPr>
      </w:pPr>
      <w:r>
        <w:rPr>
          <w:rFonts w:ascii="Arial" w:eastAsia="Arial" w:hAnsi="Arial" w:cs="Arial"/>
        </w:rPr>
        <w:t xml:space="preserve">- promjena u okolišu </w:t>
      </w:r>
    </w:p>
    <w:p>
      <w:pPr>
        <w:pBdr/>
        <w:pStyle w:val="Normal"/>
        <w:spacing/>
        <w:ind/>
        <w:rPr>
          <w:rFonts w:ascii="Arial" w:eastAsia="Arial" w:hAnsi="Arial" w:cs="Arial"/>
        </w:rPr>
      </w:pPr>
      <w:r>
        <w:rPr>
          <w:rFonts w:ascii="Arial" w:eastAsia="Arial" w:hAnsi="Arial" w:cs="Arial"/>
        </w:rPr>
        <w:t xml:space="preserve">- utjecaja na okoliš. </w:t>
      </w:r>
    </w:p>
    <w:p>
      <w:pPr>
        <w:pBdr/>
        <w:pStyle w:val="Normal"/>
        <w:spacing/>
        <w:ind/>
        <w:rPr>
          <w:rFonts w:ascii="Arial" w:eastAsia="Arial" w:hAnsi="Arial" w:cs="Arial"/>
        </w:rPr>
      </w:pPr>
      <w:r>
        <w:rPr>
          <w:rFonts w:ascii="Arial" w:eastAsia="Arial" w:hAnsi="Arial" w:cs="Arial"/>
        </w:rPr>
        <w:t xml:space="preserve">(2) Ministarstvo osigurava sredstva za obavljanje dodatnih poslova iz stavka 1. ovoga članka.</w:t>
      </w:r>
    </w:p>
    <w:p>
      <w:pPr>
        <w:pBdr/>
        <w:pStyle w:val="Normal"/>
        <w:spacing/>
        <w:ind/>
        <w:rPr>
          <w:rFonts w:ascii="Arial" w:eastAsia="Arial" w:hAnsi="Arial" w:cs="Arial"/>
        </w:rPr>
      </w:pPr>
    </w:p>
    <w:p>
      <w:pPr>
        <w:pBdr/>
        <w:pStyle w:val="Heading 2"/>
        <w:spacing/>
        <w:ind/>
        <w:rPr/>
      </w:pPr>
      <w:r>
        <w:rPr/>
        <w:t xml:space="preserve">Članak 197.</w:t>
      </w:r>
    </w:p>
    <w:p>
      <w:pPr>
        <w:pBdr/>
        <w:pStyle w:val="Normal"/>
        <w:spacing/>
        <w:ind/>
        <w:rPr>
          <w:rFonts w:ascii="Arial" w:eastAsia="Arial" w:hAnsi="Arial" w:cs="Arial"/>
        </w:rPr>
      </w:pPr>
      <w:r>
        <w:rPr>
          <w:rFonts w:ascii="Arial" w:eastAsia="Arial" w:hAnsi="Arial" w:cs="Arial"/>
        </w:rPr>
        <w:t xml:space="preserve">Pravne i fizičke osobe koje su prema ovom Zakonu i posebnim propisima iz područja zaštite okoliša i pojedinih sastavnica okoliša te zaštite od opterećenja okoliša prepoznate kao onečišćivači i obveznici sustava praćenja stanja okoliša dužne su:</w:t>
      </w:r>
    </w:p>
    <w:p>
      <w:pPr>
        <w:pBdr/>
        <w:pStyle w:val="Normal"/>
        <w:spacing/>
        <w:ind/>
        <w:rPr>
          <w:rFonts w:ascii="Arial" w:eastAsia="Arial" w:hAnsi="Arial" w:cs="Arial"/>
        </w:rPr>
      </w:pPr>
      <w:r>
        <w:rPr>
          <w:rFonts w:ascii="Arial" w:eastAsia="Arial" w:hAnsi="Arial" w:cs="Arial"/>
        </w:rPr>
        <w:t xml:space="preserve">- dostavljati u ISZOP podatke o emisijama, otpadu, prisutnim opasnim tvarima i drugim propisanim parametrima </w:t>
      </w:r>
    </w:p>
    <w:p>
      <w:pPr>
        <w:pBdr/>
        <w:pStyle w:val="Normal"/>
        <w:spacing/>
        <w:ind/>
        <w:rPr>
          <w:rFonts w:ascii="Arial" w:eastAsia="Arial" w:hAnsi="Arial" w:cs="Arial"/>
        </w:rPr>
      </w:pPr>
      <w:r>
        <w:rPr>
          <w:rFonts w:ascii="Arial" w:eastAsia="Arial" w:hAnsi="Arial" w:cs="Arial"/>
        </w:rPr>
        <w:t xml:space="preserve">- surađivati u provedbi mjerenja na zahtjev Ministarstva.</w:t>
      </w:r>
    </w:p>
    <w:p>
      <w:pPr>
        <w:pBdr/>
        <w:pStyle w:val="Normal"/>
        <w:spacing/>
        <w:ind/>
        <w:rPr>
          <w:rFonts w:ascii="Arial" w:eastAsia="Arial" w:hAnsi="Arial" w:cs="Arial"/>
        </w:rPr>
      </w:pPr>
    </w:p>
    <w:p>
      <w:pPr>
        <w:pBdr/>
        <w:pStyle w:val="Heading 2"/>
        <w:spacing/>
        <w:ind/>
        <w:rPr/>
      </w:pPr>
      <w:r>
        <w:rPr/>
        <w:t xml:space="preserve">Članak 198.</w:t>
      </w:r>
    </w:p>
    <w:p>
      <w:pPr>
        <w:pBdr/>
        <w:pStyle w:val="Normal"/>
        <w:spacing/>
        <w:ind/>
        <w:rPr>
          <w:rFonts w:ascii="Arial" w:eastAsia="Arial" w:hAnsi="Arial" w:cs="Arial"/>
        </w:rPr>
      </w:pPr>
      <w:r>
        <w:rPr>
          <w:rFonts w:ascii="Arial" w:eastAsia="Arial" w:hAnsi="Arial" w:cs="Arial"/>
        </w:rPr>
        <w:t xml:space="preserve">(1) Nositelj zahvata kojem je u postupku procjene utjecaja zahvata na okoliš utvrđena obveza praćenja stanja okoliša dužan je:</w:t>
      </w:r>
    </w:p>
    <w:p>
      <w:pPr>
        <w:pBdr/>
        <w:pStyle w:val="Normal"/>
        <w:spacing/>
        <w:ind/>
        <w:rPr>
          <w:rFonts w:ascii="Arial" w:eastAsia="Arial" w:hAnsi="Arial" w:cs="Arial"/>
        </w:rPr>
      </w:pPr>
      <w:r>
        <w:rPr>
          <w:rFonts w:ascii="Arial" w:eastAsia="Arial" w:hAnsi="Arial" w:cs="Arial"/>
        </w:rPr>
        <w:t xml:space="preserve">- putem stručnih i za to osposobljenih osoba provoditi mjerenja emisija te voditi propisane očevidnike o tim mjerenjima</w:t>
      </w:r>
    </w:p>
    <w:p>
      <w:pPr>
        <w:pBdr/>
        <w:pStyle w:val="Normal"/>
        <w:spacing/>
        <w:ind/>
        <w:rPr>
          <w:rFonts w:ascii="Arial" w:eastAsia="Arial" w:hAnsi="Arial" w:cs="Arial"/>
        </w:rPr>
      </w:pPr>
      <w:r>
        <w:rPr>
          <w:rFonts w:ascii="Arial" w:eastAsia="Arial" w:hAnsi="Arial" w:cs="Arial"/>
        </w:rPr>
        <w:t xml:space="preserve">- putem stručnih i za to osposobljenih osoba provoditi mjerenja imisija odnosno sudjelovati u njihovu mjerenju  prema udjelu svoga zahvata u onečišćavanju okoliša</w:t>
      </w:r>
    </w:p>
    <w:p>
      <w:pPr>
        <w:pBdr/>
        <w:pStyle w:val="Normal"/>
        <w:spacing/>
        <w:ind/>
        <w:rPr>
          <w:rFonts w:ascii="Arial" w:eastAsia="Arial" w:hAnsi="Arial" w:cs="Arial"/>
        </w:rPr>
      </w:pPr>
      <w:r>
        <w:rPr>
          <w:rFonts w:ascii="Arial" w:eastAsia="Arial" w:hAnsi="Arial" w:cs="Arial"/>
        </w:rPr>
        <w:t xml:space="preserve">- putem stručnih i za to osposobljenih osoba provoditi istraživanje i praćenje utjecaja na okoliš i prirodu</w:t>
      </w:r>
    </w:p>
    <w:p>
      <w:pPr>
        <w:pBdr/>
        <w:pStyle w:val="Normal"/>
        <w:spacing/>
        <w:ind/>
        <w:rPr>
          <w:rFonts w:ascii="Arial" w:eastAsia="Arial" w:hAnsi="Arial" w:cs="Arial"/>
        </w:rPr>
      </w:pPr>
      <w:r>
        <w:rPr>
          <w:rFonts w:ascii="Arial" w:eastAsia="Arial" w:hAnsi="Arial" w:cs="Arial"/>
        </w:rPr>
        <w:t xml:space="preserve">- sudjelovati u praćenju prirodnih i drugih pojava koje su posljedica onečišćavanja okoliša</w:t>
      </w:r>
    </w:p>
    <w:p>
      <w:pPr>
        <w:pBdr/>
        <w:pStyle w:val="Normal"/>
        <w:spacing/>
        <w:ind/>
        <w:rPr>
          <w:rFonts w:ascii="Arial" w:eastAsia="Arial" w:hAnsi="Arial" w:cs="Arial"/>
        </w:rPr>
      </w:pPr>
      <w:r>
        <w:rPr>
          <w:rFonts w:ascii="Arial" w:eastAsia="Arial" w:hAnsi="Arial" w:cs="Arial"/>
        </w:rPr>
        <w:t xml:space="preserve">- dostavljati podatke i informacije u ISZOP u propisanim razdobljima odnosno rokovima te u formatu i na način koji određuje Ministarstvo odnosno Zavod.</w:t>
      </w:r>
    </w:p>
    <w:p>
      <w:pPr>
        <w:pBdr/>
        <w:pStyle w:val="Normal"/>
        <w:spacing/>
        <w:ind/>
        <w:rPr>
          <w:rFonts w:ascii="Arial" w:eastAsia="Arial" w:hAnsi="Arial" w:cs="Arial"/>
        </w:rPr>
      </w:pPr>
      <w:r>
        <w:rPr>
          <w:rFonts w:ascii="Arial" w:eastAsia="Arial" w:hAnsi="Arial" w:cs="Arial"/>
        </w:rPr>
        <w:t xml:space="preserve">(2) Na zahtjev nositelja zahvata iz stavka 1. ovoga članka ovlaštenik može izraditi operativni program praćenja stanja okoliša  radi bolje primjene i provjere provedbe mjera zaštite okoliša te nadzora nad programom praćenja stanja okoliša te prirode koje proizlaze iz postupaka pred nadležnim tijelima, pri čemu se operativni program usuglašava između nositelja zahvata i nadležnoga tijela. </w:t>
      </w:r>
    </w:p>
    <w:p>
      <w:pPr>
        <w:pBdr/>
        <w:pStyle w:val="Normal"/>
        <w:spacing/>
        <w:ind/>
        <w:rPr>
          <w:rFonts w:ascii="Arial" w:eastAsia="Arial" w:hAnsi="Arial" w:cs="Arial"/>
        </w:rPr>
      </w:pPr>
      <w:r>
        <w:rPr>
          <w:rFonts w:ascii="Arial" w:eastAsia="Arial" w:hAnsi="Arial" w:cs="Arial"/>
        </w:rPr>
        <w:t xml:space="preserve">(3) Nositelj zahvata provodi operativni program iz stavka 2. ovoga članka nakon sklapanja sporazuma s nadležnim tijelom, u suradnji s ovlaštenikom i na vlastiti trošak.</w:t>
      </w:r>
    </w:p>
    <w:p>
      <w:pPr>
        <w:pBdr/>
        <w:pStyle w:val="Normal"/>
        <w:spacing/>
        <w:ind/>
        <w:rPr>
          <w:rFonts w:ascii="Arial" w:eastAsia="Arial" w:hAnsi="Arial" w:cs="Arial"/>
        </w:rPr>
      </w:pPr>
    </w:p>
    <w:p>
      <w:pPr>
        <w:pBdr/>
        <w:pStyle w:val="Heading 2"/>
        <w:spacing/>
        <w:ind/>
        <w:rPr/>
      </w:pPr>
      <w:r>
        <w:rPr/>
        <w:t xml:space="preserve">Registar onečišćavanja okoliša</w:t>
      </w:r>
    </w:p>
    <w:p>
      <w:pPr>
        <w:pBdr/>
        <w:pStyle w:val="Heading 2"/>
        <w:spacing/>
        <w:ind/>
        <w:rPr/>
      </w:pPr>
      <w:r>
        <w:rPr/>
        <w:t xml:space="preserve">Članak 199.</w:t>
      </w:r>
    </w:p>
    <w:p>
      <w:pPr>
        <w:pBdr/>
        <w:pStyle w:val="Normal"/>
        <w:spacing/>
        <w:ind/>
        <w:rPr>
          <w:rFonts w:ascii="Arial" w:eastAsia="Arial" w:hAnsi="Arial" w:cs="Arial"/>
        </w:rPr>
      </w:pPr>
      <w:r>
        <w:rPr>
          <w:rFonts w:ascii="Arial" w:eastAsia="Arial" w:hAnsi="Arial" w:cs="Arial"/>
        </w:rPr>
        <w:t xml:space="preserve">(1) Registar onečišćavanja okoliša je nacionalni registar podataka o izvorima, vrsti, količini, načinu i mjestu ispuštanja, prijenosa i odlaganja onečišćujućih tvari i otpada u okoliš koji se vodi kao sastavni dio ISZOP-</w:t>
      </w:r>
      <w:r>
        <w:rPr>
          <w:rFonts w:ascii="Arial" w:eastAsia="Arial" w:hAnsi="Arial" w:cs="Arial"/>
        </w:rPr>
        <w:t xml:space="preserve">a, a njegovi su podaci dostupni javnosti u otvorenom i strojno čitljivom obliku.</w:t>
      </w:r>
    </w:p>
    <w:p>
      <w:pPr>
        <w:pBdr/>
        <w:pStyle w:val="Normal"/>
        <w:spacing/>
        <w:ind/>
        <w:rPr>
          <w:rFonts w:ascii="Arial" w:eastAsia="Arial" w:hAnsi="Arial" w:cs="Arial"/>
        </w:rPr>
      </w:pPr>
      <w:r>
        <w:rPr>
          <w:rFonts w:ascii="Arial" w:eastAsia="Arial" w:hAnsi="Arial" w:cs="Arial"/>
        </w:rPr>
        <w:t xml:space="preserve">(2) Obveznici dostave podataka u registar iz stavka 1. ovoga članka, uključujući obveznike izvješćivanja prema Uredbi (EU) 2024/1244, dužni su u propisanom roku dostavljati vjerodostojne, točne i ažurne podatke.</w:t>
      </w:r>
    </w:p>
    <w:p>
      <w:pPr>
        <w:pBdr/>
        <w:pStyle w:val="Normal"/>
        <w:spacing/>
        <w:ind/>
        <w:rPr>
          <w:rFonts w:ascii="Arial" w:eastAsia="Arial" w:hAnsi="Arial" w:cs="Arial"/>
        </w:rPr>
      </w:pPr>
      <w:r>
        <w:rPr>
          <w:rFonts w:ascii="Arial" w:eastAsia="Arial" w:hAnsi="Arial" w:cs="Arial"/>
        </w:rPr>
        <w:t xml:space="preserve">(3) Nadležno tijelo u županiji odnosno Gradu Zagreb, u suradnji s nadležnom inspekcijom, provjerava točnost, potpunost, dosljednost i vjerodostojnost dostavljenih podataka te pravodobnost njihove dostave i dostavlja provjerene podatke Ministarstvu odnosno Zavodu, koje osigurava redovitu provjeru valjanosti podataka i njihovu usklađenost s europskim sustavima izvješćivanja.</w:t>
      </w:r>
    </w:p>
    <w:p>
      <w:pPr>
        <w:pBdr/>
        <w:pStyle w:val="Normal"/>
        <w:spacing/>
        <w:ind/>
        <w:rPr>
          <w:rFonts w:ascii="Arial" w:eastAsia="Arial" w:hAnsi="Arial" w:cs="Arial"/>
        </w:rPr>
      </w:pPr>
      <w:r>
        <w:rPr>
          <w:rFonts w:ascii="Arial" w:eastAsia="Arial" w:hAnsi="Arial" w:cs="Arial"/>
        </w:rPr>
        <w:t xml:space="preserve">(4) Sadržaj i način vođenja registra iz stavka 1. ovoga članka, obveznike dostave podataka koji nisu određeni Uredbom (EU) 2024/1244, način i rokove dostave podataka i informacija, metodologiju i tehničke zahtjeve za njihovu dostavu, postupak provjere kvalitete i ispravka podataka, način postupanja s podacima kojima je ograničena javna dostupnost te način informiranja javnosti pobliže propisuje ministar pravilnikom, u skladu s Uredbom (EU) 2024/1244 i aktima donesenima na temelju te Uredbe.</w:t>
      </w:r>
    </w:p>
    <w:p>
      <w:pPr>
        <w:pBdr/>
        <w:pStyle w:val="Normal"/>
        <w:spacing/>
        <w:ind/>
        <w:rPr>
          <w:rFonts w:ascii="Arial" w:eastAsia="Arial" w:hAnsi="Arial" w:cs="Arial"/>
        </w:rPr>
      </w:pPr>
    </w:p>
    <w:p>
      <w:pPr>
        <w:pBdr/>
        <w:pStyle w:val="Heading 2"/>
        <w:spacing/>
        <w:ind/>
        <w:rPr/>
      </w:pPr>
      <w:r>
        <w:rPr/>
        <w:t xml:space="preserve">Članak 200.</w:t>
      </w:r>
    </w:p>
    <w:p>
      <w:pPr>
        <w:pBdr/>
        <w:pStyle w:val="Normal"/>
        <w:spacing/>
        <w:ind/>
        <w:rPr>
          <w:rFonts w:ascii="Arial" w:eastAsia="Arial" w:hAnsi="Arial" w:cs="Arial"/>
        </w:rPr>
      </w:pPr>
      <w:r>
        <w:rPr>
          <w:rFonts w:ascii="Arial" w:eastAsia="Arial" w:hAnsi="Arial" w:cs="Arial"/>
        </w:rPr>
        <w:t xml:space="preserve">(1) Ovlašteni laboratorij dužan je izravno unositi u ISZOP podatke o rezultatima praćenja emisija iz postrojenja, izvješća o praćenju te podatke iz očevidnika koje je operater dužan voditi u skladu s okolišnom dozvolom odnosno rješenjem o registraciji, u rokovima propisanima posebnim propisima kojima se uređuje zaštita pojedinih sastavnica okoliša te u skladu s uvjetima okolišne dozvole odnosno rješenja o registraciji.</w:t>
      </w:r>
    </w:p>
    <w:p>
      <w:pPr>
        <w:pBdr/>
        <w:pStyle w:val="Normal"/>
        <w:spacing/>
        <w:ind/>
        <w:rPr>
          <w:rFonts w:ascii="Arial" w:eastAsia="Arial" w:hAnsi="Arial" w:cs="Arial"/>
        </w:rPr>
      </w:pPr>
      <w:r>
        <w:rPr>
          <w:rFonts w:ascii="Arial" w:eastAsia="Arial" w:hAnsi="Arial" w:cs="Arial"/>
        </w:rPr>
        <w:t xml:space="preserve">(2) Ovlašteni laboratorij odgovoran je za pravodobnost i potpunost unosa podataka u ISZOP te vjerodostojnost i točnost rezultata mjerenja, a operater za pravodobno osiguravanje provedbe praćenja.</w:t>
      </w:r>
    </w:p>
    <w:p>
      <w:pPr>
        <w:pBdr/>
        <w:pStyle w:val="Normal"/>
        <w:spacing/>
        <w:ind/>
        <w:rPr>
          <w:rFonts w:ascii="Arial" w:eastAsia="Arial" w:hAnsi="Arial" w:cs="Arial"/>
        </w:rPr>
      </w:pPr>
      <w:r>
        <w:rPr>
          <w:rFonts w:ascii="Arial" w:eastAsia="Arial" w:hAnsi="Arial" w:cs="Arial"/>
        </w:rPr>
        <w:t xml:space="preserve">(3) Nadležna tijela u županiji odnosno Gradu Zagrebu i inspekcija zaštite okoliša imaju neprekidan i besplatan pristup podacima iz ovoga članka putem ISZOP-</w:t>
      </w:r>
      <w:r>
        <w:rPr>
          <w:rFonts w:ascii="Arial" w:eastAsia="Arial" w:hAnsi="Arial" w:cs="Arial"/>
        </w:rPr>
        <w:t xml:space="preserve">a radi obavljanja poslova iz svoje nadležnosti.</w:t>
      </w:r>
    </w:p>
    <w:p>
      <w:pPr>
        <w:pBdr/>
        <w:pStyle w:val="Normal"/>
        <w:spacing/>
        <w:ind/>
        <w:rPr>
          <w:rFonts w:ascii="Arial" w:eastAsia="Arial" w:hAnsi="Arial" w:cs="Arial"/>
        </w:rPr>
      </w:pPr>
    </w:p>
    <w:p>
      <w:pPr>
        <w:pBdr/>
        <w:pStyle w:val="Heading 2"/>
        <w:spacing/>
        <w:ind/>
        <w:rPr/>
      </w:pPr>
      <w:r>
        <w:rPr/>
        <w:t xml:space="preserve">Članak 201.</w:t>
      </w:r>
    </w:p>
    <w:p>
      <w:pPr>
        <w:pBdr/>
        <w:pStyle w:val="Normal"/>
        <w:spacing/>
        <w:ind/>
        <w:rPr>
          <w:rFonts w:ascii="Arial" w:eastAsia="Arial" w:hAnsi="Arial" w:cs="Arial"/>
        </w:rPr>
      </w:pPr>
      <w:r>
        <w:rPr>
          <w:rFonts w:ascii="Arial" w:eastAsia="Arial" w:hAnsi="Arial" w:cs="Arial"/>
        </w:rPr>
        <w:t xml:space="preserve">(1) Županija odnosno Grad Zagreb dužni su na svojem području osigurati mjerenje imisija u slučaju onečišćenja okoliša kada je onečišćivač nepoznat te  praćenje stanja okoliša i učinaka sanacijskih mjera kada im je posebnim aktom odnosno propisom utvrđena obveza provedbe sanacijskog programa, kao i sredstva za navedene poslove.  </w:t>
      </w:r>
    </w:p>
    <w:p>
      <w:pPr>
        <w:pBdr/>
        <w:pStyle w:val="Normal"/>
        <w:spacing/>
        <w:ind/>
        <w:rPr>
          <w:rFonts w:ascii="Arial" w:eastAsia="Arial" w:hAnsi="Arial" w:cs="Arial"/>
        </w:rPr>
      </w:pPr>
      <w:r>
        <w:rPr>
          <w:rFonts w:ascii="Arial" w:eastAsia="Arial" w:hAnsi="Arial" w:cs="Arial"/>
        </w:rPr>
        <w:t xml:space="preserve">(2) Nadležno upravno tijelo u županiji odnosno Gradu Zagrebu vodi propisani očevidnik o praćenju stanja okoliša iz stavka 1. ovoga članka te podatke iz očevidnika dostavlja Ministarstvu u propisanim rokovima.</w:t>
      </w:r>
    </w:p>
    <w:p>
      <w:pPr>
        <w:pBdr/>
        <w:pStyle w:val="Normal"/>
        <w:spacing/>
        <w:ind/>
        <w:rPr>
          <w:rFonts w:ascii="Arial" w:eastAsia="Arial" w:hAnsi="Arial" w:cs="Arial"/>
        </w:rPr>
      </w:pPr>
    </w:p>
    <w:p>
      <w:pPr>
        <w:pBdr/>
        <w:pStyle w:val="Heading 2"/>
        <w:spacing/>
        <w:ind/>
        <w:rPr/>
      </w:pPr>
      <w:r>
        <w:rPr/>
        <w:t xml:space="preserve">Izvlaštenje i ograničenje vlasničkog i drugih stvarnih prava radi praćenja stanja okoliša</w:t>
      </w:r>
    </w:p>
    <w:p>
      <w:pPr>
        <w:pBdr/>
        <w:pStyle w:val="Heading 2"/>
        <w:spacing/>
        <w:ind/>
        <w:rPr/>
      </w:pPr>
      <w:r>
        <w:rPr/>
        <w:t xml:space="preserve">Članak 202.</w:t>
      </w:r>
    </w:p>
    <w:p>
      <w:pPr>
        <w:pBdr/>
        <w:pStyle w:val="Normal"/>
        <w:spacing/>
        <w:ind/>
        <w:rPr>
          <w:rFonts w:ascii="Arial" w:eastAsia="Arial" w:hAnsi="Arial" w:cs="Arial"/>
        </w:rPr>
      </w:pPr>
      <w:r>
        <w:rPr>
          <w:rFonts w:ascii="Arial" w:eastAsia="Arial" w:hAnsi="Arial" w:cs="Arial"/>
        </w:rPr>
        <w:t xml:space="preserve">(1) Ako je radi praćenja stanja okoliša nužno postaviti objekte, mjerne uređaje odnosno opremu na nekretninama smatra se da postoji interes Republike Hrvatske za izvlaštenje ili ograničenje vlasničkih i drugih stvarnih prava na nekretninama. </w:t>
      </w:r>
    </w:p>
    <w:p>
      <w:pPr>
        <w:pBdr/>
        <w:pStyle w:val="Normal"/>
        <w:spacing/>
        <w:ind/>
        <w:rPr>
          <w:rFonts w:ascii="Arial" w:eastAsia="Arial" w:hAnsi="Arial" w:cs="Arial"/>
        </w:rPr>
      </w:pPr>
      <w:r>
        <w:rPr>
          <w:rFonts w:ascii="Arial" w:eastAsia="Arial" w:hAnsi="Arial" w:cs="Arial"/>
        </w:rPr>
        <w:t xml:space="preserve">(2) Vlasnik nekretnine ima pravo na naknadu tržišne vrijednosti izvlaštenog dijela nekretnine odnosno dijela nekretnine na kojem se ograničavaju vlasnička i druga stvarna prava iz razloga navedenih u stavku 1. ovoga članka, a postupak izvlaštenja odnosno ograničenja tih prava provodi se u skladu s posebnim propisom o izvlaštenju.  </w:t>
      </w:r>
    </w:p>
    <w:p>
      <w:pPr>
        <w:pBdr/>
        <w:pStyle w:val="Normal"/>
        <w:spacing/>
        <w:ind/>
        <w:rPr>
          <w:rFonts w:ascii="Arial" w:eastAsia="Arial" w:hAnsi="Arial" w:cs="Arial"/>
        </w:rPr>
      </w:pPr>
      <w:r>
        <w:rPr>
          <w:rFonts w:ascii="Arial" w:eastAsia="Arial" w:hAnsi="Arial" w:cs="Arial"/>
        </w:rPr>
        <w:t xml:space="preserve">(3) Ovlaštenik je dužan za praćenje stanja okoliša u pravilu koristiti zemljište u vlasništvu Republike Hrvatske ili jedinice lokalne ili područne (regionalne) samouprave, ovisno o području na kojem se praćenje provodi, te odabrati zemljište na kojem se najmanje ometa njegova redovita namjena. </w:t>
      </w:r>
    </w:p>
    <w:p>
      <w:pPr>
        <w:pBdr/>
        <w:pStyle w:val="Normal"/>
        <w:spacing/>
        <w:ind/>
        <w:rPr>
          <w:rFonts w:ascii="Arial" w:eastAsia="Arial" w:hAnsi="Arial" w:cs="Arial"/>
        </w:rPr>
      </w:pPr>
      <w:r>
        <w:rPr>
          <w:rFonts w:ascii="Arial" w:eastAsia="Arial" w:hAnsi="Arial" w:cs="Arial"/>
        </w:rPr>
        <w:t xml:space="preserve">(4) Pri izvođenju radova na postavljanju objekta, odnosno mjernih uređaja i opreme iz stavka 1. ovoga članka ovlaštenik je dužan u najmanjoj mogućoj mjeri utjecati na korištenje zemljišta te nakon obavljenih poslova uspostaviti prvobitno stanje.</w:t>
      </w:r>
    </w:p>
    <w:p>
      <w:pPr>
        <w:pBdr/>
        <w:pStyle w:val="Normal"/>
        <w:spacing/>
        <w:ind/>
        <w:rPr>
          <w:rFonts w:ascii="Arial" w:eastAsia="Arial" w:hAnsi="Arial" w:cs="Arial"/>
        </w:rPr>
      </w:pPr>
      <w:r>
        <w:rPr>
          <w:rFonts w:ascii="Arial" w:eastAsia="Arial" w:hAnsi="Arial" w:cs="Arial"/>
        </w:rPr>
        <w:t xml:space="preserve">(5) Ovlaštenik je dužan radi korištenja zemljišta sklopiti ugovor s Republikom Hrvatskom odnosno osobama javnog prava iz stavka 3. ovoga članka ili osobom koja upravlja njihovom imovinom, a vlasnici zemljišta ili osobe koje upravljaju njihovom imovinom  dužni su omogućiti sklapanje ugovora u što kraćem roku.</w:t>
      </w:r>
    </w:p>
    <w:p>
      <w:pPr>
        <w:pBdr/>
        <w:pStyle w:val="Normal"/>
        <w:spacing/>
        <w:ind/>
        <w:rPr>
          <w:rFonts w:ascii="Arial" w:eastAsia="Arial" w:hAnsi="Arial" w:cs="Arial"/>
        </w:rPr>
      </w:pPr>
      <w:r>
        <w:rPr>
          <w:rFonts w:ascii="Arial" w:eastAsia="Arial" w:hAnsi="Arial" w:cs="Arial"/>
        </w:rPr>
        <w:t xml:space="preserve">(6) Ako nekretnine iz stavka 1. ovoga članka imaju vojnu namjenu, postavljanje objekata,  mjernih uređaja odnosno opreme za potrebe praćenja stanja okoliša uredit će se u skladu s posebnim propisom iz područja obrane. </w:t>
      </w:r>
    </w:p>
    <w:p>
      <w:pPr>
        <w:pBdr/>
        <w:pStyle w:val="Normal"/>
        <w:spacing/>
        <w:ind/>
        <w:rPr>
          <w:rFonts w:ascii="Arial" w:eastAsia="Arial" w:hAnsi="Arial" w:cs="Arial"/>
        </w:rPr>
      </w:pPr>
      <w:r>
        <w:rPr>
          <w:rFonts w:ascii="Arial" w:eastAsia="Arial" w:hAnsi="Arial" w:cs="Arial"/>
        </w:rPr>
        <w:t xml:space="preserve">(7) Ako je za praćenje stanja okoliša potrebno postaviti objekt odnosno uređaj na pomorskom dobru, ovlaštenik je dužan ishoditi koncesiju za posebnu upotrebu sukladno odredbama posebnog propisa kojim se uređuje pomorsko dobro.</w:t>
      </w:r>
    </w:p>
    <w:p>
      <w:pPr>
        <w:pBdr/>
        <w:pStyle w:val="Normal"/>
        <w:spacing/>
        <w:ind/>
        <w:rPr>
          <w:rFonts w:ascii="Arial" w:eastAsia="Arial" w:hAnsi="Arial" w:cs="Arial"/>
        </w:rPr>
      </w:pPr>
    </w:p>
    <w:p>
      <w:pPr>
        <w:pBdr/>
        <w:pStyle w:val="Heading 2"/>
        <w:spacing/>
        <w:ind/>
        <w:rPr/>
      </w:pPr>
      <w:r>
        <w:rPr/>
        <w:t xml:space="preserve">Referentni centri za okoliš</w:t>
      </w:r>
    </w:p>
    <w:p>
      <w:pPr>
        <w:pBdr/>
        <w:pStyle w:val="Heading 2"/>
        <w:spacing/>
        <w:ind/>
        <w:rPr/>
      </w:pPr>
      <w:r>
        <w:rPr/>
        <w:t xml:space="preserve">Članak 203.</w:t>
      </w:r>
    </w:p>
    <w:p>
      <w:pPr>
        <w:pBdr/>
        <w:pStyle w:val="Normal"/>
        <w:spacing/>
        <w:ind/>
        <w:rPr>
          <w:rFonts w:ascii="Arial" w:eastAsia="Arial" w:hAnsi="Arial" w:cs="Arial"/>
        </w:rPr>
      </w:pPr>
      <w:r>
        <w:rPr>
          <w:rFonts w:ascii="Arial" w:eastAsia="Arial" w:hAnsi="Arial" w:cs="Arial"/>
        </w:rPr>
        <w:t xml:space="preserve">(1) Referentni centri mogu se odrediti za jedno ili više tematskih područja zaštite okoliša, a potrebu za njihovim određivanjem utvrđuje Ministarstvo i/ili Zavod, uzimajući u obzir nacionalne potrebe i europsku praksu.</w:t>
      </w:r>
    </w:p>
    <w:p>
      <w:pPr>
        <w:pBdr/>
        <w:pStyle w:val="Normal"/>
        <w:spacing/>
        <w:ind/>
        <w:rPr>
          <w:rFonts w:ascii="Arial" w:eastAsia="Arial" w:hAnsi="Arial" w:cs="Arial"/>
        </w:rPr>
      </w:pPr>
      <w:r>
        <w:rPr>
          <w:rFonts w:ascii="Arial" w:eastAsia="Arial" w:hAnsi="Arial" w:cs="Arial"/>
        </w:rPr>
        <w:t xml:space="preserve">(2) Referentni centri u tematskim područjima za koja su određeni:</w:t>
      </w:r>
    </w:p>
    <w:p>
      <w:pPr>
        <w:pBdr/>
        <w:pStyle w:val="Normal"/>
        <w:spacing/>
        <w:ind/>
        <w:rPr>
          <w:rFonts w:ascii="Arial" w:eastAsia="Arial" w:hAnsi="Arial" w:cs="Arial"/>
        </w:rPr>
      </w:pPr>
      <w:r>
        <w:rPr>
          <w:rFonts w:ascii="Arial" w:eastAsia="Arial" w:hAnsi="Arial" w:cs="Arial"/>
        </w:rPr>
        <w:t xml:space="preserve">- provode kontinuirano ili povremeno praćenje stanja okoliša i utvrđuju stanje okoliša</w:t>
      </w:r>
    </w:p>
    <w:p>
      <w:pPr>
        <w:pBdr/>
        <w:pStyle w:val="Normal"/>
        <w:spacing/>
        <w:ind/>
        <w:rPr>
          <w:rFonts w:ascii="Arial" w:eastAsia="Arial" w:hAnsi="Arial" w:cs="Arial"/>
        </w:rPr>
      </w:pPr>
      <w:r>
        <w:rPr>
          <w:rFonts w:ascii="Arial" w:eastAsia="Arial" w:hAnsi="Arial" w:cs="Arial"/>
        </w:rPr>
        <w:t xml:space="preserve">- pružaju znanstvenu i/ili </w:t>
      </w:r>
      <w:bookmarkStart w:name="_Int_an44TVMh" w:id="11"/>
      <w:r>
        <w:rPr>
          <w:rFonts w:ascii="Arial" w:eastAsia="Arial" w:hAnsi="Arial" w:cs="Arial"/>
        </w:rPr>
        <w:t xml:space="preserve">tehničku</w:t>
      </w:r>
      <w:bookmarkEnd w:id="11"/>
      <w:r>
        <w:rPr>
          <w:rFonts w:ascii="Arial" w:eastAsia="Arial" w:hAnsi="Arial" w:cs="Arial"/>
        </w:rPr>
        <w:t xml:space="preserve"> podršku za potrebe praćenja stanja okoliša</w:t>
      </w:r>
    </w:p>
    <w:p>
      <w:pPr>
        <w:pBdr/>
        <w:pStyle w:val="Normal"/>
        <w:spacing/>
        <w:ind/>
        <w:rPr>
          <w:rFonts w:ascii="Arial" w:eastAsia="Arial" w:hAnsi="Arial" w:cs="Arial"/>
        </w:rPr>
      </w:pPr>
      <w:r>
        <w:rPr>
          <w:rFonts w:ascii="Arial" w:eastAsia="Arial" w:hAnsi="Arial" w:cs="Arial"/>
        </w:rPr>
        <w:t xml:space="preserve">- pružaju znanstvene i stručne podloge za  usmjeravanje politike zaštite okoliša, održivog razvoja i zelene tranzicije.</w:t>
      </w:r>
    </w:p>
    <w:p>
      <w:pPr>
        <w:pBdr/>
        <w:pStyle w:val="Normal"/>
        <w:spacing/>
        <w:ind/>
        <w:rPr>
          <w:rFonts w:ascii="Arial" w:eastAsia="Arial" w:hAnsi="Arial" w:cs="Arial"/>
        </w:rPr>
      </w:pPr>
    </w:p>
    <w:p>
      <w:pPr>
        <w:pBdr/>
        <w:pStyle w:val="Heading 2"/>
        <w:spacing/>
        <w:ind/>
        <w:rPr/>
      </w:pPr>
      <w:r>
        <w:rPr/>
        <w:t xml:space="preserve">Postupak određivanja referentnih centara</w:t>
      </w:r>
    </w:p>
    <w:p>
      <w:pPr>
        <w:pBdr/>
        <w:pStyle w:val="Heading 2"/>
        <w:spacing/>
        <w:ind/>
        <w:rPr/>
      </w:pPr>
      <w:r>
        <w:rPr/>
        <w:t xml:space="preserve">Članak 204.</w:t>
      </w:r>
    </w:p>
    <w:p>
      <w:pPr>
        <w:pBdr/>
        <w:pStyle w:val="Normal"/>
        <w:spacing/>
        <w:ind/>
        <w:rPr>
          <w:rFonts w:ascii="Arial" w:eastAsia="Arial" w:hAnsi="Arial" w:cs="Arial"/>
        </w:rPr>
      </w:pPr>
      <w:r>
        <w:rPr>
          <w:rFonts w:ascii="Arial" w:eastAsia="Arial" w:hAnsi="Arial" w:cs="Arial"/>
        </w:rPr>
        <w:t xml:space="preserve">(1) Referentni centri određuju se iz redova javnih ustanova i znanstvenih institucija Republike Hrvatske na temelju međuinstitucijske suradnje.</w:t>
      </w:r>
    </w:p>
    <w:p>
      <w:pPr>
        <w:pBdr/>
        <w:pStyle w:val="Normal"/>
        <w:spacing/>
        <w:ind/>
        <w:rPr>
          <w:rFonts w:ascii="Arial" w:eastAsia="Arial" w:hAnsi="Arial" w:cs="Arial"/>
        </w:rPr>
      </w:pPr>
      <w:r>
        <w:rPr>
          <w:rFonts w:ascii="Arial" w:eastAsia="Arial" w:hAnsi="Arial" w:cs="Arial"/>
        </w:rPr>
        <w:t xml:space="preserve">(2) Pravna osoba koja se određuje referentnim centrom mora imati registriranu znanstveno-istraživačku djelatnost te ispunjavati tehničke, kadrovske, materijalne i administrativne uvjete za obavljanje poslova ispitivanja, analiziranja, tumačenja i ocjene stanja parametara u tematskom području za koje se određuje, uključujući potrebna ovlaštenja i akreditacije nadležnih tijela.</w:t>
      </w:r>
    </w:p>
    <w:p>
      <w:pPr>
        <w:pBdr/>
        <w:pStyle w:val="Normal"/>
        <w:spacing/>
        <w:ind/>
        <w:rPr>
          <w:rFonts w:ascii="Arial" w:eastAsia="Arial" w:hAnsi="Arial" w:cs="Arial"/>
        </w:rPr>
      </w:pPr>
      <w:r>
        <w:rPr>
          <w:rFonts w:ascii="Arial" w:eastAsia="Arial" w:hAnsi="Arial" w:cs="Arial"/>
        </w:rPr>
        <w:t xml:space="preserve">(3) Ministarstvo odnosno Zavod objavljuje poziv za iskaz interesa javnim ustanovama i znanstvenim institucijama koje ispunjavaju uvjete iz stavka 2. ovoga članka i mogu dokazati sposobnost obavljanja poslova iz članka 203. ovoga Zakona, uz koji se objavljuje popis poslova i zadataka referentnog centra s vremenskim okvirom očekivanih rezultata.</w:t>
      </w:r>
    </w:p>
    <w:p>
      <w:pPr>
        <w:pBdr/>
        <w:pStyle w:val="Normal"/>
        <w:spacing/>
        <w:ind/>
        <w:rPr>
          <w:rFonts w:ascii="Arial" w:eastAsia="Arial" w:hAnsi="Arial" w:cs="Arial"/>
        </w:rPr>
      </w:pPr>
      <w:r>
        <w:rPr>
          <w:rFonts w:ascii="Arial" w:eastAsia="Arial" w:hAnsi="Arial" w:cs="Arial"/>
        </w:rPr>
        <w:t xml:space="preserve">(4) Iskaz interesa mora sadržavati dokaze o ispunjavanju uvjeta iz stavka 2. ovoga članka i procjenu sredstava potrebnih za obavljanje poslova i zadataka iz stavka 3. ovoga članka.</w:t>
      </w:r>
    </w:p>
    <w:p>
      <w:pPr>
        <w:pBdr/>
        <w:pStyle w:val="Normal"/>
        <w:spacing/>
        <w:ind/>
        <w:rPr>
          <w:rFonts w:ascii="Arial" w:eastAsia="Arial" w:hAnsi="Arial" w:cs="Arial"/>
        </w:rPr>
      </w:pPr>
      <w:r>
        <w:rPr>
          <w:rFonts w:ascii="Arial" w:eastAsia="Arial" w:hAnsi="Arial" w:cs="Arial"/>
        </w:rPr>
        <w:t xml:space="preserve">(5) Nakon što Ministarstvo provjeri vjerodostojnost dostavljenih iskaza interesa, Vlada na prijedlog Ministarstva odlukom određuje referentni centar, a Ministarstvo i Zavod objavljuju informaciju o njegovu određivanju na svojim mrežnim stranicama.</w:t>
      </w:r>
    </w:p>
    <w:p>
      <w:pPr>
        <w:pBdr/>
        <w:pStyle w:val="Normal"/>
        <w:spacing/>
        <w:ind/>
        <w:rPr>
          <w:rFonts w:ascii="Arial" w:eastAsia="Arial" w:hAnsi="Arial" w:cs="Arial"/>
        </w:rPr>
      </w:pPr>
    </w:p>
    <w:p>
      <w:pPr>
        <w:pBdr/>
        <w:pStyle w:val="Heading 2"/>
        <w:spacing/>
        <w:ind/>
        <w:rPr/>
      </w:pPr>
      <w:r>
        <w:rPr/>
        <w:t xml:space="preserve">Sastav referentnog centra</w:t>
      </w:r>
    </w:p>
    <w:p>
      <w:pPr>
        <w:pBdr/>
        <w:pStyle w:val="Heading 2"/>
        <w:spacing/>
        <w:ind/>
        <w:rPr/>
      </w:pPr>
      <w:r>
        <w:rPr/>
        <w:t xml:space="preserve">Članak 205.</w:t>
      </w:r>
    </w:p>
    <w:p>
      <w:pPr>
        <w:pBdr/>
        <w:pStyle w:val="Normal"/>
        <w:spacing/>
        <w:ind/>
        <w:rPr>
          <w:rFonts w:ascii="Arial" w:eastAsia="Arial" w:hAnsi="Arial" w:cs="Arial"/>
        </w:rPr>
      </w:pPr>
      <w:r>
        <w:rPr>
          <w:rFonts w:ascii="Arial" w:eastAsia="Arial" w:hAnsi="Arial" w:cs="Arial"/>
        </w:rPr>
        <w:t xml:space="preserve">(1) Referentni centar može činiti jedna institucija ili zajednica institucija koje zajednički raspolažu potrebnim znanjem, iskustvom i kapacitetima.</w:t>
      </w:r>
    </w:p>
    <w:p>
      <w:pPr>
        <w:pBdr/>
        <w:pStyle w:val="Normal"/>
        <w:spacing/>
        <w:ind/>
        <w:rPr>
          <w:rFonts w:ascii="Arial" w:eastAsia="Arial" w:hAnsi="Arial" w:cs="Arial"/>
        </w:rPr>
      </w:pPr>
      <w:r>
        <w:rPr>
          <w:rFonts w:ascii="Arial" w:eastAsia="Arial" w:hAnsi="Arial" w:cs="Arial"/>
        </w:rPr>
        <w:t xml:space="preserve">(2) Ako referentni centar čini zajednica institucija, te institucije sklapaju sporazum kojim uređuju međusobna prava i obveze, način odlučivanja te podjelu poslova i odgovornosti u radu referentnog centra.</w:t>
      </w:r>
    </w:p>
    <w:p>
      <w:pPr>
        <w:pBdr/>
        <w:pStyle w:val="Normal"/>
        <w:spacing/>
        <w:ind/>
        <w:rPr>
          <w:rFonts w:ascii="Arial" w:eastAsia="Arial" w:hAnsi="Arial" w:cs="Arial"/>
        </w:rPr>
      </w:pPr>
    </w:p>
    <w:p>
      <w:pPr>
        <w:pBdr/>
        <w:pStyle w:val="Heading 2"/>
        <w:spacing/>
        <w:ind/>
        <w:rPr/>
      </w:pPr>
      <w:r>
        <w:rPr/>
        <w:t xml:space="preserve">Standardi kvalitete i interoperabilnost podataka</w:t>
      </w:r>
    </w:p>
    <w:p>
      <w:pPr>
        <w:pBdr/>
        <w:pStyle w:val="Heading 2"/>
        <w:spacing/>
        <w:ind/>
        <w:rPr/>
      </w:pPr>
      <w:r>
        <w:rPr/>
        <w:t xml:space="preserve">Članak 206.</w:t>
      </w:r>
    </w:p>
    <w:p>
      <w:pPr>
        <w:pBdr/>
        <w:pStyle w:val="Normal"/>
        <w:spacing/>
        <w:ind/>
        <w:rPr>
          <w:rFonts w:ascii="Arial" w:eastAsia="Arial" w:hAnsi="Arial" w:cs="Arial"/>
        </w:rPr>
      </w:pPr>
      <w:r>
        <w:rPr>
          <w:rFonts w:ascii="Arial" w:eastAsia="Arial" w:hAnsi="Arial" w:cs="Arial"/>
        </w:rPr>
        <w:t xml:space="preserve">(1) Referentni centri dužni su u tematskom području za koje su određeni provoditi praćenje stanja okoliša te prikupljati, obrađivati, dostavljati podatke u ISZOP i razmjenjivati ih putem ISZOP-</w:t>
      </w:r>
      <w:r>
        <w:rPr>
          <w:rFonts w:ascii="Arial" w:eastAsia="Arial" w:hAnsi="Arial" w:cs="Arial"/>
        </w:rPr>
        <w:t xml:space="preserve">a u skladu s metodološkim smjernicama, standardima interoperabilnosti i zahtjevima kvalitete podataka koje određuju Ministarstvo i Zavod.</w:t>
      </w:r>
    </w:p>
    <w:p>
      <w:pPr>
        <w:pBdr/>
        <w:pStyle w:val="Normal"/>
        <w:spacing/>
        <w:ind/>
        <w:rPr>
          <w:rFonts w:ascii="Arial" w:eastAsia="Arial" w:hAnsi="Arial" w:cs="Arial"/>
        </w:rPr>
      </w:pPr>
      <w:r>
        <w:rPr>
          <w:rFonts w:ascii="Arial" w:eastAsia="Arial" w:hAnsi="Arial" w:cs="Arial"/>
        </w:rPr>
        <w:t xml:space="preserve">(2) Referentni centri dužni su osigurati otvoreni pristup podacima istraživanja provedenih pri obavljanju poslova iz stavka 1. ovoga članka u skladu s načelima jednostavnog pronalaženja, dostupnosti, interoperabilnosti i ponovne upotrebljivosti istraživačkih podataka, osim kada je pristup ograničen posebnim propisima o zaštiti osobnih podataka.</w:t>
      </w:r>
    </w:p>
    <w:p>
      <w:pPr>
        <w:pBdr/>
        <w:pStyle w:val="Normal"/>
        <w:spacing/>
        <w:ind/>
        <w:rPr>
          <w:rFonts w:ascii="Arial" w:eastAsia="Arial" w:hAnsi="Arial" w:cs="Arial"/>
        </w:rPr>
      </w:pPr>
    </w:p>
    <w:p>
      <w:pPr>
        <w:pBdr/>
        <w:pStyle w:val="Heading 2"/>
        <w:spacing/>
        <w:ind/>
        <w:rPr/>
      </w:pPr>
      <w:r>
        <w:rPr/>
        <w:t xml:space="preserve">Plan rada i evaluacija</w:t>
      </w:r>
    </w:p>
    <w:p>
      <w:pPr>
        <w:pBdr/>
        <w:pStyle w:val="Heading 2"/>
        <w:spacing/>
        <w:ind/>
        <w:rPr/>
      </w:pPr>
      <w:r>
        <w:rPr/>
        <w:t xml:space="preserve">Članak 207.</w:t>
      </w:r>
    </w:p>
    <w:p>
      <w:pPr>
        <w:pBdr/>
        <w:pStyle w:val="Normal"/>
        <w:spacing/>
        <w:ind/>
        <w:rPr>
          <w:rFonts w:ascii="Arial" w:eastAsia="Arial" w:hAnsi="Arial" w:cs="Arial"/>
        </w:rPr>
      </w:pPr>
      <w:r>
        <w:rPr>
          <w:rFonts w:ascii="Arial" w:eastAsia="Arial" w:hAnsi="Arial" w:cs="Arial"/>
        </w:rPr>
        <w:t xml:space="preserve">(1) Referentni centar određuje se na razdoblje od najviše deset godina.</w:t>
      </w:r>
    </w:p>
    <w:p>
      <w:pPr>
        <w:pBdr/>
        <w:pStyle w:val="Normal"/>
        <w:spacing/>
        <w:ind/>
        <w:rPr>
          <w:rFonts w:ascii="Arial" w:eastAsia="Arial" w:hAnsi="Arial" w:cs="Arial"/>
        </w:rPr>
      </w:pPr>
      <w:r>
        <w:rPr>
          <w:rFonts w:ascii="Arial" w:eastAsia="Arial" w:hAnsi="Arial" w:cs="Arial"/>
        </w:rPr>
        <w:t xml:space="preserve">(2) Referentni centar dužan je u roku od tri mjeseca od dana donošenja odluke o njegovu određivanju izraditi višegodišnji plan rada usklađen s potrebama iskazanim u pozivu za iskaz interesa iz članka 204. stavka 3. ovoga Zakona te nacionalnim i europskim strateškim dokumentima.</w:t>
      </w:r>
    </w:p>
    <w:p>
      <w:pPr>
        <w:pBdr/>
        <w:pStyle w:val="Normal"/>
        <w:spacing/>
        <w:ind/>
        <w:rPr>
          <w:rFonts w:ascii="Arial" w:eastAsia="Arial" w:hAnsi="Arial" w:cs="Arial"/>
        </w:rPr>
      </w:pPr>
      <w:r>
        <w:rPr>
          <w:rFonts w:ascii="Arial" w:eastAsia="Arial" w:hAnsi="Arial" w:cs="Arial"/>
        </w:rPr>
        <w:t xml:space="preserve">(3) Ministarstvo odnosno Zavod vrednuju  rad referentnih centara najmanje jednom godišnje prema unaprijed utvrđenim kriterijima učinkovitosti, kvalitete ili pravodobnosti ispunjavanja obveza.</w:t>
      </w:r>
    </w:p>
    <w:p>
      <w:pPr>
        <w:pBdr/>
        <w:pStyle w:val="Normal"/>
        <w:spacing/>
        <w:ind/>
        <w:rPr>
          <w:rFonts w:ascii="Arial" w:eastAsia="Arial" w:hAnsi="Arial" w:cs="Arial"/>
        </w:rPr>
      </w:pPr>
    </w:p>
    <w:p>
      <w:pPr>
        <w:pBdr/>
        <w:pStyle w:val="Heading 2"/>
        <w:spacing/>
        <w:ind/>
        <w:rPr/>
      </w:pPr>
      <w:r>
        <w:rPr/>
        <w:t xml:space="preserve">Financiranje rada Referentnih centara</w:t>
      </w:r>
    </w:p>
    <w:p>
      <w:pPr>
        <w:pBdr/>
        <w:pStyle w:val="Heading 2"/>
        <w:spacing/>
        <w:ind/>
        <w:rPr/>
      </w:pPr>
      <w:r>
        <w:rPr/>
        <w:t xml:space="preserve">Članak 208.</w:t>
      </w:r>
    </w:p>
    <w:p>
      <w:pPr>
        <w:pBdr/>
        <w:pStyle w:val="Normal"/>
        <w:spacing/>
        <w:ind/>
        <w:rPr>
          <w:rFonts w:ascii="Arial" w:eastAsia="Arial" w:hAnsi="Arial" w:cs="Arial"/>
        </w:rPr>
      </w:pPr>
      <w:r>
        <w:rPr>
          <w:rFonts w:ascii="Arial" w:eastAsia="Arial" w:hAnsi="Arial" w:cs="Arial"/>
        </w:rPr>
        <w:t xml:space="preserve">(1) Sredstva za rad referentnih centara osiguravaju se iz državnog proračuna na temelju prihvaćenih godišnjih planova rada, uz mogućnost sufinanciranja iz fondova Europske unije i drugih međunarodnih izvora.</w:t>
      </w:r>
    </w:p>
    <w:p>
      <w:pPr>
        <w:pBdr/>
        <w:pStyle w:val="Normal"/>
        <w:spacing/>
        <w:ind/>
        <w:rPr>
          <w:rFonts w:ascii="Arial" w:eastAsia="Arial" w:hAnsi="Arial" w:cs="Arial"/>
        </w:rPr>
      </w:pPr>
      <w:r>
        <w:rPr>
          <w:rFonts w:ascii="Arial" w:eastAsia="Arial" w:hAnsi="Arial" w:cs="Arial"/>
        </w:rPr>
        <w:t xml:space="preserve">(2) Troškovi obavljanja poslova referentnih centara podmiruju se prijenosom sredstava između proračunskih korisnika istog proračuna na temelju izvješća o provedenim aktivnostima i pripadajuće računovodstvene dokumentacije.</w:t>
      </w:r>
    </w:p>
    <w:p>
      <w:pPr>
        <w:pBdr/>
        <w:pStyle w:val="Normal"/>
        <w:spacing/>
        <w:ind/>
        <w:rPr>
          <w:rFonts w:ascii="Arial" w:eastAsia="Arial" w:hAnsi="Arial" w:cs="Arial"/>
        </w:rPr>
      </w:pPr>
    </w:p>
    <w:p>
      <w:pPr>
        <w:pBdr/>
        <w:pStyle w:val="Heading 2"/>
        <w:spacing/>
        <w:ind/>
        <w:rPr/>
      </w:pPr>
      <w:r>
        <w:rPr/>
        <w:t xml:space="preserve">Metodologija i standardi praćenja stanja okoliša</w:t>
      </w:r>
    </w:p>
    <w:p>
      <w:pPr>
        <w:pBdr/>
        <w:pStyle w:val="Heading 2"/>
        <w:spacing/>
        <w:ind/>
        <w:rPr/>
      </w:pPr>
      <w:r>
        <w:rPr/>
        <w:t xml:space="preserve">Članak 209.</w:t>
      </w:r>
    </w:p>
    <w:p>
      <w:pPr>
        <w:pBdr/>
        <w:pStyle w:val="Normal"/>
        <w:spacing/>
        <w:ind/>
        <w:rPr>
          <w:rFonts w:ascii="Arial" w:eastAsia="Arial" w:hAnsi="Arial" w:cs="Arial"/>
        </w:rPr>
      </w:pPr>
      <w:r>
        <w:rPr>
          <w:rFonts w:ascii="Arial" w:eastAsia="Arial" w:hAnsi="Arial" w:cs="Arial"/>
        </w:rPr>
        <w:t xml:space="preserve">(1) Praćenje stanja okoliša provodi se prema metodologijama i standardima utvrđenim posebnim propisima kojima se uređuje zaštita okoliša te, prema potrebi, metodologijama i standardima koje utvrđuje nadležno tijelo, u skladu s nacionalnom praksom, praksom Europske unije i međunarodnom praksom. </w:t>
      </w:r>
    </w:p>
    <w:p>
      <w:pPr>
        <w:pBdr/>
        <w:pStyle w:val="Normal"/>
        <w:spacing/>
        <w:ind/>
        <w:rPr>
          <w:rFonts w:ascii="Arial" w:eastAsia="Arial" w:hAnsi="Arial" w:cs="Arial"/>
        </w:rPr>
      </w:pPr>
      <w:r>
        <w:rPr>
          <w:rFonts w:ascii="Arial" w:eastAsia="Arial" w:hAnsi="Arial" w:cs="Arial"/>
        </w:rPr>
        <w:t xml:space="preserve">(2) Ministarstvo odnosno Zavod na svojim mrežnim stranicama osigurava pristup informacijama o metodologijama i standardima iz stavka 1. ovoga članka.</w:t>
      </w:r>
    </w:p>
    <w:p>
      <w:pPr>
        <w:pBdr/>
        <w:pStyle w:val="Normal"/>
        <w:spacing/>
        <w:ind/>
        <w:rPr>
          <w:rFonts w:ascii="Arial" w:eastAsia="Arial" w:hAnsi="Arial" w:cs="Arial"/>
        </w:rPr>
      </w:pPr>
    </w:p>
    <w:p>
      <w:pPr>
        <w:pBdr/>
        <w:pStyle w:val="Heading 2"/>
        <w:spacing/>
        <w:ind/>
        <w:rPr/>
      </w:pPr>
      <w:r>
        <w:rPr/>
        <w:t xml:space="preserve">Izvješćivanje</w:t>
      </w:r>
    </w:p>
    <w:p>
      <w:pPr>
        <w:pBdr/>
        <w:pStyle w:val="Heading 2"/>
        <w:spacing/>
        <w:ind/>
        <w:rPr/>
      </w:pPr>
      <w:r>
        <w:rPr/>
        <w:t xml:space="preserve">Članak 210.</w:t>
      </w:r>
    </w:p>
    <w:p>
      <w:pPr>
        <w:pBdr/>
        <w:pStyle w:val="Normal"/>
        <w:spacing/>
        <w:ind/>
        <w:rPr>
          <w:rFonts w:ascii="Arial" w:eastAsia="Arial" w:hAnsi="Arial" w:cs="Arial"/>
        </w:rPr>
      </w:pPr>
      <w:r>
        <w:rPr>
          <w:rFonts w:ascii="Arial" w:eastAsia="Arial" w:hAnsi="Arial" w:cs="Arial"/>
        </w:rPr>
        <w:t xml:space="preserve">Ministarstvo odnosno Zavod objavljuje na svojim mrežnim stranicama Izvješće o stanju okoliša iz članka 23. ovoga Zakona nakon njegova usvajanja.</w:t>
      </w:r>
    </w:p>
    <w:p>
      <w:pPr>
        <w:pBdr/>
        <w:pStyle w:val="Normal"/>
        <w:spacing/>
        <w:ind/>
        <w:rPr>
          <w:rFonts w:ascii="Arial" w:eastAsia="Arial" w:hAnsi="Arial" w:cs="Arial"/>
          <w:b/>
          <w:bCs/>
        </w:rPr>
      </w:pPr>
    </w:p>
    <w:p>
      <w:pPr>
        <w:pBdr/>
        <w:pStyle w:val="Heading 2"/>
        <w:spacing/>
        <w:ind/>
        <w:rPr/>
      </w:pPr>
      <w:r>
        <w:rPr/>
        <w:t xml:space="preserve">Članak 211.</w:t>
      </w:r>
    </w:p>
    <w:p>
      <w:pPr>
        <w:pBdr/>
        <w:pStyle w:val="Normal"/>
        <w:spacing/>
        <w:ind/>
        <w:rPr>
          <w:rFonts w:ascii="Arial" w:eastAsia="Arial" w:hAnsi="Arial" w:cs="Arial"/>
        </w:rPr>
      </w:pPr>
      <w:r>
        <w:rPr>
          <w:rFonts w:ascii="Arial" w:eastAsia="Arial" w:hAnsi="Arial" w:cs="Arial"/>
        </w:rPr>
        <w:t xml:space="preserve">(1) Županije, Grad Zagreb i veliki gradovi izrađuju izvješće o stanju okoliša za svoje područje za razdoblje od četiri godine, koje sadrži:</w:t>
      </w:r>
    </w:p>
    <w:p>
      <w:pPr>
        <w:pBdr/>
        <w:pStyle w:val="Normal"/>
        <w:spacing/>
        <w:ind/>
        <w:rPr>
          <w:rFonts w:ascii="Arial" w:eastAsia="Arial" w:hAnsi="Arial" w:cs="Arial"/>
        </w:rPr>
      </w:pPr>
      <w:r>
        <w:rPr>
          <w:rFonts w:ascii="Arial" w:eastAsia="Arial" w:hAnsi="Arial" w:cs="Arial"/>
        </w:rPr>
        <w:t xml:space="preserve">- pregled ostvarivanja ciljeva iz strateških i planskih dokumenata zaštite okoliša, održivog razvoja i zelene tranzicije županije, Grada Zagreba odnosno velikog grada</w:t>
      </w:r>
    </w:p>
    <w:p>
      <w:pPr>
        <w:pBdr/>
        <w:pStyle w:val="Normal"/>
        <w:spacing/>
        <w:ind/>
        <w:rPr>
          <w:rFonts w:ascii="Arial" w:eastAsia="Arial" w:hAnsi="Arial" w:cs="Arial"/>
        </w:rPr>
      </w:pPr>
      <w:r>
        <w:rPr>
          <w:rFonts w:ascii="Arial" w:eastAsia="Arial" w:hAnsi="Arial" w:cs="Arial"/>
        </w:rPr>
        <w:t xml:space="preserve">- analizu prikupljenih podataka o stanju okoliša</w:t>
      </w:r>
    </w:p>
    <w:p>
      <w:pPr>
        <w:pBdr/>
        <w:pStyle w:val="Normal"/>
        <w:spacing/>
        <w:ind/>
        <w:rPr>
          <w:rFonts w:ascii="Arial" w:eastAsia="Arial" w:hAnsi="Arial" w:cs="Arial"/>
        </w:rPr>
      </w:pPr>
      <w:r>
        <w:rPr>
          <w:rFonts w:ascii="Arial" w:eastAsia="Arial" w:hAnsi="Arial" w:cs="Arial"/>
        </w:rPr>
        <w:t xml:space="preserve">- utvrđene trendove i prioritetna područja za postizanje ciljeva zaštite okoliša, održivog razvoja i zelene tranzicije na svom području</w:t>
      </w:r>
    </w:p>
    <w:p>
      <w:pPr>
        <w:pBdr/>
        <w:pStyle w:val="Normal"/>
        <w:spacing/>
        <w:ind/>
        <w:rPr>
          <w:rFonts w:ascii="Arial" w:eastAsia="Arial" w:hAnsi="Arial" w:cs="Arial"/>
        </w:rPr>
      </w:pPr>
      <w:r>
        <w:rPr>
          <w:rFonts w:ascii="Arial" w:eastAsia="Arial" w:hAnsi="Arial" w:cs="Arial"/>
        </w:rPr>
        <w:t xml:space="preserve">- preporuke za usmjeravanje politike zaštite okoliša, održivog razvoja i zelene tranzicije županije, Grada Zagreba odnosno velikog grada.</w:t>
      </w:r>
    </w:p>
    <w:p>
      <w:pPr>
        <w:pBdr/>
        <w:pStyle w:val="Normal"/>
        <w:spacing/>
        <w:ind/>
        <w:rPr>
          <w:rFonts w:ascii="Arial" w:eastAsia="Arial" w:hAnsi="Arial" w:cs="Arial"/>
        </w:rPr>
      </w:pPr>
      <w:r>
        <w:rPr>
          <w:rFonts w:ascii="Arial" w:eastAsia="Arial" w:hAnsi="Arial" w:cs="Arial"/>
        </w:rPr>
        <w:t xml:space="preserve">(2) Izvršno tijelo županije, Grada Zagreba odnosno velikog grada podnosi izvješće iz stavka 1. ovoga članka svojem predstavničkom tijelu.</w:t>
      </w:r>
    </w:p>
    <w:p>
      <w:pPr>
        <w:pBdr/>
        <w:pStyle w:val="Normal"/>
        <w:spacing/>
        <w:ind/>
        <w:rPr>
          <w:rFonts w:ascii="Arial" w:eastAsia="Arial" w:hAnsi="Arial" w:cs="Arial"/>
        </w:rPr>
      </w:pPr>
      <w:r>
        <w:rPr>
          <w:rFonts w:ascii="Arial" w:eastAsia="Arial" w:hAnsi="Arial" w:cs="Arial"/>
        </w:rPr>
        <w:t xml:space="preserve">(3) Županija, Grad Zagreb odnosno veliki grad dostavljaju izvješće iz stavka 1. ovoga članka Ministarstvu odnosno Zavodu, u strojno čitljivom obliku u roku od mjesec dana od dana njegova prihvaćanja na sjednici predstavničkog tijela, a Ministarstvo odnosno Zavod ga objavljuje u ISZOP-u.</w:t>
      </w:r>
    </w:p>
    <w:p>
      <w:pPr>
        <w:pBdr/>
        <w:pStyle w:val="Normal"/>
        <w:spacing/>
        <w:ind/>
        <w:rPr>
          <w:rFonts w:ascii="Arial" w:eastAsia="Arial" w:hAnsi="Arial" w:cs="Arial"/>
        </w:rPr>
      </w:pPr>
    </w:p>
    <w:p>
      <w:pPr>
        <w:pBdr/>
        <w:pStyle w:val="Heading 2"/>
        <w:spacing/>
        <w:ind/>
        <w:rPr/>
      </w:pPr>
      <w:r>
        <w:rPr/>
        <w:t xml:space="preserve">Izvješćivanje tijela Europske unije, međunarodnih tijela i organizacija</w:t>
      </w:r>
    </w:p>
    <w:p>
      <w:pPr>
        <w:pBdr/>
        <w:pStyle w:val="Heading 2"/>
        <w:spacing/>
        <w:ind/>
        <w:rPr>
          <w:bCs/>
        </w:rPr>
      </w:pPr>
      <w:r>
        <w:rPr/>
        <w:t xml:space="preserve">Članak 212.</w:t>
      </w:r>
    </w:p>
    <w:p>
      <w:pPr>
        <w:pBdr/>
        <w:pStyle w:val="Normal"/>
        <w:spacing/>
        <w:ind/>
        <w:rPr>
          <w:rFonts w:ascii="Arial" w:eastAsia="Arial" w:hAnsi="Arial" w:cs="Arial"/>
        </w:rPr>
      </w:pPr>
      <w:r>
        <w:rPr>
          <w:rFonts w:ascii="Arial" w:eastAsia="Arial" w:hAnsi="Arial" w:cs="Arial"/>
        </w:rPr>
        <w:t xml:space="preserve">(1) Dostava i razmjena podataka, informacija i izvješća s tijelima Europske unije, međunarodnim tijelima i organizacijama radi ispunjavanja preuzetih obveza Republike Hrvatske u području zaštite okoliša provodi se elektronički, u skladu s načelima interoperabilnosti i otvorenih podataka.</w:t>
      </w:r>
    </w:p>
    <w:p>
      <w:pPr>
        <w:pBdr/>
        <w:pStyle w:val="Normal"/>
        <w:spacing/>
        <w:ind/>
        <w:rPr>
          <w:rFonts w:ascii="Arial" w:eastAsia="Arial" w:hAnsi="Arial" w:cs="Arial"/>
        </w:rPr>
      </w:pPr>
      <w:r>
        <w:rPr>
          <w:rFonts w:ascii="Arial" w:eastAsia="Arial" w:hAnsi="Arial" w:cs="Arial"/>
        </w:rPr>
        <w:t xml:space="preserve">(2) Tijela državne uprave i druga tijela javne vlasti, nadležno upravno tijelo u županiji odnosno Gradu Zagrebu, javni znanstveni instituti i ovlaštenici koji obavljaju praćenja stanja okoliša u skladu s ovim Zakonom dužni su:</w:t>
      </w:r>
    </w:p>
    <w:p>
      <w:pPr>
        <w:pBdr/>
        <w:pStyle w:val="Normal"/>
        <w:spacing/>
        <w:ind/>
        <w:rPr>
          <w:rFonts w:ascii="Arial" w:eastAsia="Arial" w:hAnsi="Arial" w:cs="Arial"/>
        </w:rPr>
      </w:pPr>
      <w:r>
        <w:rPr>
          <w:rFonts w:ascii="Arial" w:eastAsia="Arial" w:hAnsi="Arial" w:cs="Arial"/>
        </w:rPr>
        <w:t xml:space="preserve">- Ministarstvu odnosno Zavodu bez naknade dostavljati informacije i podatke kojima raspolažu radi izvješćivanja za nacionalne potrebe te izvješćivanja i suradnje s tijelima Europske unije, međunarodnim tijelima i organizacijama, u rokovima određenim pravnom stečevinom Europske unije i međunarodnim obvezama</w:t>
      </w:r>
    </w:p>
    <w:p>
      <w:pPr>
        <w:pBdr/>
        <w:pStyle w:val="Normal"/>
        <w:spacing/>
        <w:ind/>
        <w:rPr>
          <w:rFonts w:ascii="Arial" w:eastAsia="Arial" w:hAnsi="Arial" w:cs="Arial"/>
        </w:rPr>
      </w:pPr>
      <w:r>
        <w:rPr>
          <w:rFonts w:ascii="Arial" w:eastAsia="Arial" w:hAnsi="Arial" w:cs="Arial"/>
        </w:rPr>
        <w:t xml:space="preserve">- na zahtjev Ministarstva odnosno Zavoda dopuniti dostavljene informacije i podatke za potrebe izvješćivanja i revizije koju provode nadležna nacionalna tijela, tijela Europske unije te međunarodna tijela i organizacije.</w:t>
      </w:r>
    </w:p>
    <w:p>
      <w:pPr>
        <w:pBdr/>
        <w:pStyle w:val="Normal"/>
        <w:spacing/>
        <w:ind/>
        <w:rPr>
          <w:rFonts w:ascii="Arial" w:eastAsia="Arial" w:hAnsi="Arial" w:cs="Arial"/>
        </w:rPr>
      </w:pPr>
      <w:r>
        <w:rPr>
          <w:rFonts w:ascii="Arial" w:eastAsia="Arial" w:hAnsi="Arial" w:cs="Arial"/>
        </w:rPr>
        <w:t xml:space="preserve">(3) Ako nadležna tijela ne dostave informacije o podacima iz stavka 2. ovog članka, dužna su obavijestiti Ministarstvo odnosno Zavod o razlozima nedostavljanja i predložiti  mjere koje će poduzeti radi njihove dostave.</w:t>
      </w:r>
    </w:p>
    <w:p>
      <w:pPr>
        <w:pBdr/>
        <w:pStyle w:val="Normal"/>
        <w:spacing/>
        <w:ind/>
        <w:rPr>
          <w:rFonts w:ascii="Arial" w:eastAsia="Arial" w:hAnsi="Arial" w:cs="Arial"/>
        </w:rPr>
      </w:pPr>
      <w:r>
        <w:rPr>
          <w:rFonts w:ascii="Arial" w:eastAsia="Arial" w:hAnsi="Arial" w:cs="Arial"/>
        </w:rPr>
        <w:t xml:space="preserve">(4) Tijela državne uprave i druga tijela javne vlasti koja u skladu s preuzetim obvezama neposredno dostavljaju podatke, informacije i izvješća tijelima Europske unije, međunarodnim tijelima i organizacijama dužna su Ministarstvu odnosno Zavodu dostaviti informaciju o toj dostavi i osigurati pristup dostavljenim podacima, informacijama i izvješćima.  </w:t>
      </w:r>
    </w:p>
    <w:p>
      <w:pPr>
        <w:pBdr/>
        <w:pStyle w:val="Normal"/>
        <w:spacing/>
        <w:ind/>
        <w:rPr>
          <w:rFonts w:ascii="Arial" w:eastAsia="Arial" w:hAnsi="Arial" w:cs="Arial"/>
        </w:rPr>
      </w:pPr>
      <w:r>
        <w:rPr>
          <w:rFonts w:ascii="Arial" w:eastAsia="Arial" w:hAnsi="Arial" w:cs="Arial"/>
        </w:rPr>
        <w:t xml:space="preserve">(5) Obveznici iz ovoga članka odgovorni su za pravodobnost dostave te točnost i vjerodostojnost podataka i informacija za koje su nadležni.</w:t>
      </w:r>
    </w:p>
    <w:p>
      <w:pPr>
        <w:pBdr/>
        <w:pStyle w:val="Normal"/>
        <w:spacing/>
        <w:ind/>
        <w:rPr>
          <w:rFonts w:ascii="Arial" w:eastAsia="Arial" w:hAnsi="Arial" w:cs="Arial"/>
        </w:rPr>
      </w:pPr>
      <w:r>
        <w:rPr>
          <w:rFonts w:ascii="Arial" w:eastAsia="Arial" w:hAnsi="Arial" w:cs="Arial"/>
        </w:rPr>
        <w:t xml:space="preserve">(6) Radi ispunjavanja obveza u smislu stavka 1. ovoga članka ministar može pobliže pravilnikom urediti odgovarajuće postupke prikupljanja potrebnih podataka i informacija, praćenja provedbe dokumenata održivog razvoja, zelene tranzicije i zaštite okoliša te provedbe pojedinih mjera zaštite okoliša.</w:t>
      </w:r>
    </w:p>
    <w:p>
      <w:pPr>
        <w:pBdr/>
        <w:pStyle w:val="Normal"/>
        <w:spacing/>
        <w:ind/>
        <w:rPr>
          <w:rFonts w:ascii="Arial" w:eastAsia="Arial" w:hAnsi="Arial" w:cs="Arial"/>
        </w:rPr>
      </w:pPr>
    </w:p>
    <w:p>
      <w:pPr>
        <w:pBdr/>
        <w:pStyle w:val="Heading 2"/>
        <w:spacing/>
        <w:ind/>
        <w:rPr/>
      </w:pPr>
      <w:r>
        <w:rPr/>
        <w:t xml:space="preserve">Članak 213.</w:t>
      </w:r>
    </w:p>
    <w:p>
      <w:pPr>
        <w:pBdr/>
        <w:pStyle w:val="Normal"/>
        <w:spacing/>
        <w:ind/>
        <w:rPr>
          <w:rFonts w:ascii="Arial" w:eastAsia="Arial" w:hAnsi="Arial" w:cs="Arial"/>
        </w:rPr>
      </w:pPr>
      <w:r>
        <w:rPr>
          <w:rFonts w:ascii="Arial" w:eastAsia="Arial" w:hAnsi="Arial" w:cs="Arial"/>
        </w:rPr>
        <w:t xml:space="preserve">(1) Ministarstvo odnosno Zavod dužno je Europskoj komisiji dostavljati:</w:t>
      </w:r>
    </w:p>
    <w:p>
      <w:pPr>
        <w:pBdr/>
        <w:pStyle w:val="Normal"/>
        <w:spacing/>
        <w:ind/>
        <w:rPr>
          <w:rFonts w:ascii="Arial" w:eastAsia="Arial" w:hAnsi="Arial" w:cs="Arial"/>
        </w:rPr>
      </w:pPr>
      <w:r>
        <w:rPr>
          <w:rFonts w:ascii="Arial" w:eastAsia="Arial" w:hAnsi="Arial" w:cs="Arial"/>
        </w:rPr>
        <w:t xml:space="preserve">- podatke o okolišnim dozvolama u vrsti, obliku i učestalosti utvrđenima odgovarajućim provedbenim aktima Europske komisije</w:t>
      </w:r>
    </w:p>
    <w:p>
      <w:pPr>
        <w:pBdr/>
        <w:pStyle w:val="Normal"/>
        <w:spacing/>
        <w:ind/>
        <w:rPr>
          <w:rFonts w:ascii="Arial" w:eastAsia="Arial" w:hAnsi="Arial" w:cs="Arial"/>
        </w:rPr>
      </w:pPr>
      <w:r>
        <w:rPr>
          <w:rFonts w:ascii="Arial" w:eastAsia="Arial" w:hAnsi="Arial" w:cs="Arial"/>
        </w:rPr>
        <w:t xml:space="preserve">– podatke iz članka 6. Uredbe (EU) 2024/1244 na način i u rokovima propisanim člankom 7. te Uredbe i provedbenim aktima donesenima na temelju toga članka. </w:t>
      </w:r>
    </w:p>
    <w:p>
      <w:pPr>
        <w:pBdr/>
        <w:pStyle w:val="Normal"/>
        <w:spacing/>
        <w:ind/>
        <w:rPr>
          <w:rFonts w:ascii="Arial" w:eastAsia="Arial" w:hAnsi="Arial" w:cs="Arial"/>
        </w:rPr>
      </w:pPr>
      <w:r>
        <w:rPr>
          <w:rFonts w:ascii="Arial" w:eastAsia="Arial" w:hAnsi="Arial" w:cs="Arial"/>
        </w:rPr>
        <w:t xml:space="preserve">-  podatke o područjima postrojenja u kojima su prisutne opasne tvari u skladu s odgovarajućim provedbenim aktima Europske komisije</w:t>
      </w:r>
    </w:p>
    <w:p>
      <w:pPr>
        <w:pBdr/>
        <w:pStyle w:val="Normal"/>
        <w:spacing/>
        <w:ind/>
        <w:rPr>
          <w:rFonts w:ascii="Arial" w:eastAsia="Arial" w:hAnsi="Arial" w:cs="Arial"/>
        </w:rPr>
      </w:pPr>
      <w:r>
        <w:rPr>
          <w:rFonts w:ascii="Arial" w:eastAsia="Arial" w:hAnsi="Arial" w:cs="Arial"/>
        </w:rPr>
        <w:t xml:space="preserve">-  podatke o velikim nesrećama koje ispunjavaju kriterije propisane uredbom iz članka 169. stavka 2. ovoga Zakona, koji uključuju podatke o mjestu i vremenu nastanka velike </w:t>
      </w:r>
      <w:r>
        <w:rPr>
          <w:rFonts w:ascii="Arial" w:eastAsia="Arial" w:hAnsi="Arial" w:cs="Arial"/>
        </w:rPr>
        <w:t xml:space="preserve">nesreće, operateru i području postrojenja, okolnostima velike nesreće, uključenim opasnim tvarima, učincima na zdravlje ljudi i okoliš, poduzetim hitnim mjerama i mjerama za sprječavanje ponavljanja velike nesreće te rezultate analize i preporuke</w:t>
      </w:r>
    </w:p>
    <w:p>
      <w:pPr>
        <w:pBdr/>
        <w:pStyle w:val="Normal"/>
        <w:spacing/>
        <w:ind/>
        <w:rPr>
          <w:rFonts w:ascii="Arial" w:eastAsia="Arial" w:hAnsi="Arial" w:cs="Arial"/>
        </w:rPr>
      </w:pPr>
      <w:r>
        <w:rPr>
          <w:rFonts w:ascii="Arial" w:eastAsia="Arial" w:hAnsi="Arial" w:cs="Arial"/>
        </w:rPr>
        <w:t xml:space="preserve">(2) Podaci o velikoj nesreći iz stavka 1. podstavka 3. ovoga članka dostavljaju se Europskoj komisiji što je prije moguće, a najkasnije u roku od jedne godine od dana nastanka velike nesreće, u obliku i na način utvrđen odgovarajućim provedbenim aktima Europske komisije.</w:t>
      </w:r>
    </w:p>
    <w:p>
      <w:pPr>
        <w:pBdr/>
        <w:pStyle w:val="Normal"/>
        <w:spacing/>
        <w:ind/>
        <w:rPr>
          <w:rFonts w:ascii="Arial" w:eastAsia="Arial" w:hAnsi="Arial" w:cs="Arial"/>
        </w:rPr>
      </w:pPr>
      <w:r>
        <w:rPr>
          <w:rFonts w:ascii="Arial" w:eastAsia="Arial" w:hAnsi="Arial" w:cs="Arial"/>
        </w:rPr>
        <w:t xml:space="preserve">(3) Ako u roku iz stavka 2. ovoga članka nisu dostupni konačni rezultati analize i preporuke, dostavljaju se raspoloživi privremeni podaci, koji se ažuriraju kada postanu raspoloživi rezultati daljnje analize i preporuke.</w:t>
      </w:r>
    </w:p>
    <w:p>
      <w:pPr>
        <w:pBdr/>
        <w:pStyle w:val="Normal"/>
        <w:spacing/>
        <w:ind/>
        <w:rPr>
          <w:rFonts w:ascii="Arial" w:eastAsia="Arial" w:hAnsi="Arial" w:cs="Arial"/>
        </w:rPr>
      </w:pPr>
      <w:r>
        <w:rPr>
          <w:rFonts w:ascii="Arial" w:eastAsia="Arial" w:hAnsi="Arial" w:cs="Arial"/>
        </w:rPr>
        <w:t xml:space="preserve">(4) Dostava rezultata analize i preporuka iz stavka 3. ovoga članka može se odgoditi ako bi njihova dostava mogla utjecati na završetak sudskog postupka.</w:t>
      </w:r>
    </w:p>
    <w:p>
      <w:pPr>
        <w:pBdr/>
        <w:pStyle w:val="Normal"/>
        <w:spacing/>
        <w:ind/>
        <w:rPr>
          <w:rFonts w:ascii="Arial" w:eastAsia="Arial" w:hAnsi="Arial" w:cs="Arial"/>
        </w:rPr>
      </w:pPr>
      <w:r>
        <w:rPr>
          <w:rFonts w:ascii="Arial" w:eastAsia="Arial" w:hAnsi="Arial" w:cs="Arial"/>
        </w:rPr>
        <w:t xml:space="preserve">(5) Ministarstvo odnosno Zavod obavještava Europsku komisiju o nazivu i adresi tijela koja mogu raspolagati relevantnim informacijama o velikim nesrećama i koja mogu pružati stručnu pomoć nadležnim tijelima drugih država članica u slučaju velike nesreće.</w:t>
      </w:r>
    </w:p>
    <w:p>
      <w:pPr>
        <w:pBdr/>
        <w:pStyle w:val="Normal"/>
        <w:spacing/>
        <w:ind/>
        <w:rPr>
          <w:rFonts w:ascii="Arial" w:eastAsia="Arial" w:hAnsi="Arial" w:cs="Arial"/>
        </w:rPr>
      </w:pPr>
      <w:r>
        <w:rPr>
          <w:rFonts w:ascii="Arial" w:eastAsia="Arial" w:hAnsi="Arial" w:cs="Arial"/>
        </w:rPr>
        <w:t xml:space="preserve">(6) Ministarstvo odnosno Zavod dužno je osigurati Europskoj komisiji i međunarodnim tijelima podatke u interoperabilnom elektroničkom obliku.</w:t>
      </w:r>
    </w:p>
    <w:p>
      <w:pPr>
        <w:pBdr/>
        <w:pStyle w:val="Normal"/>
        <w:spacing/>
        <w:ind/>
        <w:rPr>
          <w:rFonts w:ascii="Arial" w:eastAsia="Arial" w:hAnsi="Arial" w:cs="Arial"/>
        </w:rPr>
      </w:pPr>
    </w:p>
    <w:p>
      <w:pPr>
        <w:pBdr/>
        <w:pStyle w:val="Heading 2"/>
        <w:spacing/>
        <w:ind/>
        <w:rPr>
          <w:bCs/>
        </w:rPr>
      </w:pPr>
      <w:r>
        <w:rPr/>
        <w:t xml:space="preserve">Provjera i analiza podataka</w:t>
      </w:r>
    </w:p>
    <w:p>
      <w:pPr>
        <w:pBdr/>
        <w:pStyle w:val="Heading 2"/>
        <w:spacing/>
        <w:ind/>
        <w:rPr/>
      </w:pPr>
      <w:r>
        <w:rPr/>
        <w:t xml:space="preserve">Članak 214.</w:t>
      </w:r>
    </w:p>
    <w:p>
      <w:pPr>
        <w:pBdr/>
        <w:pStyle w:val="Normal"/>
        <w:spacing/>
        <w:ind/>
        <w:rPr>
          <w:rFonts w:ascii="Arial" w:eastAsia="Arial" w:hAnsi="Arial" w:cs="Arial"/>
        </w:rPr>
      </w:pPr>
      <w:r>
        <w:rPr>
          <w:rFonts w:ascii="Arial" w:eastAsia="Arial" w:hAnsi="Arial" w:cs="Arial"/>
        </w:rPr>
        <w:t xml:space="preserve">(1) Ministarstvo odnosno Zavod prati pravodobnost i potpunost dostave podataka u ISZOP te provodi stručnu obradu i analizu prikupljenih podataka, uključujući njihovu međusobnu usporedbu i povezivanje s podacima iz drugih informacijskih sustava i evidencija.</w:t>
      </w:r>
    </w:p>
    <w:p>
      <w:pPr>
        <w:pBdr/>
        <w:pStyle w:val="Normal"/>
        <w:spacing/>
        <w:ind/>
        <w:rPr>
          <w:rFonts w:ascii="Arial" w:eastAsia="Arial" w:hAnsi="Arial" w:cs="Arial"/>
        </w:rPr>
      </w:pPr>
      <w:r>
        <w:rPr>
          <w:rFonts w:ascii="Arial" w:eastAsia="Arial" w:hAnsi="Arial" w:cs="Arial"/>
        </w:rPr>
        <w:t xml:space="preserve">(2) Ako na temelju stručne obrade i analize podataka iz stavka 1. ovoga članka utvrdi odstupanja ili okolnosti koje upućuju na moguću nepravilnost, Ministarstvo odnosno Zavod o tome obavještava nadležno tijelo u županiji, Gradu Zagrebu odnosno nadležnu inspekciju radi postupanja iz njihove nadležnosti.</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17" w:id="12"/>
      <w:r>
        <w:rPr>
          <w:rFonts w:ascii="Arial" w:eastAsia="Arial" w:hAnsi="Arial" w:cs="Arial"/>
          <w:szCs w:val="24"/>
        </w:rPr>
        <w:t xml:space="preserve">DIO SEDMI INFORMACIJSKI SUSTAV ZAŠTITE OKOLIŠA I PRIRODE</w:t>
      </w:r>
      <w:bookmarkEnd w:id="12"/>
      <w:r>
        <w:rPr>
          <w:rFonts w:ascii="Arial" w:eastAsia="Arial" w:hAnsi="Arial" w:cs="Arial"/>
          <w:szCs w:val="24"/>
        </w:rPr>
        <w:t xml:space="preserve"> (ISZOP)</w:t>
      </w:r>
    </w:p>
    <w:p>
      <w:pPr>
        <w:pBdr/>
        <w:pStyle w:val="Heading 2"/>
        <w:spacing/>
        <w:ind/>
        <w:rPr/>
      </w:pPr>
      <w:r>
        <w:rPr/>
        <w:t xml:space="preserve">Članak 215.</w:t>
      </w:r>
    </w:p>
    <w:p>
      <w:pPr>
        <w:pBdr/>
        <w:pStyle w:val="Normal"/>
        <w:spacing/>
        <w:ind/>
        <w:rPr>
          <w:rFonts w:ascii="Arial" w:eastAsia="Arial" w:hAnsi="Arial" w:cs="Arial"/>
        </w:rPr>
      </w:pPr>
      <w:r>
        <w:rPr>
          <w:rFonts w:ascii="Arial" w:eastAsia="Arial" w:hAnsi="Arial" w:cs="Arial"/>
        </w:rPr>
        <w:t xml:space="preserve">(1) ISZOP je nacionalni digitalni infrastrukturni, interoperabilni i višeplatformni sustav za prikupljanje, pohranu, obradu, analizu, razmjenu i objavu podataka o okolišu i prirodi koji povezuje informacijske sustave javnopravnih tijela koja izrađuju i/ili održavaju podatke značajne za okoliš i prirodu.</w:t>
      </w:r>
    </w:p>
    <w:p>
      <w:pPr>
        <w:pBdr/>
        <w:pStyle w:val="Normal"/>
        <w:spacing/>
        <w:ind/>
        <w:rPr>
          <w:rFonts w:ascii="Arial" w:eastAsia="Arial" w:hAnsi="Arial" w:cs="Arial"/>
        </w:rPr>
      </w:pPr>
      <w:r>
        <w:rPr>
          <w:rFonts w:ascii="Arial" w:eastAsia="Arial" w:hAnsi="Arial" w:cs="Arial"/>
        </w:rPr>
        <w:t xml:space="preserve">(2) ISZOP-</w:t>
      </w:r>
      <w:r>
        <w:rPr>
          <w:rFonts w:ascii="Arial" w:eastAsia="Arial" w:hAnsi="Arial" w:cs="Arial"/>
        </w:rPr>
        <w:t xml:space="preserve">om upravlja Ministarstvo odnosno Zavod.</w:t>
      </w:r>
    </w:p>
    <w:p>
      <w:pPr>
        <w:pBdr/>
        <w:pStyle w:val="Normal"/>
        <w:spacing/>
        <w:ind/>
        <w:rPr>
          <w:rFonts w:ascii="Arial" w:eastAsia="Arial" w:hAnsi="Arial" w:cs="Arial"/>
        </w:rPr>
      </w:pPr>
      <w:r>
        <w:rPr>
          <w:rFonts w:ascii="Arial" w:eastAsia="Arial" w:hAnsi="Arial" w:cs="Arial"/>
        </w:rPr>
        <w:t xml:space="preserve">(3) ISZOP-</w:t>
      </w:r>
      <w:r>
        <w:rPr>
          <w:rFonts w:ascii="Arial" w:eastAsia="Arial" w:hAnsi="Arial" w:cs="Arial"/>
        </w:rPr>
        <w:t xml:space="preserve">om se osigurava:</w:t>
      </w:r>
    </w:p>
    <w:p>
      <w:pPr>
        <w:pBdr/>
        <w:pStyle w:val="Normal"/>
        <w:spacing/>
        <w:ind/>
        <w:rPr>
          <w:rFonts w:ascii="Arial" w:eastAsia="Arial" w:hAnsi="Arial" w:cs="Arial"/>
        </w:rPr>
      </w:pPr>
      <w:r>
        <w:rPr>
          <w:rFonts w:ascii="Arial" w:eastAsia="Arial" w:hAnsi="Arial" w:cs="Arial"/>
        </w:rPr>
        <w:t xml:space="preserve">- primjena jedinstvenih standarda za prikupljanje i pohranu podataka o okolišu i prirodi kao osnove za praćenje stanja okoliša i prirode te učinkovitosti mjera provedbe politika zaštite okoliša</w:t>
      </w:r>
    </w:p>
    <w:p>
      <w:pPr>
        <w:pBdr/>
        <w:pStyle w:val="Normal"/>
        <w:spacing/>
        <w:ind/>
        <w:rPr>
          <w:rFonts w:ascii="Arial" w:eastAsia="Arial" w:hAnsi="Arial" w:cs="Arial"/>
        </w:rPr>
      </w:pPr>
      <w:r>
        <w:rPr>
          <w:rFonts w:ascii="Arial" w:eastAsia="Arial" w:hAnsi="Arial" w:cs="Arial"/>
        </w:rPr>
        <w:t xml:space="preserve">- jednokratno prikupljanje podataka iz stavka 1. ovoga članka, uz njihovu dostupnost drugim korisnicima</w:t>
      </w:r>
    </w:p>
    <w:p>
      <w:pPr>
        <w:pBdr/>
        <w:pStyle w:val="Normal"/>
        <w:spacing/>
        <w:ind/>
        <w:rPr>
          <w:rFonts w:ascii="Arial" w:eastAsia="Arial" w:hAnsi="Arial" w:cs="Arial"/>
        </w:rPr>
      </w:pPr>
      <w:r>
        <w:rPr>
          <w:rFonts w:ascii="Arial" w:eastAsia="Arial" w:hAnsi="Arial" w:cs="Arial"/>
        </w:rPr>
        <w:t xml:space="preserve">- dostupnost točnih i ažurnih podataka o okolišu i prirodi za potrebe upravljanja okolišem i prirodom te informiranja javnosti</w:t>
      </w:r>
    </w:p>
    <w:p>
      <w:pPr>
        <w:pBdr/>
        <w:pStyle w:val="Normal"/>
        <w:spacing/>
        <w:ind/>
        <w:rPr>
          <w:rFonts w:ascii="Arial" w:eastAsia="Arial" w:hAnsi="Arial" w:cs="Arial"/>
        </w:rPr>
      </w:pPr>
      <w:r>
        <w:rPr>
          <w:rFonts w:ascii="Arial" w:eastAsia="Arial" w:hAnsi="Arial" w:cs="Arial"/>
        </w:rPr>
        <w:t xml:space="preserve">- obrada podataka najbliže primarnom izvoru</w:t>
      </w:r>
    </w:p>
    <w:p>
      <w:pPr>
        <w:pBdr/>
        <w:pStyle w:val="Normal"/>
        <w:spacing/>
        <w:ind/>
        <w:rPr>
          <w:rFonts w:ascii="Arial" w:eastAsia="Arial" w:hAnsi="Arial" w:cs="Arial"/>
        </w:rPr>
      </w:pPr>
      <w:r>
        <w:rPr>
          <w:rFonts w:ascii="Arial" w:eastAsia="Arial" w:hAnsi="Arial" w:cs="Arial"/>
        </w:rPr>
        <w:t xml:space="preserve">- povezivanje s drugim informacijskim sustavima i državnim registrima</w:t>
      </w:r>
    </w:p>
    <w:p>
      <w:pPr>
        <w:pBdr/>
        <w:pStyle w:val="Normal"/>
        <w:spacing/>
        <w:ind/>
        <w:rPr>
          <w:rFonts w:ascii="Arial" w:eastAsia="Arial" w:hAnsi="Arial" w:cs="Arial"/>
        </w:rPr>
      </w:pPr>
      <w:r>
        <w:rPr>
          <w:rFonts w:ascii="Arial" w:eastAsia="Arial" w:hAnsi="Arial" w:cs="Arial"/>
        </w:rPr>
        <w:t xml:space="preserve">- podatkovna podrška za planiranje i provedbu neposrednog i inspekcijskog nadzora</w:t>
      </w:r>
    </w:p>
    <w:p>
      <w:pPr>
        <w:pBdr/>
        <w:pStyle w:val="Normal"/>
        <w:spacing/>
        <w:ind/>
        <w:rPr>
          <w:rFonts w:ascii="Arial" w:eastAsia="Arial" w:hAnsi="Arial" w:cs="Arial"/>
        </w:rPr>
      </w:pPr>
      <w:r>
        <w:rPr>
          <w:rFonts w:ascii="Arial" w:eastAsia="Arial" w:hAnsi="Arial" w:cs="Arial"/>
        </w:rPr>
        <w:t xml:space="preserve">- podrška provedbi propisa, strategija, planova i programa</w:t>
      </w:r>
    </w:p>
    <w:p>
      <w:pPr>
        <w:pBdr/>
        <w:pStyle w:val="Normal"/>
        <w:spacing/>
        <w:ind/>
        <w:rPr>
          <w:rFonts w:ascii="Arial" w:eastAsia="Arial" w:hAnsi="Arial" w:cs="Arial"/>
        </w:rPr>
      </w:pPr>
      <w:r>
        <w:rPr>
          <w:rFonts w:ascii="Arial" w:eastAsia="Arial" w:hAnsi="Arial" w:cs="Arial"/>
        </w:rPr>
        <w:t xml:space="preserve">- potpora informiranom donošenju odluka</w:t>
      </w:r>
    </w:p>
    <w:p>
      <w:pPr>
        <w:pBdr/>
        <w:pStyle w:val="Normal"/>
        <w:spacing/>
        <w:ind/>
        <w:rPr>
          <w:rFonts w:ascii="Arial" w:eastAsia="Arial" w:hAnsi="Arial" w:cs="Arial"/>
        </w:rPr>
      </w:pPr>
      <w:r>
        <w:rPr>
          <w:rFonts w:ascii="Arial" w:eastAsia="Arial" w:hAnsi="Arial" w:cs="Arial"/>
        </w:rPr>
        <w:t xml:space="preserve">- tehnička i stručna potpora korisnicima i dionicima sustava iz stavka 1. ovoga članka</w:t>
      </w:r>
    </w:p>
    <w:p>
      <w:pPr>
        <w:pBdr/>
        <w:pStyle w:val="Normal"/>
        <w:spacing/>
        <w:ind/>
        <w:rPr>
          <w:rFonts w:ascii="Arial" w:eastAsia="Arial" w:hAnsi="Arial" w:cs="Arial"/>
        </w:rPr>
      </w:pPr>
      <w:r>
        <w:rPr>
          <w:rFonts w:ascii="Arial" w:eastAsia="Arial" w:hAnsi="Arial" w:cs="Arial"/>
        </w:rPr>
        <w:t xml:space="preserve">- interoperabilnost na tehničkoj, semantičkoj i procesnoj razini.</w:t>
      </w:r>
    </w:p>
    <w:p>
      <w:pPr>
        <w:pBdr/>
        <w:pStyle w:val="Normal"/>
        <w:spacing/>
        <w:ind/>
        <w:rPr>
          <w:rFonts w:ascii="Arial" w:eastAsia="Arial" w:hAnsi="Arial" w:cs="Arial"/>
        </w:rPr>
      </w:pPr>
    </w:p>
    <w:p>
      <w:pPr>
        <w:pBdr/>
        <w:pStyle w:val="Heading 2"/>
        <w:spacing/>
        <w:ind/>
        <w:rPr/>
      </w:pPr>
      <w:r>
        <w:rPr/>
        <w:t xml:space="preserve">Članak 216.</w:t>
      </w:r>
    </w:p>
    <w:p>
      <w:pPr>
        <w:pBdr/>
        <w:pStyle w:val="Normal"/>
        <w:spacing/>
        <w:ind/>
        <w:rPr>
          <w:rFonts w:ascii="Arial" w:eastAsia="Arial" w:hAnsi="Arial" w:cs="Arial"/>
        </w:rPr>
      </w:pPr>
      <w:r>
        <w:rPr>
          <w:rFonts w:ascii="Arial" w:eastAsia="Arial" w:hAnsi="Arial" w:cs="Arial"/>
        </w:rPr>
        <w:t xml:space="preserve">(1) ISZOP sadrži podatke o okolišu i prirodi, sektorskim pritiscima i prijetnjama, okolišu i zdravlju te odgovorima društva na navedene pritiske i prijetnje (u daljnjem tekstu: podaci).</w:t>
      </w:r>
    </w:p>
    <w:p>
      <w:pPr>
        <w:pBdr/>
        <w:pStyle w:val="Normal"/>
        <w:spacing/>
        <w:ind/>
        <w:rPr>
          <w:rFonts w:ascii="Arial" w:eastAsia="Arial" w:hAnsi="Arial" w:cs="Arial"/>
        </w:rPr>
      </w:pPr>
      <w:r>
        <w:rPr>
          <w:rFonts w:ascii="Arial" w:eastAsia="Arial" w:hAnsi="Arial" w:cs="Arial"/>
        </w:rPr>
        <w:t xml:space="preserve">(2) Ministarstvo odnosno Zavod na svojim mrežnim stranicama objavljuje:</w:t>
      </w:r>
    </w:p>
    <w:p>
      <w:pPr>
        <w:pBdr/>
        <w:pStyle w:val="Normal"/>
        <w:spacing/>
        <w:ind/>
        <w:rPr>
          <w:rFonts w:ascii="Arial" w:eastAsia="Arial" w:hAnsi="Arial" w:cs="Arial"/>
        </w:rPr>
      </w:pPr>
      <w:r>
        <w:rPr>
          <w:rFonts w:ascii="Arial" w:eastAsia="Arial" w:hAnsi="Arial" w:cs="Arial"/>
        </w:rPr>
        <w:t xml:space="preserve">- standarde i formate podataka</w:t>
      </w:r>
    </w:p>
    <w:p>
      <w:pPr>
        <w:pBdr/>
        <w:pStyle w:val="Normal"/>
        <w:spacing/>
        <w:ind/>
        <w:rPr>
          <w:rFonts w:ascii="Arial" w:eastAsia="Arial" w:hAnsi="Arial" w:cs="Arial"/>
        </w:rPr>
      </w:pPr>
      <w:r>
        <w:rPr>
          <w:rFonts w:ascii="Arial" w:eastAsia="Arial" w:hAnsi="Arial" w:cs="Arial"/>
        </w:rPr>
        <w:t xml:space="preserve">- metodologije, pokazatelje i metrike</w:t>
      </w:r>
    </w:p>
    <w:p>
      <w:pPr>
        <w:pBdr/>
        <w:pStyle w:val="Normal"/>
        <w:spacing/>
        <w:ind/>
        <w:rPr>
          <w:rFonts w:ascii="Arial" w:eastAsia="Arial" w:hAnsi="Arial" w:cs="Arial"/>
        </w:rPr>
      </w:pPr>
      <w:r>
        <w:rPr>
          <w:rFonts w:ascii="Arial" w:eastAsia="Arial" w:hAnsi="Arial" w:cs="Arial"/>
        </w:rPr>
        <w:t xml:space="preserve">- protokole razmjene podataka i</w:t>
      </w:r>
    </w:p>
    <w:p>
      <w:pPr>
        <w:pBdr/>
        <w:pStyle w:val="Normal"/>
        <w:spacing/>
        <w:ind/>
        <w:rPr>
          <w:rFonts w:ascii="Arial" w:eastAsia="Arial" w:hAnsi="Arial" w:cs="Arial"/>
        </w:rPr>
      </w:pPr>
      <w:r>
        <w:rPr>
          <w:rFonts w:ascii="Arial" w:eastAsia="Arial" w:hAnsi="Arial" w:cs="Arial"/>
        </w:rPr>
        <w:t xml:space="preserve">- obveze obavješćivanja i objave podataka.</w:t>
      </w:r>
    </w:p>
    <w:p>
      <w:pPr>
        <w:pBdr/>
        <w:pStyle w:val="Normal"/>
        <w:spacing/>
        <w:ind/>
        <w:rPr>
          <w:rFonts w:ascii="Arial" w:eastAsia="Arial" w:hAnsi="Arial" w:cs="Arial"/>
        </w:rPr>
      </w:pPr>
      <w:r>
        <w:rPr>
          <w:rFonts w:ascii="Arial" w:eastAsia="Arial" w:hAnsi="Arial" w:cs="Arial"/>
        </w:rPr>
        <w:t xml:space="preserve">(3) Nadležnosti za pojedine dijelove sustava ISZOP-</w:t>
      </w:r>
      <w:r>
        <w:rPr>
          <w:rFonts w:ascii="Arial" w:eastAsia="Arial" w:hAnsi="Arial" w:cs="Arial"/>
        </w:rPr>
        <w:t xml:space="preserve">a propisuju se ovim Zakonom i posebnim propisima kojima se uređuju zaštita okoliša i prirode.</w:t>
      </w:r>
    </w:p>
    <w:p>
      <w:pPr>
        <w:pBdr/>
        <w:pStyle w:val="Normal"/>
        <w:spacing/>
        <w:ind/>
        <w:rPr>
          <w:rFonts w:ascii="Arial" w:eastAsia="Arial" w:hAnsi="Arial" w:cs="Arial"/>
        </w:rPr>
      </w:pPr>
      <w:r>
        <w:rPr>
          <w:rFonts w:ascii="Arial" w:eastAsia="Arial" w:hAnsi="Arial" w:cs="Arial"/>
        </w:rPr>
        <w:t xml:space="preserve">(4) Inspekcijska tijela koriste ISZOP kao alat za planiranje nadzora i procjenu rizika iz područja zaštite okoliša i prirode.</w:t>
      </w:r>
    </w:p>
    <w:p>
      <w:pPr>
        <w:pBdr/>
        <w:pStyle w:val="Normal"/>
        <w:spacing/>
        <w:ind/>
        <w:rPr>
          <w:rFonts w:ascii="Arial" w:eastAsia="Arial" w:hAnsi="Arial" w:cs="Arial"/>
        </w:rPr>
      </w:pPr>
    </w:p>
    <w:p>
      <w:pPr>
        <w:pBdr/>
        <w:pStyle w:val="Heading 2"/>
        <w:spacing/>
        <w:ind/>
        <w:rPr/>
      </w:pPr>
      <w:r>
        <w:rPr/>
        <w:t xml:space="preserve">Članak 217.</w:t>
      </w:r>
    </w:p>
    <w:p>
      <w:pPr>
        <w:pBdr/>
        <w:pStyle w:val="Normal"/>
        <w:spacing/>
        <w:ind/>
        <w:rPr>
          <w:rFonts w:ascii="Arial" w:eastAsia="Arial" w:hAnsi="Arial" w:cs="Arial"/>
        </w:rPr>
      </w:pPr>
      <w:r>
        <w:rPr>
          <w:rFonts w:ascii="Arial" w:eastAsia="Arial" w:hAnsi="Arial" w:cs="Arial"/>
        </w:rPr>
        <w:t xml:space="preserve">(1) Obveznici dostavljaju podatke prema standardima i rokovima propisanim ovim Zakonom i drugim propisima kojima je uređena dostava ili razmjena podataka.</w:t>
      </w:r>
    </w:p>
    <w:p>
      <w:pPr>
        <w:pBdr/>
        <w:pStyle w:val="Normal"/>
        <w:spacing/>
        <w:ind/>
        <w:rPr>
          <w:rFonts w:ascii="Arial" w:eastAsia="Arial" w:hAnsi="Arial" w:cs="Arial"/>
        </w:rPr>
      </w:pPr>
      <w:r>
        <w:rPr>
          <w:rFonts w:ascii="Arial" w:eastAsia="Arial" w:hAnsi="Arial" w:cs="Arial"/>
        </w:rPr>
        <w:t xml:space="preserve">(2) Obveznici iz stavka 1. ovoga članka osiguravaju kvalitetu i točnost dostavljenih podataka i omogućuju pristup tim podacima tijekom inspekcijskog nadzora.</w:t>
      </w:r>
    </w:p>
    <w:p>
      <w:pPr>
        <w:pBdr/>
        <w:pStyle w:val="Normal"/>
        <w:spacing/>
        <w:ind/>
        <w:rPr>
          <w:rFonts w:ascii="Arial" w:eastAsia="Arial" w:hAnsi="Arial" w:cs="Arial"/>
        </w:rPr>
      </w:pPr>
      <w:r>
        <w:rPr>
          <w:rFonts w:ascii="Arial" w:eastAsia="Arial" w:hAnsi="Arial" w:cs="Arial"/>
        </w:rPr>
        <w:t xml:space="preserve">(3) Uz obveznike iz stavka 1. ovoga članka, znanstvene i stručne institucije, jedinice lokalne i područne (regionalne) samouprave te druge pravne i fizičke osobe koje provode istraživanja i praćenja okoliša i prirode financirana javnim nacionalnim i sredstvima Europske unije dužne su po završetku istraživanja dostaviti podatke u ISZOP u strojno čitljivom digitalnom formatu ili ih izravno unijeti u ISZOP, uz potrebne metapodatke. </w:t>
      </w:r>
    </w:p>
    <w:p>
      <w:pPr>
        <w:pBdr/>
        <w:pStyle w:val="Normal"/>
        <w:spacing/>
        <w:ind/>
        <w:rPr>
          <w:rFonts w:ascii="Arial" w:eastAsia="Arial" w:hAnsi="Arial" w:cs="Arial"/>
        </w:rPr>
      </w:pPr>
      <w:r>
        <w:rPr>
          <w:rFonts w:ascii="Arial" w:eastAsia="Arial" w:hAnsi="Arial" w:cs="Arial"/>
        </w:rPr>
        <w:t xml:space="preserve">(4) Tijela javne vlasti dužna su podatke kojima raspolažu o postojećem stanju, načinu i uvjetima korištenja i zaštite okoliša i prirode učiniti dostupnima putem ISZOP-</w:t>
      </w:r>
      <w:r>
        <w:rPr>
          <w:rFonts w:ascii="Arial" w:eastAsia="Arial" w:hAnsi="Arial" w:cs="Arial"/>
        </w:rPr>
        <w:t xml:space="preserve">a povezivanjem svojih informacijskih sustava s ISZOP-</w:t>
      </w:r>
      <w:r>
        <w:rPr>
          <w:rFonts w:ascii="Arial" w:eastAsia="Arial" w:hAnsi="Arial" w:cs="Arial"/>
        </w:rPr>
        <w:t xml:space="preserve">om, bez naknade i na vlastiti trošak.</w:t>
      </w:r>
    </w:p>
    <w:p>
      <w:pPr>
        <w:pBdr/>
        <w:pStyle w:val="Normal"/>
        <w:spacing/>
        <w:ind/>
        <w:rPr>
          <w:rFonts w:ascii="Arial" w:eastAsia="Arial" w:hAnsi="Arial" w:cs="Arial"/>
          <w:b/>
          <w:bCs/>
        </w:rPr>
      </w:pPr>
    </w:p>
    <w:p>
      <w:pPr>
        <w:pBdr/>
        <w:pStyle w:val="Heading 2"/>
        <w:spacing/>
        <w:ind/>
        <w:rPr/>
      </w:pPr>
      <w:r>
        <w:rPr/>
        <w:t xml:space="preserve">Članak 218.</w:t>
      </w:r>
    </w:p>
    <w:p>
      <w:pPr>
        <w:pBdr/>
        <w:pStyle w:val="Normal"/>
        <w:spacing/>
        <w:ind/>
        <w:rPr>
          <w:rFonts w:ascii="Arial" w:eastAsia="Arial" w:hAnsi="Arial" w:cs="Arial"/>
        </w:rPr>
      </w:pPr>
      <w:r>
        <w:rPr>
          <w:rFonts w:ascii="Arial" w:eastAsia="Arial" w:hAnsi="Arial" w:cs="Arial"/>
        </w:rPr>
        <w:t xml:space="preserve">(1) ISZOP mora biti usklađen s načelima interoperabilnosti, sigurnosti i zaštite podataka prema međunarodnim standardima te osiguravati interoperabilnost s europskim i međunarodnim bazama podataka.</w:t>
      </w:r>
    </w:p>
    <w:p>
      <w:pPr>
        <w:pBdr/>
        <w:pStyle w:val="Normal"/>
        <w:spacing/>
        <w:ind/>
        <w:rPr>
          <w:rFonts w:ascii="Arial" w:eastAsia="Arial" w:hAnsi="Arial" w:cs="Arial"/>
        </w:rPr>
      </w:pPr>
      <w:r>
        <w:rPr>
          <w:rFonts w:ascii="Arial" w:eastAsia="Arial" w:hAnsi="Arial" w:cs="Arial"/>
        </w:rPr>
        <w:t xml:space="preserve">(2) Podaci se dostavljaju, pohranjuju i objavljuju u otvorenim i strojno čitljivim formatima.</w:t>
      </w:r>
    </w:p>
    <w:p>
      <w:pPr>
        <w:pBdr/>
        <w:pStyle w:val="Normal"/>
        <w:spacing/>
        <w:ind/>
        <w:rPr>
          <w:rFonts w:ascii="Arial" w:eastAsia="Arial" w:hAnsi="Arial" w:cs="Arial"/>
        </w:rPr>
      </w:pPr>
    </w:p>
    <w:p>
      <w:pPr>
        <w:pBdr/>
        <w:pStyle w:val="Heading 2"/>
        <w:spacing/>
        <w:ind/>
        <w:rPr>
          <w:bCs/>
        </w:rPr>
      </w:pPr>
      <w:r>
        <w:rPr/>
        <w:t xml:space="preserve">Članak 219.</w:t>
      </w:r>
    </w:p>
    <w:p>
      <w:pPr>
        <w:pBdr/>
        <w:pStyle w:val="Normal"/>
        <w:spacing/>
        <w:ind/>
        <w:rPr>
          <w:rFonts w:ascii="Arial" w:eastAsia="Arial" w:hAnsi="Arial" w:cs="Arial"/>
        </w:rPr>
      </w:pPr>
      <w:r>
        <w:rPr>
          <w:rFonts w:ascii="Arial" w:eastAsia="Arial" w:hAnsi="Arial" w:cs="Arial"/>
        </w:rPr>
        <w:t xml:space="preserve">(1) Podaci u ISZOP-</w:t>
      </w:r>
      <w:r>
        <w:rPr>
          <w:rFonts w:ascii="Arial" w:eastAsia="Arial" w:hAnsi="Arial" w:cs="Arial"/>
        </w:rPr>
        <w:t xml:space="preserve">u su javni, osim podataka za koje je određena zaštita tajnosti sukladno posebnim propisima kojima se uređuje zaštita tajnosti podataka.</w:t>
      </w:r>
    </w:p>
    <w:p>
      <w:pPr>
        <w:pBdr/>
        <w:pStyle w:val="Normal"/>
        <w:spacing/>
        <w:ind/>
        <w:rPr>
          <w:rFonts w:ascii="Arial" w:eastAsia="Arial" w:hAnsi="Arial" w:cs="Arial"/>
        </w:rPr>
      </w:pPr>
      <w:r>
        <w:rPr>
          <w:rFonts w:ascii="Arial" w:eastAsia="Arial" w:hAnsi="Arial" w:cs="Arial"/>
        </w:rPr>
        <w:t xml:space="preserve">(2) ISZOP omogućuje besplatan javni pristup podacima u obliku otvorenih podataka i putem mrežnih servisa za razmjenu podataka, a podaci su dostupni putem portala ISZOP-</w:t>
      </w:r>
      <w:r>
        <w:rPr>
          <w:rFonts w:ascii="Arial" w:eastAsia="Arial" w:hAnsi="Arial" w:cs="Arial"/>
        </w:rPr>
        <w:t xml:space="preserve">a ili mrežnih sučelja njegovih tematskih baza koja omogućuju pretraživanje, preuzimanje i vizualizaciju podataka.</w:t>
      </w:r>
    </w:p>
    <w:p>
      <w:pPr>
        <w:pBdr/>
        <w:pStyle w:val="Normal"/>
        <w:spacing/>
        <w:ind/>
        <w:rPr>
          <w:rFonts w:ascii="Arial" w:eastAsia="Arial" w:hAnsi="Arial" w:cs="Arial"/>
        </w:rPr>
      </w:pPr>
      <w:r>
        <w:rPr>
          <w:rFonts w:ascii="Arial" w:eastAsia="Arial" w:hAnsi="Arial" w:cs="Arial"/>
        </w:rPr>
        <w:t xml:space="preserve">(3) Podaci, informacije i dokumenti koji se u ISZOP-</w:t>
      </w:r>
      <w:r>
        <w:rPr>
          <w:rFonts w:ascii="Arial" w:eastAsia="Arial" w:hAnsi="Arial" w:cs="Arial"/>
        </w:rPr>
        <w:t xml:space="preserve">u vode radi razmjene između nadležnih tijela i vođenja službenih evidencija, a za koje nije propisana obveza javne objave, ne objavljuju se putem portala ili mrežnih sučelja ISZOP-</w:t>
      </w:r>
      <w:r>
        <w:rPr>
          <w:rFonts w:ascii="Arial" w:eastAsia="Arial" w:hAnsi="Arial" w:cs="Arial"/>
        </w:rPr>
        <w:t xml:space="preserve">a.</w:t>
      </w:r>
    </w:p>
    <w:p>
      <w:pPr>
        <w:pBdr/>
        <w:pStyle w:val="Normal"/>
        <w:spacing/>
        <w:ind/>
        <w:rPr>
          <w:rFonts w:ascii="Arial" w:eastAsia="Arial" w:hAnsi="Arial" w:cs="Arial"/>
        </w:rPr>
      </w:pPr>
      <w:r>
        <w:rPr>
          <w:rFonts w:ascii="Arial" w:eastAsia="Arial" w:hAnsi="Arial" w:cs="Arial"/>
        </w:rPr>
        <w:t xml:space="preserve">(4) Portali i mrežna sučelja iz stavka 2. ovoga članka moraju biti usklađeni s digitalnim standardima i prilagođeni korisnicima ISZOP-</w:t>
      </w:r>
      <w:r>
        <w:rPr>
          <w:rFonts w:ascii="Arial" w:eastAsia="Arial" w:hAnsi="Arial" w:cs="Arial"/>
        </w:rPr>
        <w:t xml:space="preserve">a.</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DIO OSMI ELEKTRONIČKI SUSTAV ZA PROVEDBU POSTUPAKA U ZAŠTITI OKOLIŠA</w:t>
      </w:r>
    </w:p>
    <w:p>
      <w:pPr>
        <w:pBdr/>
        <w:pStyle w:val="Heading 2"/>
        <w:spacing/>
        <w:ind/>
        <w:rPr/>
      </w:pPr>
      <w:r>
        <w:rPr/>
        <w:t xml:space="preserve">e-Okoliš</w:t>
      </w:r>
    </w:p>
    <w:p>
      <w:pPr>
        <w:pBdr/>
        <w:pStyle w:val="Heading 2"/>
        <w:spacing/>
        <w:ind/>
        <w:rPr/>
      </w:pPr>
      <w:r>
        <w:rPr/>
        <w:t xml:space="preserve">Članak 220.</w:t>
      </w:r>
    </w:p>
    <w:p>
      <w:pPr>
        <w:pBdr/>
        <w:pStyle w:val="Normal"/>
        <w:spacing/>
        <w:ind/>
        <w:rPr>
          <w:rFonts w:ascii="Arial" w:eastAsia="Arial" w:hAnsi="Arial" w:cs="Arial"/>
        </w:rPr>
      </w:pPr>
      <w:r>
        <w:rPr>
          <w:rFonts w:ascii="Arial" w:eastAsia="Arial" w:hAnsi="Arial" w:cs="Arial"/>
        </w:rPr>
        <w:t xml:space="preserve">(1) Ministarstvo uspostavlja jedinstveni digitalni sustav za elektroničku provedbu upravnih i drugih postupaka u području zaštite okoliša (u daljnjem tekstu: e-</w:t>
      </w:r>
      <w:r>
        <w:rPr>
          <w:rFonts w:ascii="Arial" w:eastAsia="Arial" w:hAnsi="Arial" w:cs="Arial"/>
        </w:rPr>
        <w:t xml:space="preserve">Okoliš).</w:t>
      </w:r>
    </w:p>
    <w:p>
      <w:pPr>
        <w:pBdr/>
        <w:pStyle w:val="Normal"/>
        <w:spacing/>
        <w:ind/>
        <w:rPr>
          <w:rFonts w:ascii="Arial" w:eastAsia="Arial" w:hAnsi="Arial" w:cs="Arial"/>
        </w:rPr>
      </w:pPr>
      <w:r>
        <w:rPr>
          <w:rFonts w:ascii="Arial" w:eastAsia="Arial" w:hAnsi="Arial" w:cs="Arial"/>
        </w:rPr>
        <w:t xml:space="preserve">(2) e-</w:t>
      </w:r>
      <w:r>
        <w:rPr>
          <w:rFonts w:ascii="Arial" w:eastAsia="Arial" w:hAnsi="Arial" w:cs="Arial"/>
        </w:rPr>
        <w:t xml:space="preserve">Okoliš obuhvaća osobito postupke:</w:t>
      </w:r>
    </w:p>
    <w:p>
      <w:pPr>
        <w:pBdr/>
        <w:pStyle w:val="Normal"/>
        <w:spacing/>
        <w:ind/>
        <w:rPr>
          <w:rFonts w:ascii="Arial" w:eastAsia="Arial" w:hAnsi="Arial" w:cs="Arial"/>
        </w:rPr>
      </w:pPr>
      <w:r>
        <w:rPr>
          <w:rFonts w:ascii="Arial" w:eastAsia="Arial" w:hAnsi="Arial" w:cs="Arial"/>
        </w:rPr>
        <w:t xml:space="preserve">- strateške procjene utjecaja na okoliš</w:t>
      </w:r>
    </w:p>
    <w:p>
      <w:pPr>
        <w:pBdr/>
        <w:pStyle w:val="Normal"/>
        <w:spacing/>
        <w:ind/>
        <w:rPr>
          <w:rFonts w:ascii="Arial" w:eastAsia="Arial" w:hAnsi="Arial" w:cs="Arial"/>
        </w:rPr>
      </w:pPr>
      <w:r>
        <w:rPr>
          <w:rFonts w:ascii="Arial" w:eastAsia="Arial" w:hAnsi="Arial" w:cs="Arial"/>
        </w:rPr>
        <w:t xml:space="preserve">- procjene utjecaja na okoliš</w:t>
      </w:r>
    </w:p>
    <w:p>
      <w:pPr>
        <w:pBdr/>
        <w:pStyle w:val="Normal"/>
        <w:spacing/>
        <w:ind/>
        <w:rPr>
          <w:rFonts w:ascii="Arial" w:eastAsia="Arial" w:hAnsi="Arial" w:cs="Arial"/>
        </w:rPr>
      </w:pPr>
      <w:r>
        <w:rPr>
          <w:rFonts w:ascii="Arial" w:eastAsia="Arial" w:hAnsi="Arial" w:cs="Arial"/>
        </w:rPr>
        <w:t xml:space="preserve">- ocjene o potrebi procjene utjecaja na okoliš</w:t>
      </w:r>
    </w:p>
    <w:p>
      <w:pPr>
        <w:pBdr/>
        <w:pStyle w:val="Normal"/>
        <w:spacing/>
        <w:ind/>
        <w:rPr>
          <w:rFonts w:ascii="Arial" w:eastAsia="Arial" w:hAnsi="Arial" w:cs="Arial"/>
        </w:rPr>
      </w:pPr>
      <w:r>
        <w:rPr>
          <w:rFonts w:ascii="Arial" w:eastAsia="Arial" w:hAnsi="Arial" w:cs="Arial"/>
        </w:rPr>
        <w:t xml:space="preserve">- izdavanja, izmjene i preispitivanja okolišnih dozvola</w:t>
      </w:r>
    </w:p>
    <w:p>
      <w:pPr>
        <w:pBdr/>
        <w:pStyle w:val="Normal"/>
        <w:spacing/>
        <w:ind/>
        <w:rPr>
          <w:rFonts w:ascii="Arial" w:eastAsia="Arial" w:hAnsi="Arial" w:cs="Arial"/>
        </w:rPr>
      </w:pPr>
      <w:r>
        <w:rPr>
          <w:rFonts w:ascii="Arial" w:eastAsia="Arial" w:hAnsi="Arial" w:cs="Arial"/>
        </w:rPr>
        <w:t xml:space="preserve">- izdavanja rješenja o radu ispod praga kapaciteta</w:t>
      </w:r>
    </w:p>
    <w:p>
      <w:pPr>
        <w:pBdr/>
        <w:pStyle w:val="Normal"/>
        <w:spacing/>
        <w:ind/>
        <w:rPr>
          <w:rFonts w:ascii="Arial" w:eastAsia="Arial" w:hAnsi="Arial" w:cs="Arial"/>
        </w:rPr>
      </w:pPr>
      <w:r>
        <w:rPr>
          <w:rFonts w:ascii="Arial" w:eastAsia="Arial" w:hAnsi="Arial" w:cs="Arial"/>
        </w:rPr>
        <w:t xml:space="preserve">- registracije postrojenja za uzgoj životinja</w:t>
      </w:r>
    </w:p>
    <w:p>
      <w:pPr>
        <w:pBdr/>
        <w:pStyle w:val="Normal"/>
        <w:spacing/>
        <w:ind/>
        <w:rPr>
          <w:rFonts w:ascii="Arial" w:eastAsia="Arial" w:hAnsi="Arial" w:cs="Arial"/>
        </w:rPr>
      </w:pPr>
      <w:r>
        <w:rPr>
          <w:rFonts w:ascii="Arial" w:eastAsia="Arial" w:hAnsi="Arial" w:cs="Arial"/>
        </w:rPr>
        <w:t xml:space="preserve">- izdavanja suglasnosti i drugih akata u području zaštite okoliša.</w:t>
      </w:r>
    </w:p>
    <w:p>
      <w:pPr>
        <w:pBdr/>
        <w:pStyle w:val="Normal"/>
        <w:spacing/>
        <w:ind/>
        <w:rPr>
          <w:rFonts w:ascii="Arial" w:eastAsia="Arial" w:hAnsi="Arial" w:cs="Arial"/>
        </w:rPr>
      </w:pPr>
    </w:p>
    <w:p>
      <w:pPr>
        <w:pBdr/>
        <w:pStyle w:val="Heading 2"/>
        <w:spacing/>
        <w:ind/>
        <w:rPr/>
      </w:pPr>
      <w:r>
        <w:rPr/>
        <w:t xml:space="preserve">Svrha i funkcionalnosti sustava</w:t>
      </w:r>
    </w:p>
    <w:p>
      <w:pPr>
        <w:pBdr/>
        <w:pStyle w:val="Heading 2"/>
        <w:spacing/>
        <w:ind/>
        <w:rPr/>
      </w:pPr>
      <w:r>
        <w:rPr/>
        <w:t xml:space="preserve">Članak 221.</w:t>
      </w:r>
    </w:p>
    <w:p>
      <w:pPr>
        <w:pBdr/>
        <w:pStyle w:val="Normal"/>
        <w:spacing/>
        <w:ind/>
        <w:rPr>
          <w:rFonts w:ascii="Arial" w:eastAsia="Arial" w:hAnsi="Arial" w:cs="Arial"/>
        </w:rPr>
      </w:pPr>
      <w:r>
        <w:rPr>
          <w:rFonts w:ascii="Arial" w:eastAsia="Arial" w:hAnsi="Arial" w:cs="Arial"/>
        </w:rPr>
        <w:t xml:space="preserve">(1) Putem sustava e-</w:t>
      </w:r>
      <w:r>
        <w:rPr>
          <w:rFonts w:ascii="Arial" w:eastAsia="Arial" w:hAnsi="Arial" w:cs="Arial"/>
        </w:rPr>
        <w:t xml:space="preserve">Okoliš osiguravaju se elektronička provedba i standardizacija postupaka iz članka 220. stavka 2. ovoga Zakona te dostupnost informacija o tim postupcima u skladu s ovim Zakonom. </w:t>
      </w:r>
    </w:p>
    <w:p>
      <w:pPr>
        <w:pBdr/>
        <w:pStyle w:val="Normal"/>
        <w:spacing/>
        <w:ind/>
        <w:rPr>
          <w:rFonts w:ascii="Arial" w:eastAsia="Arial" w:hAnsi="Arial" w:cs="Arial"/>
        </w:rPr>
      </w:pPr>
      <w:r>
        <w:rPr>
          <w:rFonts w:ascii="Arial" w:eastAsia="Arial" w:hAnsi="Arial" w:cs="Arial"/>
        </w:rPr>
        <w:t xml:space="preserve">(2) e-</w:t>
      </w:r>
      <w:r>
        <w:rPr>
          <w:rFonts w:ascii="Arial" w:eastAsia="Arial" w:hAnsi="Arial" w:cs="Arial"/>
        </w:rPr>
        <w:t xml:space="preserve">Okoliš omogućuje osobito:</w:t>
      </w:r>
    </w:p>
    <w:p>
      <w:pPr>
        <w:pBdr/>
        <w:pStyle w:val="Normal"/>
        <w:spacing/>
        <w:ind/>
        <w:rPr>
          <w:rFonts w:ascii="Arial" w:eastAsia="Arial" w:hAnsi="Arial" w:cs="Arial"/>
        </w:rPr>
      </w:pPr>
      <w:r>
        <w:rPr>
          <w:rFonts w:ascii="Arial" w:eastAsia="Arial" w:hAnsi="Arial" w:cs="Arial"/>
        </w:rPr>
        <w:t xml:space="preserve">- elektroničko podnošenje zahtjeva i dokumentacije</w:t>
      </w:r>
    </w:p>
    <w:p>
      <w:pPr>
        <w:pBdr/>
        <w:pStyle w:val="Normal"/>
        <w:spacing/>
        <w:ind/>
        <w:rPr>
          <w:rFonts w:ascii="Arial" w:eastAsia="Arial" w:hAnsi="Arial" w:cs="Arial"/>
        </w:rPr>
      </w:pPr>
      <w:r>
        <w:rPr>
          <w:rFonts w:ascii="Arial" w:eastAsia="Arial" w:hAnsi="Arial" w:cs="Arial"/>
        </w:rPr>
        <w:t xml:space="preserve">- elektroničku komunikaciju između sudionika postupka</w:t>
      </w:r>
    </w:p>
    <w:p>
      <w:pPr>
        <w:pBdr/>
        <w:pStyle w:val="Normal"/>
        <w:spacing/>
        <w:ind/>
        <w:rPr>
          <w:rFonts w:ascii="Arial" w:eastAsia="Arial" w:hAnsi="Arial" w:cs="Arial"/>
        </w:rPr>
      </w:pPr>
      <w:r>
        <w:rPr>
          <w:rFonts w:ascii="Arial" w:eastAsia="Arial" w:hAnsi="Arial" w:cs="Arial"/>
        </w:rPr>
        <w:t xml:space="preserve">- razmjenu podataka s drugim informacijskim sustavima</w:t>
      </w:r>
    </w:p>
    <w:p>
      <w:pPr>
        <w:pBdr/>
        <w:pStyle w:val="Normal"/>
        <w:spacing/>
        <w:ind/>
        <w:rPr>
          <w:rFonts w:ascii="Arial" w:eastAsia="Arial" w:hAnsi="Arial" w:cs="Arial"/>
        </w:rPr>
      </w:pPr>
      <w:r>
        <w:rPr>
          <w:rFonts w:ascii="Arial" w:eastAsia="Arial" w:hAnsi="Arial" w:cs="Arial"/>
        </w:rPr>
        <w:t xml:space="preserve">- praćenje statusa predmeta</w:t>
      </w:r>
    </w:p>
    <w:p>
      <w:pPr>
        <w:pBdr/>
        <w:pStyle w:val="Normal"/>
        <w:spacing/>
        <w:ind/>
        <w:rPr>
          <w:rFonts w:ascii="Arial" w:eastAsia="Arial" w:hAnsi="Arial" w:cs="Arial"/>
        </w:rPr>
      </w:pPr>
      <w:r>
        <w:rPr>
          <w:rFonts w:ascii="Arial" w:eastAsia="Arial" w:hAnsi="Arial" w:cs="Arial"/>
        </w:rPr>
        <w:t xml:space="preserve">- elektroničku dostavu akata i obavijesti</w:t>
      </w:r>
    </w:p>
    <w:p>
      <w:pPr>
        <w:pBdr/>
        <w:pStyle w:val="Normal"/>
        <w:spacing/>
        <w:ind/>
        <w:rPr>
          <w:rFonts w:ascii="Arial" w:eastAsia="Arial" w:hAnsi="Arial" w:cs="Arial"/>
        </w:rPr>
      </w:pPr>
      <w:r>
        <w:rPr>
          <w:rFonts w:ascii="Arial" w:eastAsia="Arial" w:hAnsi="Arial" w:cs="Arial"/>
        </w:rPr>
        <w:t xml:space="preserve">- javnu objavu podataka u skladu s ovim Zakonom.</w:t>
      </w:r>
    </w:p>
    <w:p>
      <w:pPr>
        <w:pBdr/>
        <w:pStyle w:val="Normal"/>
        <w:spacing/>
        <w:ind/>
        <w:rPr>
          <w:rFonts w:ascii="Arial" w:eastAsia="Arial" w:hAnsi="Arial" w:cs="Arial"/>
        </w:rPr>
      </w:pPr>
      <w:r>
        <w:rPr>
          <w:rFonts w:ascii="Arial" w:eastAsia="Arial" w:hAnsi="Arial" w:cs="Arial"/>
        </w:rPr>
        <w:t xml:space="preserve">(3) e-</w:t>
      </w:r>
      <w:r>
        <w:rPr>
          <w:rFonts w:ascii="Arial" w:eastAsia="Arial" w:hAnsi="Arial" w:cs="Arial"/>
        </w:rPr>
        <w:t xml:space="preserve">Okoliš je interoperabilan s Informacijskim sustavom zaštite okoliša i prirode te drugim državnim informacijskim sustavima i registrima.</w:t>
      </w:r>
    </w:p>
    <w:p>
      <w:pPr>
        <w:pBdr/>
        <w:pStyle w:val="Normal"/>
        <w:spacing/>
        <w:ind/>
        <w:rPr>
          <w:rFonts w:ascii="Arial" w:eastAsia="Arial" w:hAnsi="Arial" w:cs="Arial"/>
        </w:rPr>
      </w:pPr>
    </w:p>
    <w:p>
      <w:pPr>
        <w:pBdr/>
        <w:pStyle w:val="Heading 2"/>
        <w:spacing/>
        <w:ind/>
        <w:rPr/>
      </w:pPr>
      <w:r>
        <w:rPr/>
        <w:t xml:space="preserve">Podzakonski propisi i tehnički uvjeti</w:t>
      </w:r>
    </w:p>
    <w:p>
      <w:pPr>
        <w:pBdr/>
        <w:pStyle w:val="Heading 2"/>
        <w:spacing/>
        <w:ind/>
        <w:rPr/>
      </w:pPr>
      <w:r>
        <w:rPr/>
        <w:t xml:space="preserve">Članak 222.</w:t>
      </w:r>
    </w:p>
    <w:p>
      <w:pPr>
        <w:pBdr/>
        <w:pStyle w:val="Normal"/>
        <w:spacing/>
        <w:ind/>
        <w:rPr>
          <w:rFonts w:ascii="Arial" w:eastAsia="Arial" w:hAnsi="Arial" w:cs="Arial"/>
        </w:rPr>
      </w:pPr>
      <w:r>
        <w:rPr>
          <w:rFonts w:ascii="Arial" w:eastAsia="Arial" w:hAnsi="Arial" w:cs="Arial"/>
        </w:rPr>
        <w:t xml:space="preserve">Tehničke uvjete, način rada, način pristupa i korištenja e-</w:t>
      </w:r>
      <w:r>
        <w:rPr>
          <w:rFonts w:ascii="Arial" w:eastAsia="Arial" w:hAnsi="Arial" w:cs="Arial"/>
        </w:rPr>
        <w:t xml:space="preserve">Okoliša, elektroničku razmjenu podataka između sudionika postupaka ministar propisuje pravilnikom.</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DIO DEVETI INFORMIRANJE JAVNOSTI, SUDJELOVANJE JAVNOSTI I ZAINTERESIRANE JAVNOSTI</w:t>
      </w:r>
    </w:p>
    <w:p>
      <w:pPr>
        <w:pBdr/>
        <w:pStyle w:val="Heading 1"/>
        <w:spacing/>
        <w:ind/>
        <w:rPr>
          <w:rFonts w:ascii="Arial" w:eastAsia="Arial" w:hAnsi="Arial" w:cs="Arial"/>
          <w:szCs w:val="24"/>
        </w:rPr>
      </w:pPr>
      <w:bookmarkStart w:name="_Toc397071798" w:id="13"/>
      <w:bookmarkStart w:name="_Toc425679435" w:id="14"/>
      <w:bookmarkStart w:name="_Toc237275920" w:id="15"/>
      <w:r>
        <w:rPr>
          <w:rFonts w:ascii="Arial" w:eastAsia="Arial" w:hAnsi="Arial" w:cs="Arial"/>
          <w:szCs w:val="24"/>
        </w:rPr>
        <w:t xml:space="preserve">GLAVA I. </w:t>
      </w:r>
      <w:bookmarkEnd w:id="13"/>
      <w:bookmarkEnd w:id="14"/>
      <w:bookmarkEnd w:id="15"/>
      <w:r>
        <w:rPr>
          <w:rFonts w:ascii="Arial" w:eastAsia="Arial" w:hAnsi="Arial" w:cs="Arial"/>
          <w:szCs w:val="24"/>
        </w:rPr>
        <w:t xml:space="preserve">INFORMIRANJE JAVNOSTI O OKOLIŠU</w:t>
      </w:r>
    </w:p>
    <w:p>
      <w:pPr>
        <w:pBdr/>
        <w:pStyle w:val="Heading 2"/>
        <w:spacing/>
        <w:ind/>
        <w:rPr/>
      </w:pPr>
      <w:r>
        <w:rPr/>
        <w:t xml:space="preserve">Članak 223.</w:t>
      </w:r>
    </w:p>
    <w:p>
      <w:pPr>
        <w:pBdr/>
        <w:pStyle w:val="Normal"/>
        <w:spacing/>
        <w:ind/>
        <w:rPr>
          <w:rFonts w:ascii="Arial" w:eastAsia="Arial" w:hAnsi="Arial" w:cs="Arial"/>
        </w:rPr>
      </w:pPr>
      <w:r>
        <w:rPr>
          <w:rFonts w:ascii="Arial" w:eastAsia="Arial" w:hAnsi="Arial" w:cs="Arial"/>
        </w:rPr>
        <w:t xml:space="preserve">Tijelo javne vlasti dužno je osigurati pristup informacijama o okolišu u skladu s odredbama ovoga Zakona i posebnim propisima kojima se uređuje pravo na pristup informacijama.</w:t>
      </w:r>
    </w:p>
    <w:p>
      <w:pPr>
        <w:pBdr/>
        <w:pStyle w:val="Normal"/>
        <w:spacing/>
        <w:ind/>
        <w:rPr>
          <w:rFonts w:ascii="Arial" w:eastAsia="Arial" w:hAnsi="Arial" w:cs="Arial"/>
          <w:i/>
        </w:rPr>
      </w:pPr>
    </w:p>
    <w:p>
      <w:pPr>
        <w:pBdr/>
        <w:pStyle w:val="Heading 2"/>
        <w:spacing/>
        <w:ind/>
        <w:rPr/>
      </w:pPr>
      <w:r>
        <w:rPr/>
        <w:t xml:space="preserve">Pravo na pristup informacijama o okolišu</w:t>
      </w:r>
    </w:p>
    <w:p>
      <w:pPr>
        <w:pBdr/>
        <w:pStyle w:val="Heading 2"/>
        <w:spacing/>
        <w:ind/>
        <w:rPr/>
      </w:pPr>
      <w:r>
        <w:rPr/>
        <w:t xml:space="preserve">Članak 224.</w:t>
      </w:r>
    </w:p>
    <w:p>
      <w:pPr>
        <w:pBdr/>
        <w:pStyle w:val="Normal"/>
        <w:spacing/>
        <w:ind/>
        <w:rPr>
          <w:rFonts w:ascii="Arial" w:eastAsia="Arial" w:hAnsi="Arial" w:cs="Arial"/>
        </w:rPr>
      </w:pPr>
      <w:r>
        <w:rPr>
          <w:rFonts w:ascii="Arial" w:eastAsia="Arial" w:hAnsi="Arial" w:cs="Arial"/>
        </w:rPr>
        <w:t xml:space="preserve">Pravo na pristup informacijama o okolišu odnosi se na svaku informaciju u smislu propisa iz područja prava na pristup informacijama, a koja se odnosi na:</w:t>
      </w:r>
    </w:p>
    <w:p>
      <w:pPr>
        <w:pBdr/>
        <w:pStyle w:val="Normal"/>
        <w:spacing/>
        <w:ind/>
        <w:rPr>
          <w:rFonts w:ascii="Arial" w:eastAsia="Arial" w:hAnsi="Arial" w:cs="Arial"/>
        </w:rPr>
      </w:pPr>
      <w:r>
        <w:rPr>
          <w:rFonts w:ascii="Arial" w:eastAsia="Arial" w:hAnsi="Arial" w:cs="Arial"/>
          <w:color w:val="000000"/>
        </w:rPr>
        <w:t xml:space="preserve">- stanje sastavnica okoliša te međuutjecaje pojedinih sastavnica okoliša i opterećenja</w:t>
      </w:r>
    </w:p>
    <w:p>
      <w:pPr>
        <w:pBdr/>
        <w:pStyle w:val="Normal"/>
        <w:spacing/>
        <w:ind/>
        <w:rPr>
          <w:rFonts w:ascii="Arial" w:eastAsia="Arial" w:hAnsi="Arial" w:cs="Arial"/>
        </w:rPr>
      </w:pPr>
      <w:r>
        <w:rPr>
          <w:rFonts w:ascii="Arial" w:eastAsia="Arial" w:hAnsi="Arial" w:cs="Arial"/>
          <w:color w:val="000000"/>
        </w:rPr>
        <w:t xml:space="preserve">- opterećenja, tvari, energiju, buku, zračenje, radijaciju, uključujući radioaktivni otpad, otpad, emisije, GMO i druga ispuštanja u okoliš koja utječu ili mogu utjecati na sastavnice okoliša iz podstavka 1. ovoga članka</w:t>
      </w:r>
    </w:p>
    <w:p>
      <w:pPr>
        <w:pBdr/>
        <w:pStyle w:val="Normal"/>
        <w:spacing/>
        <w:ind/>
        <w:rPr>
          <w:rFonts w:ascii="Arial" w:eastAsia="Arial" w:hAnsi="Arial" w:cs="Arial"/>
        </w:rPr>
      </w:pPr>
      <w:r>
        <w:rPr>
          <w:rFonts w:ascii="Arial" w:eastAsia="Arial" w:hAnsi="Arial" w:cs="Arial"/>
          <w:color w:val="000000"/>
        </w:rPr>
        <w:t xml:space="preserve">- mjere, uključujući administrativne mjere, kao što su strateški dokumenti, propisi, planovi, programi, sporazumi o okolišu, te aktivnosti koje mogu izravno ili neizravno utjecati na sastavnice okoliša i opterećenja iz podstavaka 1. i 2. ovoga članka, kao i mjere ili aktivnosti utvrđene radi zaštite okoliša i sastavnica okoliša</w:t>
      </w:r>
    </w:p>
    <w:p>
      <w:pPr>
        <w:pBdr/>
        <w:pStyle w:val="Normal"/>
        <w:spacing/>
        <w:ind/>
        <w:rPr>
          <w:rFonts w:ascii="Arial" w:eastAsia="Arial" w:hAnsi="Arial" w:cs="Arial"/>
        </w:rPr>
      </w:pPr>
      <w:r>
        <w:rPr>
          <w:rFonts w:ascii="Arial" w:eastAsia="Arial" w:hAnsi="Arial" w:cs="Arial"/>
        </w:rPr>
        <w:t xml:space="preserve">- analize troškova i koristi te druge financijske i ekonomske analize i pretpostavke koje se primjenjuju kao dio mjera i aktivnosti radi zaštite i poboljšanja stanja okoliša i</w:t>
      </w:r>
    </w:p>
    <w:p>
      <w:pPr>
        <w:pBdr/>
        <w:pStyle w:val="Normal"/>
        <w:spacing/>
        <w:ind/>
        <w:rPr>
          <w:rFonts w:ascii="Arial" w:eastAsia="Arial" w:hAnsi="Arial" w:cs="Arial"/>
        </w:rPr>
      </w:pPr>
      <w:r>
        <w:rPr>
          <w:rFonts w:ascii="Arial" w:eastAsia="Arial" w:hAnsi="Arial" w:cs="Arial"/>
        </w:rPr>
        <w:t xml:space="preserve">- uvjete koji se odnose na kvalitetu ljudskog života, zdravlje i sigurnost u odnosu na okoliš, onečišćenje hranidbenog lanca, životne uvjete, lokalitete od kulturnog značaja i građevine, kada na njih utječe ili bi moglo utjecati stanje pojedinih sastavnica okoliša iz podstavka 1. ovoga članka odnosno stanje sastavnica okoliša uzrokovano opterećenjima i/ili mjerama iz podstavaka 2. i 3. ovoga članka.</w:t>
      </w:r>
    </w:p>
    <w:p>
      <w:pPr>
        <w:pBdr/>
        <w:pStyle w:val="Normal"/>
        <w:spacing/>
        <w:ind/>
        <w:rPr>
          <w:rFonts w:ascii="Arial" w:eastAsia="Arial" w:hAnsi="Arial" w:cs="Arial"/>
        </w:rPr>
      </w:pPr>
    </w:p>
    <w:p>
      <w:pPr>
        <w:pBdr/>
        <w:pStyle w:val="Heading 2"/>
        <w:spacing/>
        <w:ind/>
        <w:rPr/>
      </w:pPr>
      <w:r>
        <w:rPr/>
        <w:t xml:space="preserve">Obveza objave informacija o okolišu</w:t>
      </w:r>
    </w:p>
    <w:p>
      <w:pPr>
        <w:pBdr/>
        <w:pStyle w:val="Heading 2"/>
        <w:spacing/>
        <w:ind/>
        <w:rPr/>
      </w:pPr>
      <w:r>
        <w:rPr/>
        <w:t xml:space="preserve">Članak 225.</w:t>
      </w:r>
    </w:p>
    <w:p>
      <w:pPr>
        <w:pBdr/>
        <w:pStyle w:val="Normal"/>
        <w:spacing/>
        <w:ind/>
        <w:rPr>
          <w:rFonts w:ascii="Arial" w:eastAsia="Arial" w:hAnsi="Arial" w:cs="Arial"/>
        </w:rPr>
      </w:pPr>
      <w:r>
        <w:rPr>
          <w:rFonts w:ascii="Arial" w:eastAsia="Arial" w:hAnsi="Arial" w:cs="Arial"/>
        </w:rPr>
        <w:t xml:space="preserve">(1) Tijelo javne vlasti dužno je u okviru svoje nadležnosti putem dostupnih elektroničkih baza podataka ili drugih odgovarajućih sredstava informiranja osigurati redovitu objavu informacija o okolišu u skladu s ovim Zakonom, a osobito o:</w:t>
      </w:r>
    </w:p>
    <w:p>
      <w:pPr>
        <w:pBdr/>
        <w:pStyle w:val="Normal"/>
        <w:spacing/>
        <w:ind/>
        <w:rPr>
          <w:rFonts w:ascii="Arial" w:eastAsia="Arial" w:hAnsi="Arial" w:cs="Arial"/>
        </w:rPr>
      </w:pPr>
      <w:r>
        <w:rPr>
          <w:rFonts w:ascii="Arial" w:eastAsia="Arial" w:hAnsi="Arial" w:cs="Arial"/>
          <w:color w:val="000000"/>
        </w:rPr>
        <w:t xml:space="preserve">- međunarodnim ugovorima i sporazumima te propisima iz područja zaštite okoliša</w:t>
      </w:r>
    </w:p>
    <w:p>
      <w:pPr>
        <w:pBdr/>
        <w:pStyle w:val="Normal"/>
        <w:spacing/>
        <w:ind/>
        <w:rPr>
          <w:rFonts w:ascii="Arial" w:eastAsia="Arial" w:hAnsi="Arial" w:cs="Arial"/>
        </w:rPr>
      </w:pPr>
      <w:r>
        <w:rPr>
          <w:rFonts w:ascii="Arial" w:eastAsia="Arial" w:hAnsi="Arial" w:cs="Arial"/>
          <w:color w:val="000000"/>
        </w:rPr>
        <w:t xml:space="preserve">- strategijama, planovima, programima i drugim dokumentima zaštite okoliša</w:t>
      </w:r>
    </w:p>
    <w:p>
      <w:pPr>
        <w:pBdr/>
        <w:pStyle w:val="Normal"/>
        <w:spacing/>
        <w:ind/>
        <w:rPr>
          <w:rFonts w:ascii="Arial" w:eastAsia="Arial" w:hAnsi="Arial" w:cs="Arial"/>
        </w:rPr>
      </w:pPr>
      <w:r>
        <w:rPr>
          <w:rFonts w:ascii="Arial" w:eastAsia="Arial" w:hAnsi="Arial" w:cs="Arial"/>
          <w:color w:val="000000"/>
        </w:rPr>
        <w:t xml:space="preserve">- izvješćima o provedbi propisa iz područja zaštite okoliša, uključujući izvješća o provedbi međunarodnih ugovora i strateških dokumenata, planova i programa iz područja zaštite okoliša</w:t>
      </w:r>
    </w:p>
    <w:p>
      <w:pPr>
        <w:pBdr/>
        <w:pStyle w:val="Normal"/>
        <w:spacing/>
        <w:ind/>
        <w:rPr>
          <w:rFonts w:ascii="Arial" w:eastAsia="Arial" w:hAnsi="Arial" w:cs="Arial"/>
        </w:rPr>
      </w:pPr>
      <w:r>
        <w:rPr>
          <w:rFonts w:ascii="Arial" w:eastAsia="Arial" w:hAnsi="Arial" w:cs="Arial"/>
          <w:color w:val="000000"/>
        </w:rPr>
        <w:t xml:space="preserve">- izvješćima o stanju okoliša</w:t>
      </w:r>
    </w:p>
    <w:p>
      <w:pPr>
        <w:pBdr/>
        <w:pStyle w:val="Normal"/>
        <w:spacing/>
        <w:ind/>
        <w:rPr>
          <w:rFonts w:ascii="Arial" w:eastAsia="Arial" w:hAnsi="Arial" w:cs="Arial"/>
        </w:rPr>
      </w:pPr>
      <w:r>
        <w:rPr>
          <w:rFonts w:ascii="Arial" w:eastAsia="Arial" w:hAnsi="Arial" w:cs="Arial"/>
          <w:color w:val="000000"/>
        </w:rPr>
        <w:t xml:space="preserve">- podacima koji se odnose na praćenje stanja okoliša</w:t>
      </w:r>
    </w:p>
    <w:p>
      <w:pPr>
        <w:pBdr/>
        <w:pStyle w:val="Normal"/>
        <w:spacing/>
        <w:ind/>
        <w:rPr>
          <w:rFonts w:ascii="Arial" w:eastAsia="Arial" w:hAnsi="Arial" w:cs="Arial"/>
        </w:rPr>
      </w:pPr>
      <w:r>
        <w:rPr>
          <w:rFonts w:ascii="Arial" w:eastAsia="Arial" w:hAnsi="Arial" w:cs="Arial"/>
          <w:color w:val="000000"/>
        </w:rPr>
        <w:t xml:space="preserve">- dozvolama i suglasnostima koje imaju značajan utjecaj na okoliš te ugovorima sklopljenim radi zaštite okoliša</w:t>
      </w:r>
    </w:p>
    <w:p>
      <w:pPr>
        <w:pBdr/>
        <w:pStyle w:val="Normal"/>
        <w:spacing/>
        <w:ind/>
        <w:rPr>
          <w:rFonts w:ascii="Arial" w:eastAsia="Arial" w:hAnsi="Arial" w:cs="Arial"/>
        </w:rPr>
      </w:pPr>
      <w:r>
        <w:rPr>
          <w:rFonts w:ascii="Arial" w:eastAsia="Arial" w:hAnsi="Arial" w:cs="Arial"/>
          <w:color w:val="000000"/>
        </w:rPr>
        <w:t xml:space="preserve">- studijama i procjenama rizika u odnosu na sastavnice okoliša i</w:t>
      </w:r>
    </w:p>
    <w:p>
      <w:pPr>
        <w:pBdr/>
        <w:pStyle w:val="Normal"/>
        <w:spacing/>
        <w:ind/>
        <w:rPr>
          <w:rFonts w:ascii="Arial" w:eastAsia="Arial" w:hAnsi="Arial" w:cs="Arial"/>
        </w:rPr>
      </w:pPr>
      <w:r>
        <w:rPr>
          <w:rFonts w:ascii="Arial" w:eastAsia="Arial" w:hAnsi="Arial" w:cs="Arial"/>
        </w:rPr>
        <w:t xml:space="preserve">- drugim podacima od značaja za zaštitu okoliša.</w:t>
      </w:r>
    </w:p>
    <w:p>
      <w:pPr>
        <w:pBdr/>
        <w:pStyle w:val="Normal"/>
        <w:spacing/>
        <w:ind/>
        <w:rPr>
          <w:rFonts w:ascii="Arial" w:eastAsia="Arial" w:hAnsi="Arial" w:cs="Arial"/>
        </w:rPr>
      </w:pPr>
      <w:r>
        <w:rPr>
          <w:rFonts w:ascii="Arial" w:eastAsia="Arial" w:hAnsi="Arial" w:cs="Arial"/>
        </w:rPr>
        <w:t xml:space="preserve">(2) Tijela javne vlasti dužna su u okviru svoje nadležnosti osigurati da informacije koje prikupljaju, objavljuju i daju budu točne, pravodobne i usporedive.</w:t>
      </w:r>
    </w:p>
    <w:p>
      <w:pPr>
        <w:pBdr/>
        <w:pStyle w:val="Normal"/>
        <w:spacing/>
        <w:ind/>
        <w:rPr>
          <w:rFonts w:ascii="Arial" w:eastAsia="Arial" w:hAnsi="Arial" w:cs="Arial"/>
        </w:rPr>
      </w:pPr>
      <w:r>
        <w:rPr>
          <w:rFonts w:ascii="Arial" w:eastAsia="Arial" w:hAnsi="Arial" w:cs="Arial"/>
          <w:color w:val="000000"/>
        </w:rPr>
        <w:t xml:space="preserve">(3) Tijela javne vlasti dužna su odmah obavijestiti javnost putem sredstava javnog informiranja ili na drugi odgovarajući način u slučaju neposredne opasnosti za ljudsko zdravlje, materijalna dobra i/ili okoliš, neovisno o tome je li opasnost uzrokovana ljudskom djelatnošću ili prirodnom pojavom.</w:t>
      </w:r>
    </w:p>
    <w:p>
      <w:pPr>
        <w:pBdr/>
        <w:pStyle w:val="Normal"/>
        <w:spacing/>
        <w:ind/>
        <w:rPr>
          <w:rFonts w:ascii="Arial" w:eastAsia="Arial" w:hAnsi="Arial" w:cs="Arial"/>
        </w:rPr>
      </w:pPr>
      <w:r>
        <w:rPr>
          <w:rFonts w:ascii="Arial" w:eastAsia="Arial" w:hAnsi="Arial" w:cs="Arial"/>
          <w:color w:val="000000"/>
        </w:rPr>
        <w:t xml:space="preserve">(4) Tijela javne vlasti i onečišćivači dužni su odmah po saznanju obavijestiti javnost o prekoračenjima propisanih graničnih vrijednosti emisija u okoliš.</w:t>
      </w:r>
    </w:p>
    <w:p>
      <w:pPr>
        <w:pBdr/>
        <w:pStyle w:val="Normal"/>
        <w:spacing/>
        <w:ind/>
        <w:rPr>
          <w:rFonts w:ascii="Arial" w:eastAsia="Arial" w:hAnsi="Arial" w:cs="Arial"/>
          <w:iCs/>
        </w:rPr>
      </w:pPr>
    </w:p>
    <w:p>
      <w:pPr>
        <w:pBdr/>
        <w:pStyle w:val="Heading 2"/>
        <w:spacing/>
        <w:ind/>
        <w:rPr/>
      </w:pPr>
      <w:r>
        <w:rPr/>
        <w:t xml:space="preserve">Pristup informaciji o okolišu</w:t>
      </w:r>
    </w:p>
    <w:p>
      <w:pPr>
        <w:pBdr/>
        <w:pStyle w:val="Heading 2"/>
        <w:spacing/>
        <w:ind/>
        <w:rPr/>
      </w:pPr>
      <w:r>
        <w:rPr/>
        <w:t xml:space="preserve">Članak 226.</w:t>
      </w:r>
    </w:p>
    <w:p>
      <w:pPr>
        <w:pBdr/>
        <w:pStyle w:val="Normal"/>
        <w:spacing/>
        <w:ind/>
        <w:rPr>
          <w:rFonts w:ascii="Arial" w:eastAsia="Arial" w:hAnsi="Arial" w:cs="Arial"/>
          <w:color w:val="000000"/>
        </w:rPr>
      </w:pPr>
      <w:r>
        <w:rPr>
          <w:rFonts w:ascii="Arial" w:eastAsia="Arial" w:hAnsi="Arial" w:cs="Arial"/>
        </w:rPr>
        <w:t xml:space="preserve">(1) Tijela javne vlasti koja posjeduju informaciju o okolišu ili na koja se ta informacija odnosi omogućuju pristup informaciji sukladno  propisu kojim se uređuje pravo na pristup informacijama,  u obliku u kojem je zatražena ako je to prema prirodi stvari moguće.</w:t>
      </w:r>
    </w:p>
    <w:p>
      <w:pPr>
        <w:pBdr/>
        <w:pStyle w:val="Normal"/>
        <w:spacing/>
        <w:ind/>
        <w:rPr>
          <w:rFonts w:ascii="Arial" w:eastAsia="Arial" w:hAnsi="Arial" w:cs="Arial"/>
        </w:rPr>
      </w:pPr>
      <w:r>
        <w:rPr>
          <w:rFonts w:ascii="Arial" w:eastAsia="Arial" w:hAnsi="Arial" w:cs="Arial"/>
        </w:rPr>
        <w:t xml:space="preserve">(2) Iznimno od stavka 1. ovoga članka, ako složenost informacije opravdava produljenje roka za njezinu dostavu sukladno propisu iz stavka 1. ovoga članka, rok se može produljiti tako da ukupni rok za dostavu informacije ne bude dulji od dva mjeseca od dana podnošenja zahtjeva, o čemu je tijelo javne vlasti dužno obavijestiti podnositelja zahtjeva uz navođenje razloga produljenja odmah, a najkasnije u roku od osam dana od dana podnošenja zahtjeva.</w:t>
      </w:r>
    </w:p>
    <w:p>
      <w:pPr>
        <w:pBdr/>
        <w:pStyle w:val="Normal"/>
        <w:spacing/>
        <w:ind/>
        <w:rPr>
          <w:rFonts w:ascii="Arial" w:eastAsia="Arial" w:hAnsi="Arial" w:cs="Arial"/>
        </w:rPr>
      </w:pPr>
      <w:r>
        <w:rPr>
          <w:rFonts w:ascii="Arial" w:eastAsia="Arial" w:hAnsi="Arial" w:cs="Arial"/>
        </w:rPr>
        <w:t xml:space="preserve">(3) Iznimno od stavka 1. ovoga članka, tijelo javne vlasti rješenjem odbija davanje informacije:</w:t>
      </w:r>
    </w:p>
    <w:p>
      <w:pPr>
        <w:pBdr/>
        <w:pStyle w:val="Normal"/>
        <w:spacing/>
        <w:ind/>
        <w:rPr>
          <w:rFonts w:ascii="Arial" w:eastAsia="Arial" w:hAnsi="Arial" w:cs="Arial"/>
          <w:color w:val="000000"/>
        </w:rPr>
      </w:pPr>
      <w:r>
        <w:rPr>
          <w:rFonts w:ascii="Arial" w:eastAsia="Arial" w:hAnsi="Arial" w:cs="Arial"/>
        </w:rPr>
        <w:t xml:space="preserve">- ako se informacija odnosi na dokumente i aktivnosti povezane s unutarnjom komunikacijom tijela javne vlasti u izvršavanju zadaća iz njegovoga djelokruga ili</w:t>
      </w:r>
    </w:p>
    <w:p>
      <w:pPr>
        <w:pBdr/>
        <w:pStyle w:val="Normal"/>
        <w:spacing/>
        <w:ind/>
        <w:rPr>
          <w:rFonts w:ascii="Arial" w:eastAsia="Arial" w:hAnsi="Arial" w:cs="Arial"/>
          <w:color w:val="000000"/>
        </w:rPr>
      </w:pPr>
      <w:r>
        <w:rPr>
          <w:rFonts w:ascii="Arial" w:eastAsia="Arial" w:hAnsi="Arial" w:cs="Arial"/>
          <w:color w:val="000000"/>
        </w:rPr>
        <w:t xml:space="preserve">- ako bi objavljivanje informacije imalo negativan učinak na zaštitu sastavnica okoliša na koje se informacija odnosi. </w:t>
      </w:r>
    </w:p>
    <w:p>
      <w:pPr>
        <w:pBdr/>
        <w:pStyle w:val="Normal"/>
        <w:spacing/>
        <w:ind/>
        <w:rPr>
          <w:rFonts w:ascii="Arial" w:eastAsia="Arial" w:hAnsi="Arial" w:cs="Arial"/>
        </w:rPr>
      </w:pPr>
      <w:r>
        <w:rPr>
          <w:rFonts w:ascii="Arial" w:eastAsia="Arial" w:hAnsi="Arial" w:cs="Arial"/>
        </w:rPr>
        <w:t xml:space="preserve">(4) Iznimno od stavka 3. ovoga članka, ako se zahtjev odnosi na ispuštanja ili druge emisije u okoliš, tijelo javne vlasti koje posjeduje informaciju o okolišu ne može odbiti zahtjev zbog: </w:t>
      </w:r>
    </w:p>
    <w:p>
      <w:pPr>
        <w:pBdr/>
        <w:pStyle w:val="Normal"/>
        <w:spacing/>
        <w:ind/>
        <w:rPr>
          <w:rFonts w:ascii="Arial" w:eastAsia="Arial" w:hAnsi="Arial" w:cs="Arial"/>
          <w:color w:val="000000"/>
        </w:rPr>
      </w:pPr>
      <w:r>
        <w:rPr>
          <w:rFonts w:ascii="Arial" w:eastAsia="Arial" w:hAnsi="Arial" w:cs="Arial"/>
        </w:rPr>
        <w:t xml:space="preserve">- tajnosti postupka kojeg vodi</w:t>
      </w:r>
    </w:p>
    <w:p>
      <w:pPr>
        <w:pBdr/>
        <w:pStyle w:val="Normal"/>
        <w:spacing/>
        <w:ind/>
        <w:rPr>
          <w:rFonts w:ascii="Arial" w:eastAsia="Arial" w:hAnsi="Arial" w:cs="Arial"/>
          <w:color w:val="000000"/>
        </w:rPr>
      </w:pPr>
      <w:r>
        <w:rPr>
          <w:rFonts w:ascii="Arial" w:eastAsia="Arial" w:hAnsi="Arial" w:cs="Arial"/>
        </w:rPr>
        <w:t xml:space="preserve">- tajnosti trgovačkih ili industrijskih podataka</w:t>
      </w:r>
    </w:p>
    <w:p>
      <w:pPr>
        <w:pBdr/>
        <w:pStyle w:val="Normal"/>
        <w:spacing/>
        <w:ind/>
        <w:rPr>
          <w:rFonts w:ascii="Arial" w:eastAsia="Arial" w:hAnsi="Arial" w:cs="Arial"/>
        </w:rPr>
      </w:pPr>
      <w:r>
        <w:rPr>
          <w:rFonts w:ascii="Arial" w:eastAsia="Arial" w:hAnsi="Arial" w:cs="Arial"/>
        </w:rPr>
        <w:t xml:space="preserve">- zaštite osoba i  zaštite osobnih podataka ili</w:t>
      </w:r>
    </w:p>
    <w:p>
      <w:pPr>
        <w:pBdr/>
        <w:pStyle w:val="Normal"/>
        <w:spacing/>
        <w:ind/>
        <w:rPr>
          <w:rFonts w:ascii="Arial" w:eastAsia="Arial" w:hAnsi="Arial" w:cs="Arial"/>
          <w:color w:val="000000"/>
        </w:rPr>
      </w:pPr>
      <w:r>
        <w:rPr>
          <w:rFonts w:ascii="Arial" w:eastAsia="Arial" w:hAnsi="Arial" w:cs="Arial"/>
          <w:color w:val="000000"/>
        </w:rPr>
        <w:t xml:space="preserve">- zaštite intelektualnog i industrijskog vlasništva. </w:t>
      </w:r>
    </w:p>
    <w:p>
      <w:pPr>
        <w:pBdr/>
        <w:pStyle w:val="Normal"/>
        <w:spacing/>
        <w:ind/>
        <w:rPr>
          <w:rFonts w:ascii="Arial" w:eastAsia="Arial" w:hAnsi="Arial" w:cs="Arial"/>
          <w:i/>
          <w:color w:val="000000"/>
        </w:rPr>
      </w:pPr>
      <w:r>
        <w:rPr>
          <w:rFonts w:ascii="Arial" w:eastAsia="Arial" w:hAnsi="Arial" w:cs="Arial"/>
        </w:rPr>
        <w:t xml:space="preserve">(5) Protiv rješenja iz stavka 3. ovoga članka može se izjaviti žalba Povjereniku za informiranje u roku od 15 dana od dana dostave rješenja, sukladno propisu kojim se uređuje pravo na pristup informacijama.</w:t>
      </w:r>
    </w:p>
    <w:p>
      <w:pPr>
        <w:pBdr/>
        <w:pStyle w:val="Normal"/>
        <w:spacing/>
        <w:ind/>
        <w:rPr>
          <w:rFonts w:ascii="Arial" w:eastAsia="Arial" w:hAnsi="Arial" w:cs="Arial"/>
          <w:i/>
          <w:color w:val="000000"/>
        </w:rPr>
      </w:pPr>
    </w:p>
    <w:p>
      <w:pPr>
        <w:pBdr/>
        <w:pStyle w:val="Heading 2"/>
        <w:spacing/>
        <w:ind/>
        <w:rPr/>
      </w:pPr>
      <w:r>
        <w:rPr/>
        <w:t xml:space="preserve">Informiranje u postupcima uređenim ovim Zakonom</w:t>
      </w:r>
    </w:p>
    <w:p>
      <w:pPr>
        <w:pBdr/>
        <w:pStyle w:val="Heading 2"/>
        <w:spacing/>
        <w:ind/>
        <w:rPr/>
      </w:pPr>
      <w:r>
        <w:rPr/>
        <w:t xml:space="preserve">Članak 227.</w:t>
      </w:r>
    </w:p>
    <w:p>
      <w:pPr>
        <w:pBdr/>
        <w:pStyle w:val="Normal"/>
        <w:spacing/>
        <w:ind/>
        <w:rPr>
          <w:rFonts w:ascii="Arial" w:eastAsia="Arial" w:hAnsi="Arial" w:cs="Arial"/>
        </w:rPr>
      </w:pPr>
      <w:r>
        <w:rPr>
          <w:rFonts w:ascii="Arial" w:eastAsia="Arial" w:hAnsi="Arial" w:cs="Arial"/>
        </w:rPr>
        <w:t xml:space="preserve">(1) Tijela koja su prema odredbama ovoga Zakona nadležna za provedbu strateške procjene, procjene utjecaja zahvata na okoliš, ocjene o potrebi procjene utjecaja zahvata na okoliš, izdavanja upute o sadržaju studije o utjecaju zahvata na okoliš, izdavanja okolišne dozvole te davanja suglasnosti na sanacijski program obvezna su na način propisan ovim Zakonom informirati javnost o tim postupcima.</w:t>
      </w:r>
    </w:p>
    <w:p>
      <w:pPr>
        <w:pBdr/>
        <w:pStyle w:val="Normal"/>
        <w:spacing/>
        <w:ind/>
        <w:rPr>
          <w:rFonts w:ascii="Arial" w:eastAsia="Arial" w:hAnsi="Arial" w:cs="Arial"/>
        </w:rPr>
      </w:pPr>
      <w:r>
        <w:rPr>
          <w:rFonts w:ascii="Arial" w:eastAsia="Arial" w:hAnsi="Arial" w:cs="Arial"/>
        </w:rPr>
        <w:t xml:space="preserve">(2) Tijelo javne vlasti, uz objavu na mrežnoj stranici, može informacije dati i na druge načine koji su, s obzirom na složenost i prirodu informacija te zainteresiranu javnost, lokalnu zajednicu ili fizičku osobu, primjereniji u konkretnom slučaju, kao što su: </w:t>
      </w:r>
    </w:p>
    <w:p>
      <w:pPr>
        <w:pBdr/>
        <w:pStyle w:val="Normal"/>
        <w:spacing/>
        <w:ind/>
        <w:rPr>
          <w:rFonts w:ascii="Arial" w:eastAsia="Arial" w:hAnsi="Arial" w:cs="Arial"/>
        </w:rPr>
      </w:pPr>
      <w:r>
        <w:rPr>
          <w:rFonts w:ascii="Arial" w:eastAsia="Arial" w:hAnsi="Arial" w:cs="Arial"/>
        </w:rPr>
        <w:t xml:space="preserve">- javno oglašavanje u dnevnom tisku</w:t>
      </w:r>
    </w:p>
    <w:p>
      <w:pPr>
        <w:pBdr/>
        <w:pStyle w:val="Normal"/>
        <w:spacing/>
        <w:ind/>
        <w:rPr>
          <w:rFonts w:ascii="Arial" w:eastAsia="Arial" w:hAnsi="Arial" w:cs="Arial"/>
        </w:rPr>
      </w:pPr>
      <w:r>
        <w:rPr>
          <w:rFonts w:ascii="Arial" w:eastAsia="Arial" w:hAnsi="Arial" w:cs="Arial"/>
        </w:rPr>
        <w:t xml:space="preserve">- javno oglašavanje u službenom glasilu jedinice lokalne i/ili područne (regionalne) samouprave</w:t>
      </w:r>
    </w:p>
    <w:p>
      <w:pPr>
        <w:pBdr/>
        <w:pStyle w:val="Normal"/>
        <w:spacing/>
        <w:ind/>
        <w:rPr>
          <w:rFonts w:ascii="Arial" w:eastAsia="Arial" w:hAnsi="Arial" w:cs="Arial"/>
        </w:rPr>
      </w:pPr>
      <w:r>
        <w:rPr>
          <w:rFonts w:ascii="Arial" w:eastAsia="Arial" w:hAnsi="Arial" w:cs="Arial"/>
        </w:rPr>
        <w:t xml:space="preserve">- oglašavanje elektroničkim medijima </w:t>
      </w:r>
    </w:p>
    <w:p>
      <w:pPr>
        <w:pBdr/>
        <w:pStyle w:val="Normal"/>
        <w:spacing/>
        <w:ind/>
        <w:rPr>
          <w:rFonts w:ascii="Arial" w:eastAsia="Arial" w:hAnsi="Arial" w:cs="Arial"/>
        </w:rPr>
      </w:pPr>
      <w:r>
        <w:rPr>
          <w:rFonts w:ascii="Arial" w:eastAsia="Arial" w:hAnsi="Arial" w:cs="Arial"/>
        </w:rPr>
        <w:t xml:space="preserve">- oglašavanje na oglasnim pločama </w:t>
      </w:r>
    </w:p>
    <w:p>
      <w:pPr>
        <w:pBdr/>
        <w:pStyle w:val="Normal"/>
        <w:spacing/>
        <w:ind/>
        <w:rPr>
          <w:rFonts w:ascii="Arial" w:eastAsia="Arial" w:hAnsi="Arial" w:cs="Arial"/>
        </w:rPr>
      </w:pPr>
      <w:r>
        <w:rPr>
          <w:rFonts w:ascii="Arial" w:eastAsia="Arial" w:hAnsi="Arial" w:cs="Arial"/>
        </w:rPr>
        <w:t xml:space="preserve">- izdavanje pisanih materijala </w:t>
      </w:r>
    </w:p>
    <w:p>
      <w:pPr>
        <w:pBdr/>
        <w:pStyle w:val="Normal"/>
        <w:spacing/>
        <w:ind/>
        <w:rPr>
          <w:rFonts w:ascii="Arial" w:eastAsia="Arial" w:hAnsi="Arial" w:cs="Arial"/>
        </w:rPr>
      </w:pPr>
      <w:r>
        <w:rPr>
          <w:rFonts w:ascii="Arial" w:eastAsia="Arial" w:hAnsi="Arial" w:cs="Arial"/>
        </w:rPr>
        <w:t xml:space="preserve">- drugim načinima informiranja.</w:t>
      </w:r>
    </w:p>
    <w:p>
      <w:pPr>
        <w:pBdr/>
        <w:pStyle w:val="Normal"/>
        <w:spacing/>
        <w:ind/>
        <w:rPr>
          <w:rFonts w:ascii="Arial" w:eastAsia="Arial" w:hAnsi="Arial" w:cs="Arial"/>
        </w:rPr>
      </w:pPr>
    </w:p>
    <w:p>
      <w:pPr>
        <w:pBdr/>
        <w:pStyle w:val="Heading 2"/>
        <w:spacing/>
        <w:ind/>
        <w:rPr/>
      </w:pPr>
      <w:r>
        <w:rPr/>
        <w:t xml:space="preserve">Informiranje o strateškoj procjeni utjecaja strategije, plana i programa na okoliš i ocjeni o potrebi strateške procjene</w:t>
      </w:r>
    </w:p>
    <w:p>
      <w:pPr>
        <w:pBdr/>
        <w:pStyle w:val="Heading 2"/>
        <w:spacing/>
        <w:ind/>
        <w:rPr/>
      </w:pPr>
      <w:r>
        <w:rPr/>
        <w:t xml:space="preserve">Članak 228.</w:t>
      </w:r>
    </w:p>
    <w:p>
      <w:pPr>
        <w:pBdr/>
        <w:pStyle w:val="Normal"/>
        <w:spacing/>
        <w:ind/>
        <w:rPr>
          <w:rFonts w:ascii="Arial" w:eastAsia="Arial" w:hAnsi="Arial" w:cs="Arial"/>
        </w:rPr>
      </w:pPr>
      <w:r>
        <w:rPr>
          <w:rFonts w:ascii="Arial" w:eastAsia="Arial" w:hAnsi="Arial" w:cs="Arial"/>
        </w:rPr>
        <w:t xml:space="preserve">(1) U postupku strateške procjene utjecaja strategije, plana i programa na okoliš javnost se informira o:</w:t>
      </w:r>
    </w:p>
    <w:p>
      <w:pPr>
        <w:pBdr/>
        <w:pStyle w:val="Normal"/>
        <w:spacing/>
        <w:ind/>
        <w:rPr>
          <w:rFonts w:ascii="Arial" w:eastAsia="Arial" w:hAnsi="Arial" w:cs="Arial"/>
        </w:rPr>
      </w:pPr>
      <w:r>
        <w:rPr>
          <w:rFonts w:ascii="Arial" w:eastAsia="Arial" w:hAnsi="Arial" w:cs="Arial"/>
        </w:rPr>
        <w:t xml:space="preserve">1. odluci o pokretanju postupka strateške procjene</w:t>
      </w:r>
    </w:p>
    <w:p>
      <w:pPr>
        <w:pBdr/>
        <w:pStyle w:val="Normal"/>
        <w:spacing/>
        <w:ind/>
        <w:rPr>
          <w:rFonts w:ascii="Arial" w:eastAsia="Arial" w:hAnsi="Arial" w:cs="Arial"/>
        </w:rPr>
      </w:pPr>
      <w:r>
        <w:rPr>
          <w:rFonts w:ascii="Arial" w:eastAsia="Arial" w:hAnsi="Arial" w:cs="Arial"/>
        </w:rPr>
        <w:t xml:space="preserve">2. informaciji o izradi strateške studije</w:t>
      </w:r>
    </w:p>
    <w:p>
      <w:pPr>
        <w:pBdr/>
        <w:pStyle w:val="Normal"/>
        <w:spacing/>
        <w:ind/>
        <w:rPr>
          <w:rFonts w:ascii="Arial" w:eastAsia="Arial" w:hAnsi="Arial" w:cs="Arial"/>
        </w:rPr>
      </w:pPr>
      <w:r>
        <w:rPr>
          <w:rFonts w:ascii="Arial" w:eastAsia="Arial" w:hAnsi="Arial" w:cs="Arial"/>
        </w:rPr>
        <w:t xml:space="preserve">3. odluci kojom se određuje sadržaj strateške studije</w:t>
      </w:r>
    </w:p>
    <w:p>
      <w:pPr>
        <w:pBdr/>
        <w:pStyle w:val="Normal"/>
        <w:spacing/>
        <w:ind/>
        <w:rPr>
          <w:rFonts w:ascii="Arial" w:eastAsia="Arial" w:hAnsi="Arial" w:cs="Arial"/>
        </w:rPr>
      </w:pPr>
      <w:r>
        <w:rPr>
          <w:rFonts w:ascii="Arial" w:eastAsia="Arial" w:hAnsi="Arial" w:cs="Arial"/>
        </w:rPr>
        <w:t xml:space="preserve">4. odluci o upućivanju strateške studije i nacrta prijedloga strategije, plana ili programa  na javnu raspravu</w:t>
      </w:r>
    </w:p>
    <w:p>
      <w:pPr>
        <w:pBdr/>
        <w:pStyle w:val="Normal"/>
        <w:spacing/>
        <w:ind/>
        <w:rPr>
          <w:rFonts w:ascii="Arial" w:eastAsia="Arial" w:hAnsi="Arial" w:cs="Arial"/>
        </w:rPr>
      </w:pPr>
      <w:r>
        <w:rPr>
          <w:rFonts w:ascii="Arial" w:eastAsia="Arial" w:hAnsi="Arial" w:cs="Arial"/>
        </w:rPr>
        <w:t xml:space="preserve">5. postupku koji se odnosi na mogući prekogranični utjecaj strategije, plana ili programa te postupku sudjelovanja javnosti u strateškoj procjeni u drugoj državi </w:t>
      </w:r>
    </w:p>
    <w:p>
      <w:pPr>
        <w:pBdr/>
        <w:pStyle w:val="Normal"/>
        <w:spacing/>
        <w:ind/>
        <w:rPr>
          <w:rFonts w:ascii="Arial" w:eastAsia="Arial" w:hAnsi="Arial" w:cs="Arial"/>
        </w:rPr>
      </w:pPr>
      <w:r>
        <w:rPr>
          <w:rFonts w:ascii="Arial" w:eastAsia="Arial" w:hAnsi="Arial" w:cs="Arial"/>
        </w:rPr>
        <w:t xml:space="preserve">6. izvješću nadležnog tijela o provedenoj strateškoj procjeni i donesenoj strategiji, planu ili programu.</w:t>
      </w:r>
    </w:p>
    <w:p>
      <w:pPr>
        <w:pBdr/>
        <w:pStyle w:val="Normal"/>
        <w:spacing/>
        <w:ind/>
        <w:rPr>
          <w:rFonts w:ascii="Arial" w:eastAsia="Arial" w:hAnsi="Arial" w:cs="Arial"/>
        </w:rPr>
      </w:pPr>
      <w:r>
        <w:rPr>
          <w:rFonts w:ascii="Arial" w:eastAsia="Arial" w:hAnsi="Arial" w:cs="Arial"/>
        </w:rPr>
        <w:t xml:space="preserve">(2) U postupku ocjene o potrebi strateške procjene javnost se informira o odluci donesenoj u tom postupku.</w:t>
      </w:r>
    </w:p>
    <w:p>
      <w:pPr>
        <w:pBdr/>
        <w:pStyle w:val="Normal"/>
        <w:spacing/>
        <w:ind/>
        <w:rPr>
          <w:rFonts w:ascii="Arial" w:eastAsia="Arial" w:hAnsi="Arial" w:cs="Arial"/>
          <w:i/>
          <w:iCs/>
        </w:rPr>
      </w:pPr>
    </w:p>
    <w:p>
      <w:pPr>
        <w:pBdr/>
        <w:pStyle w:val="Heading 2"/>
        <w:spacing/>
        <w:ind/>
        <w:rPr/>
      </w:pPr>
      <w:r>
        <w:rPr/>
        <w:t xml:space="preserve">Informiranje o procjeni utjecaja zahvata na okoliš,  ocjeni o potrebi procjene utjecaja zahvata na okoliš i  izdavanju upute o sadržaju studije o utjecaju zahvata na okoliš</w:t>
      </w:r>
    </w:p>
    <w:p>
      <w:pPr>
        <w:pBdr/>
        <w:pStyle w:val="Heading 2"/>
        <w:spacing/>
        <w:ind/>
        <w:rPr/>
      </w:pPr>
      <w:r>
        <w:rPr/>
        <w:t xml:space="preserve">Članak 229.</w:t>
      </w:r>
    </w:p>
    <w:p>
      <w:pPr>
        <w:pBdr/>
        <w:pStyle w:val="Normal"/>
        <w:spacing/>
        <w:ind/>
        <w:rPr>
          <w:rFonts w:ascii="Arial" w:eastAsia="Arial" w:hAnsi="Arial" w:cs="Arial"/>
        </w:rPr>
      </w:pPr>
      <w:r>
        <w:rPr>
          <w:rFonts w:ascii="Arial" w:eastAsia="Arial" w:hAnsi="Arial" w:cs="Arial"/>
        </w:rPr>
        <w:t xml:space="preserve">(1) U postupku procjene utjecaja zahvata na okoliš javnost i zainteresirana javnost informiraju se o:</w:t>
      </w:r>
    </w:p>
    <w:p>
      <w:pPr>
        <w:pBdr/>
        <w:pStyle w:val="Normal"/>
        <w:spacing/>
        <w:ind/>
        <w:rPr>
          <w:rFonts w:ascii="Arial" w:eastAsia="Arial" w:hAnsi="Arial" w:cs="Arial"/>
        </w:rPr>
      </w:pPr>
      <w:r>
        <w:rPr>
          <w:rFonts w:ascii="Arial" w:eastAsia="Arial" w:hAnsi="Arial" w:cs="Arial"/>
        </w:rPr>
        <w:t xml:space="preserve">1. zahtjevu nositelja zahvata</w:t>
      </w:r>
    </w:p>
    <w:p>
      <w:pPr>
        <w:pBdr/>
        <w:pStyle w:val="Normal"/>
        <w:spacing/>
        <w:ind/>
        <w:rPr>
          <w:rFonts w:ascii="Arial" w:eastAsia="Arial" w:hAnsi="Arial" w:cs="Arial"/>
        </w:rPr>
      </w:pPr>
      <w:r>
        <w:rPr>
          <w:rFonts w:ascii="Arial" w:eastAsia="Arial" w:hAnsi="Arial" w:cs="Arial"/>
        </w:rPr>
        <w:t xml:space="preserve">2. odluci o upućivanju studije o utjecaju zahvata na okoliš na javnu raspravu </w:t>
      </w:r>
    </w:p>
    <w:p>
      <w:pPr>
        <w:pBdr/>
        <w:pStyle w:val="Normal"/>
        <w:spacing/>
        <w:ind/>
        <w:rPr>
          <w:rFonts w:ascii="Arial" w:eastAsia="Arial" w:hAnsi="Arial" w:cs="Arial"/>
        </w:rPr>
      </w:pPr>
      <w:r>
        <w:rPr>
          <w:rFonts w:ascii="Arial" w:eastAsia="Arial" w:hAnsi="Arial" w:cs="Arial"/>
        </w:rPr>
        <w:t xml:space="preserve">3. nacrtu rješenja i rješenju donesenom povodom zahtjeva nositelja zahvata te konačnoj studiji o utjecaju zahvata na okoliš.</w:t>
      </w:r>
    </w:p>
    <w:p>
      <w:pPr>
        <w:pBdr/>
        <w:pStyle w:val="Normal"/>
        <w:spacing/>
        <w:ind/>
        <w:rPr>
          <w:rFonts w:ascii="Arial" w:eastAsia="Arial" w:hAnsi="Arial" w:cs="Arial"/>
        </w:rPr>
      </w:pPr>
      <w:r>
        <w:rPr>
          <w:rFonts w:ascii="Arial" w:eastAsia="Arial" w:hAnsi="Arial" w:cs="Arial"/>
        </w:rPr>
        <w:t xml:space="preserve">(2) U postupku ocjene o potrebi procjene utjecaja zahvata na okoliš javnost i zainteresirana javnost informiraju se o:</w:t>
      </w:r>
    </w:p>
    <w:p>
      <w:pPr>
        <w:pBdr/>
        <w:pStyle w:val="Normal"/>
        <w:spacing/>
        <w:ind/>
        <w:rPr>
          <w:rFonts w:ascii="Arial" w:eastAsia="Arial" w:hAnsi="Arial" w:cs="Arial"/>
        </w:rPr>
      </w:pPr>
      <w:r>
        <w:rPr>
          <w:rFonts w:ascii="Arial" w:eastAsia="Arial" w:hAnsi="Arial" w:cs="Arial"/>
        </w:rPr>
        <w:t xml:space="preserve">1. zahtjevu nositelja zahvata </w:t>
      </w:r>
    </w:p>
    <w:p>
      <w:pPr>
        <w:pBdr/>
        <w:pStyle w:val="Normal"/>
        <w:spacing/>
        <w:ind/>
        <w:rPr>
          <w:rFonts w:ascii="Arial" w:eastAsia="Arial" w:hAnsi="Arial" w:cs="Arial"/>
        </w:rPr>
      </w:pPr>
      <w:r>
        <w:rPr>
          <w:rFonts w:ascii="Arial" w:eastAsia="Arial" w:hAnsi="Arial" w:cs="Arial"/>
        </w:rPr>
        <w:t xml:space="preserve">2. rješenju donesenom povodom zahtjeva nositelja zahvata i konačnom elaboratu zaštite okoliša.</w:t>
      </w:r>
    </w:p>
    <w:p>
      <w:pPr>
        <w:pBdr/>
        <w:pStyle w:val="Normal"/>
        <w:spacing/>
        <w:ind/>
        <w:rPr>
          <w:rFonts w:ascii="Arial" w:eastAsia="Arial" w:hAnsi="Arial" w:cs="Arial"/>
        </w:rPr>
      </w:pPr>
      <w:r>
        <w:rPr>
          <w:rFonts w:ascii="Arial" w:eastAsia="Arial" w:hAnsi="Arial" w:cs="Arial"/>
        </w:rPr>
        <w:t xml:space="preserve">(3) U postupku izdavanja upute o sadržaju studije o utjecaju zahvata na okoliš javnost i zainteresirana javnost informiraju se o:</w:t>
      </w:r>
    </w:p>
    <w:p>
      <w:pPr>
        <w:pBdr/>
        <w:pStyle w:val="Normal"/>
        <w:spacing/>
        <w:ind/>
        <w:rPr>
          <w:rFonts w:ascii="Arial" w:eastAsia="Arial" w:hAnsi="Arial" w:cs="Arial"/>
        </w:rPr>
      </w:pPr>
      <w:r>
        <w:rPr>
          <w:rFonts w:ascii="Arial" w:eastAsia="Arial" w:hAnsi="Arial" w:cs="Arial"/>
        </w:rPr>
        <w:t xml:space="preserve">1. zahtjevu nositelja zahvata </w:t>
      </w:r>
    </w:p>
    <w:p>
      <w:pPr>
        <w:pBdr/>
        <w:pStyle w:val="Normal"/>
        <w:spacing/>
        <w:ind/>
        <w:rPr>
          <w:rFonts w:ascii="Arial" w:eastAsia="Arial" w:hAnsi="Arial" w:cs="Arial"/>
        </w:rPr>
      </w:pPr>
      <w:r>
        <w:rPr>
          <w:rFonts w:ascii="Arial" w:eastAsia="Arial" w:hAnsi="Arial" w:cs="Arial"/>
        </w:rPr>
        <w:t xml:space="preserve">2. uputi donesenoj povodom zahtjeva nositelja zahvata.</w:t>
      </w:r>
    </w:p>
    <w:p>
      <w:pPr>
        <w:pBdr/>
        <w:pStyle w:val="Normal"/>
        <w:spacing/>
        <w:ind/>
        <w:rPr>
          <w:rFonts w:ascii="Arial" w:eastAsia="Arial" w:hAnsi="Arial" w:cs="Arial"/>
        </w:rPr>
      </w:pPr>
    </w:p>
    <w:p>
      <w:pPr>
        <w:pBdr/>
        <w:pStyle w:val="Heading 2"/>
        <w:spacing/>
        <w:ind/>
        <w:rPr/>
      </w:pPr>
      <w:r>
        <w:rPr/>
        <w:t xml:space="preserve">Informiranje o izdavanju okolišne dozvole</w:t>
      </w:r>
    </w:p>
    <w:p>
      <w:pPr>
        <w:pBdr/>
        <w:pStyle w:val="Heading 2"/>
        <w:spacing/>
        <w:ind/>
        <w:rPr/>
      </w:pPr>
      <w:r>
        <w:rPr/>
        <w:t xml:space="preserve">Članak 230.</w:t>
      </w:r>
    </w:p>
    <w:p>
      <w:pPr>
        <w:pBdr/>
        <w:pStyle w:val="Normal"/>
        <w:spacing/>
        <w:ind/>
        <w:rPr>
          <w:rFonts w:ascii="Arial" w:eastAsia="Arial" w:hAnsi="Arial" w:cs="Arial"/>
        </w:rPr>
      </w:pPr>
      <w:r>
        <w:rPr>
          <w:rFonts w:ascii="Arial" w:eastAsia="Arial" w:hAnsi="Arial" w:cs="Arial"/>
        </w:rPr>
        <w:t xml:space="preserve">(1) U postupcima izdavanja okolišne dozvole javnost i zainteresirana javnost informiraju se o:</w:t>
      </w:r>
    </w:p>
    <w:p>
      <w:pPr>
        <w:pBdr/>
        <w:pStyle w:val="Normal"/>
        <w:spacing/>
        <w:ind/>
        <w:rPr>
          <w:rFonts w:ascii="Arial" w:eastAsia="Arial" w:hAnsi="Arial" w:cs="Arial"/>
        </w:rPr>
      </w:pPr>
      <w:r>
        <w:rPr>
          <w:rFonts w:ascii="Arial" w:eastAsia="Arial" w:hAnsi="Arial" w:cs="Arial"/>
        </w:rPr>
        <w:t xml:space="preserve">1. zahtjevu operatera</w:t>
      </w:r>
    </w:p>
    <w:p>
      <w:pPr>
        <w:pBdr/>
        <w:pStyle w:val="Normal"/>
        <w:spacing/>
        <w:ind/>
        <w:rPr>
          <w:rFonts w:ascii="Arial" w:eastAsia="Arial" w:hAnsi="Arial" w:cs="Arial"/>
        </w:rPr>
      </w:pPr>
      <w:r>
        <w:rPr>
          <w:rFonts w:ascii="Arial" w:eastAsia="Arial" w:hAnsi="Arial" w:cs="Arial"/>
        </w:rPr>
        <w:t xml:space="preserve">2. pokretanju postupka preispitivanja uvjeta okolišne dozvole po službenoj dužnosti, osim ako rezultati propisanih ispitivanja i/ili mjerenja nalažu izmjenu ili dopunu uvjeta okolišne dozvole</w:t>
      </w:r>
    </w:p>
    <w:p>
      <w:pPr>
        <w:pBdr/>
        <w:pStyle w:val="Normal"/>
        <w:spacing/>
        <w:ind/>
        <w:rPr>
          <w:rFonts w:ascii="Arial" w:eastAsia="Arial" w:hAnsi="Arial" w:cs="Arial"/>
        </w:rPr>
      </w:pPr>
      <w:r>
        <w:rPr>
          <w:rFonts w:ascii="Arial" w:eastAsia="Arial" w:hAnsi="Arial" w:cs="Arial"/>
        </w:rPr>
        <w:t xml:space="preserve">3. odluci o upućivanju zahtjeva operatera na javnu raspravu u slučajevima propisanim člankom</w:t>
      </w:r>
    </w:p>
    <w:p>
      <w:pPr>
        <w:pBdr/>
        <w:pStyle w:val="Normal"/>
        <w:spacing/>
        <w:ind/>
        <w:rPr>
          <w:rFonts w:ascii="Arial" w:eastAsia="Arial" w:hAnsi="Arial" w:cs="Arial"/>
        </w:rPr>
      </w:pPr>
      <w:r>
        <w:rPr>
          <w:rFonts w:ascii="Arial" w:eastAsia="Arial" w:hAnsi="Arial" w:cs="Arial"/>
        </w:rPr>
        <w:t xml:space="preserve">238. ovoga Zakona</w:t>
      </w:r>
    </w:p>
    <w:p>
      <w:pPr>
        <w:pBdr/>
        <w:pStyle w:val="Normal"/>
        <w:spacing/>
        <w:ind/>
        <w:rPr>
          <w:rFonts w:ascii="Arial" w:eastAsia="Arial" w:hAnsi="Arial" w:cs="Arial"/>
        </w:rPr>
      </w:pPr>
      <w:r>
        <w:rPr>
          <w:rFonts w:ascii="Arial" w:eastAsia="Arial" w:hAnsi="Arial" w:cs="Arial"/>
        </w:rPr>
        <w:t xml:space="preserve">4. nacrtu okolišne dozvole odnosno nacrtu njezinih izmjena i/ili dopuna , osim u postupcima izmjene i/ili dopune okolišne dozvole za promjene u postrojenju koje nisu značajne te u postupku preispitivanja uvjeta okolišne dozvole u kojem rezultati propisanih ispitivanja i/ili mjerenja nalažu izmjenu ili dopunu postojećih uvjeta i mjera i</w:t>
      </w:r>
    </w:p>
    <w:p>
      <w:pPr>
        <w:pBdr/>
        <w:pStyle w:val="Normal"/>
        <w:spacing/>
        <w:ind/>
        <w:rPr>
          <w:rFonts w:ascii="Arial" w:eastAsia="Arial" w:hAnsi="Arial" w:cs="Arial"/>
        </w:rPr>
      </w:pPr>
      <w:r>
        <w:rPr>
          <w:rFonts w:ascii="Arial" w:eastAsia="Arial" w:hAnsi="Arial" w:cs="Arial"/>
        </w:rPr>
        <w:t xml:space="preserve">5. donesenom rješenju u postupku okolišne dozvole, uključujući objavu okolišne dozvole.</w:t>
      </w:r>
    </w:p>
    <w:p>
      <w:pPr>
        <w:pBdr/>
        <w:pStyle w:val="Normal"/>
        <w:spacing/>
        <w:ind/>
        <w:rPr>
          <w:rFonts w:ascii="Arial" w:eastAsia="Arial" w:hAnsi="Arial" w:cs="Arial"/>
        </w:rPr>
      </w:pPr>
      <w:r>
        <w:rPr>
          <w:rFonts w:ascii="Arial" w:eastAsia="Arial" w:hAnsi="Arial" w:cs="Arial"/>
        </w:rPr>
        <w:t xml:space="preserve">(2) Informacija iz stavka 1. točaka 1. i 2. ovoga članka</w:t>
      </w:r>
      <w:r>
        <w:rPr>
          <w:rFonts w:ascii="Arial" w:eastAsia="Arial" w:hAnsi="Arial" w:cs="Arial"/>
          <w:b/>
        </w:rPr>
        <w:t xml:space="preserve"> </w:t>
      </w:r>
      <w:r>
        <w:rPr>
          <w:rFonts w:ascii="Arial" w:eastAsia="Arial" w:hAnsi="Arial" w:cs="Arial"/>
        </w:rPr>
        <w:t xml:space="preserve">obvezno sadrži:</w:t>
      </w:r>
    </w:p>
    <w:p>
      <w:pPr>
        <w:pBdr/>
        <w:pStyle w:val="Normal"/>
        <w:spacing/>
        <w:ind/>
        <w:rPr>
          <w:rFonts w:ascii="Arial" w:eastAsia="Arial" w:hAnsi="Arial" w:cs="Arial"/>
        </w:rPr>
      </w:pPr>
      <w:r>
        <w:rPr>
          <w:rFonts w:ascii="Arial" w:eastAsia="Arial" w:hAnsi="Arial" w:cs="Arial"/>
        </w:rPr>
        <w:t xml:space="preserve">1. podatak o podnesenom zahtjevu za izdavanje okolišne dozvole, uključujući sažeti opis elemenata zahtjeva propisanih uredbom iz članka 76. stavka 5. ovoga Zakona, odnosno podatak o pokretanju postupka preispitivanja okolišne dozvole te, ako je primjenjivo, podatke o prijedlogu izmjene i/ili dopune okolišne dozvole ili njezinih uvjeta</w:t>
      </w:r>
    </w:p>
    <w:p>
      <w:pPr>
        <w:pBdr/>
        <w:pStyle w:val="Normal"/>
        <w:spacing/>
        <w:ind/>
        <w:rPr>
          <w:rFonts w:ascii="Arial" w:eastAsia="Arial" w:hAnsi="Arial" w:cs="Arial"/>
        </w:rPr>
      </w:pPr>
      <w:r>
        <w:rPr>
          <w:rFonts w:ascii="Arial" w:eastAsia="Arial" w:hAnsi="Arial" w:cs="Arial"/>
        </w:rPr>
        <w:t xml:space="preserve">2. podatak o provedenom postupku procjene utjecaja zahvata na okoliš i rješenju o prihvatljivosti za okoliš donesenom u tom postupku, ako je njegova provedba za postrojenje bila obvezna, te podatak o tome podliježe li postupak izdavanja okolišne dozvole prekograničnim konzultacijama</w:t>
      </w:r>
    </w:p>
    <w:p>
      <w:pPr>
        <w:pBdr/>
        <w:pStyle w:val="Normal"/>
        <w:spacing/>
        <w:ind/>
        <w:rPr>
          <w:rFonts w:ascii="Arial" w:eastAsia="Arial" w:hAnsi="Arial" w:cs="Arial"/>
        </w:rPr>
      </w:pPr>
      <w:r>
        <w:rPr>
          <w:rFonts w:ascii="Arial" w:eastAsia="Arial" w:hAnsi="Arial" w:cs="Arial"/>
        </w:rPr>
        <w:t xml:space="preserve">3. podatke o Ministarstvu kao nadležnom tijelu za donošenje rješenja i davanje informacija, drugim nadležnim tijelima koja sudjeluju u postupku te tijelu kojem se dostavljaju mišljenja i primjedbe, uz naznaku predviđenog vremenskog okvira za sudjelovanje javnosti putem javne rasprave</w:t>
      </w:r>
    </w:p>
    <w:p>
      <w:pPr>
        <w:pBdr/>
        <w:pStyle w:val="Normal"/>
        <w:spacing/>
        <w:ind/>
        <w:rPr>
          <w:rFonts w:ascii="Arial" w:eastAsia="Arial" w:hAnsi="Arial" w:cs="Arial"/>
        </w:rPr>
      </w:pPr>
      <w:r>
        <w:rPr>
          <w:rFonts w:ascii="Arial" w:eastAsia="Arial" w:hAnsi="Arial" w:cs="Arial"/>
        </w:rPr>
        <w:t xml:space="preserve">4. podatak o mogućim odlukama o zahtjevu operatera, uz naznaku obveze objave nacrta okolišne dozvole prije donošenja rješenja sukladno odredbama ovoga Zakona </w:t>
      </w:r>
    </w:p>
    <w:p>
      <w:pPr>
        <w:pBdr/>
        <w:pStyle w:val="Normal"/>
        <w:spacing/>
        <w:ind/>
        <w:rPr>
          <w:rFonts w:ascii="Arial" w:eastAsia="Arial" w:hAnsi="Arial" w:cs="Arial"/>
        </w:rPr>
      </w:pPr>
      <w:r>
        <w:rPr>
          <w:rFonts w:ascii="Arial" w:eastAsia="Arial" w:hAnsi="Arial" w:cs="Arial"/>
        </w:rPr>
        <w:t xml:space="preserve">5. napomenu da će podaci o vremenu, mjestu i načinu dostupnosti dokumentacije te načinu sudjelovanja javnosti biti naknadno objavljeni u obavijesti o provođenju javne rasprave.</w:t>
      </w:r>
    </w:p>
    <w:p>
      <w:pPr>
        <w:pBdr/>
        <w:pStyle w:val="Normal"/>
        <w:spacing/>
        <w:ind/>
        <w:rPr>
          <w:rFonts w:ascii="Arial" w:eastAsia="Arial" w:hAnsi="Arial" w:cs="Arial"/>
        </w:rPr>
      </w:pPr>
    </w:p>
    <w:p>
      <w:pPr>
        <w:pBdr/>
        <w:pStyle w:val="Heading 2"/>
        <w:spacing/>
        <w:ind/>
        <w:rPr/>
      </w:pPr>
      <w:r>
        <w:rPr/>
        <w:t xml:space="preserve">Informiranje o izdavanju rješenja o radu postrojenja ispod praga kapaciteta</w:t>
      </w:r>
    </w:p>
    <w:p>
      <w:pPr>
        <w:pBdr/>
        <w:pStyle w:val="Heading 2"/>
        <w:spacing/>
        <w:ind/>
        <w:rPr/>
      </w:pPr>
      <w:r>
        <w:rPr/>
        <w:t xml:space="preserve">Članak 231.</w:t>
      </w:r>
    </w:p>
    <w:p>
      <w:pPr>
        <w:pBdr/>
        <w:pStyle w:val="Normal"/>
        <w:spacing/>
        <w:ind/>
        <w:rPr>
          <w:rFonts w:ascii="Arial" w:eastAsia="Arial" w:hAnsi="Arial" w:cs="Arial"/>
        </w:rPr>
      </w:pPr>
      <w:r>
        <w:rPr>
          <w:rFonts w:ascii="Arial" w:eastAsia="Arial" w:hAnsi="Arial" w:cs="Arial"/>
        </w:rPr>
        <w:t xml:space="preserve">U postupku izdavanja rješenja o radu postrojenja ispod praga kapaciteta javnost i zainteresirana javnost informiraju se o:</w:t>
      </w:r>
    </w:p>
    <w:p>
      <w:pPr>
        <w:pBdr/>
        <w:pStyle w:val="Normal"/>
        <w:spacing/>
        <w:ind/>
        <w:rPr>
          <w:rFonts w:ascii="Arial" w:eastAsia="Arial" w:hAnsi="Arial" w:cs="Arial"/>
        </w:rPr>
      </w:pPr>
      <w:r>
        <w:rPr>
          <w:rFonts w:ascii="Arial" w:eastAsia="Arial" w:hAnsi="Arial" w:cs="Arial"/>
        </w:rPr>
        <w:t xml:space="preserve">1. zahtjevu operatera </w:t>
      </w:r>
    </w:p>
    <w:p>
      <w:pPr>
        <w:pBdr/>
        <w:pStyle w:val="Normal"/>
        <w:spacing/>
        <w:ind/>
        <w:rPr>
          <w:rFonts w:ascii="Arial" w:eastAsia="Arial" w:hAnsi="Arial" w:cs="Arial"/>
        </w:rPr>
      </w:pPr>
      <w:r>
        <w:rPr>
          <w:rFonts w:ascii="Arial" w:eastAsia="Arial" w:hAnsi="Arial" w:cs="Arial"/>
        </w:rPr>
        <w:t xml:space="preserve">2. rješenju o radu postrojenja ispod praga kapaciteta.</w:t>
      </w:r>
    </w:p>
    <w:p>
      <w:pPr>
        <w:pBdr/>
        <w:pStyle w:val="Normal"/>
        <w:spacing/>
        <w:ind/>
        <w:rPr>
          <w:rFonts w:ascii="Arial" w:eastAsia="Arial" w:hAnsi="Arial" w:cs="Arial"/>
        </w:rPr>
      </w:pPr>
    </w:p>
    <w:p>
      <w:pPr>
        <w:pBdr/>
        <w:pStyle w:val="Normal"/>
        <w:spacing/>
        <w:ind/>
        <w:rPr>
          <w:rFonts w:ascii="Arial" w:eastAsia="Arial" w:hAnsi="Arial" w:cs="Arial"/>
        </w:rPr>
      </w:pPr>
    </w:p>
    <w:p>
      <w:pPr>
        <w:pBdr/>
        <w:pStyle w:val="Heading 2"/>
        <w:spacing/>
        <w:ind/>
        <w:rPr/>
      </w:pPr>
      <w:r>
        <w:rPr/>
        <w:t xml:space="preserve">Informiranje o odobravanju odstupanja u slučaju krize zbog izvanrednih okolnosti</w:t>
      </w:r>
    </w:p>
    <w:p>
      <w:pPr>
        <w:pBdr/>
        <w:pStyle w:val="Heading 2"/>
        <w:spacing/>
        <w:ind/>
        <w:rPr/>
      </w:pPr>
      <w:r>
        <w:rPr/>
        <w:t xml:space="preserve">Članak 232.</w:t>
      </w:r>
    </w:p>
    <w:p>
      <w:pPr>
        <w:pBdr/>
        <w:pStyle w:val="Normal"/>
        <w:spacing/>
        <w:ind/>
        <w:rPr>
          <w:rFonts w:ascii="Arial" w:eastAsia="Arial" w:hAnsi="Arial" w:cs="Arial"/>
        </w:rPr>
      </w:pPr>
      <w:r>
        <w:rPr>
          <w:rFonts w:ascii="Arial" w:eastAsia="Arial" w:hAnsi="Arial" w:cs="Arial"/>
        </w:rPr>
        <w:t xml:space="preserve">Ministarstvo na svojim mrežnim stranicama objavljuje informacije o odstupanju odobrenom na temelju članka 110. ovoga Zakona u slučaju krize zbog izvanrednih okolnosti te o uvjetima utvrđenima rješenjem.</w:t>
      </w:r>
    </w:p>
    <w:p>
      <w:pPr>
        <w:pBdr/>
        <w:pStyle w:val="Normal"/>
        <w:spacing/>
        <w:ind/>
        <w:rPr>
          <w:rFonts w:ascii="Arial" w:eastAsia="Arial" w:hAnsi="Arial" w:cs="Arial"/>
        </w:rPr>
      </w:pPr>
    </w:p>
    <w:p>
      <w:pPr>
        <w:pBdr/>
        <w:pStyle w:val="Heading 2"/>
        <w:spacing/>
        <w:ind/>
        <w:rPr/>
      </w:pPr>
      <w:r>
        <w:rPr/>
        <w:t xml:space="preserve">Informiranje o sustavu registracije postrojenja za uzgoj životinja</w:t>
      </w:r>
    </w:p>
    <w:p>
      <w:pPr>
        <w:pBdr/>
        <w:pStyle w:val="Heading 2"/>
        <w:spacing/>
        <w:ind/>
        <w:rPr/>
      </w:pPr>
      <w:r>
        <w:rPr/>
        <w:t xml:space="preserve">Članak 233.</w:t>
      </w:r>
    </w:p>
    <w:p>
      <w:pPr>
        <w:pBdr/>
        <w:pStyle w:val="Normal"/>
        <w:spacing/>
        <w:ind/>
        <w:rPr>
          <w:rFonts w:ascii="Arial" w:eastAsia="Arial" w:hAnsi="Arial" w:cs="Arial"/>
        </w:rPr>
      </w:pPr>
      <w:r>
        <w:rPr>
          <w:rFonts w:ascii="Arial" w:eastAsia="Arial" w:hAnsi="Arial" w:cs="Arial"/>
        </w:rPr>
        <w:t xml:space="preserve">(1) Ministarstvo na svojim mrežnim stranicama objavljuje: </w:t>
      </w:r>
    </w:p>
    <w:p>
      <w:pPr>
        <w:pBdr/>
        <w:pStyle w:val="Normal"/>
        <w:spacing/>
        <w:ind/>
        <w:rPr>
          <w:rFonts w:ascii="Arial" w:eastAsia="Arial" w:hAnsi="Arial" w:cs="Arial"/>
        </w:rPr>
      </w:pPr>
      <w:r>
        <w:rPr>
          <w:rFonts w:ascii="Arial" w:eastAsia="Arial" w:hAnsi="Arial" w:cs="Arial"/>
        </w:rPr>
        <w:t xml:space="preserve">1. pravilnik iz članka 163. stavka 1. ovoga Zakona objavljen u «Narodnim novinama«</w:t>
      </w:r>
    </w:p>
    <w:p>
      <w:pPr>
        <w:pBdr/>
        <w:pStyle w:val="Normal"/>
        <w:spacing/>
        <w:ind/>
        <w:rPr>
          <w:rFonts w:ascii="Arial" w:eastAsia="Arial" w:hAnsi="Arial" w:cs="Arial"/>
        </w:rPr>
      </w:pPr>
      <w:r>
        <w:rPr>
          <w:rFonts w:ascii="Arial" w:eastAsia="Arial" w:hAnsi="Arial" w:cs="Arial"/>
        </w:rPr>
        <w:t xml:space="preserve">2. rješenja o registraciji postrojenja za uzgoj životinja. </w:t>
      </w:r>
    </w:p>
    <w:p>
      <w:pPr>
        <w:pBdr/>
        <w:pStyle w:val="Normal"/>
        <w:spacing/>
        <w:ind/>
        <w:rPr>
          <w:rFonts w:ascii="Arial" w:eastAsia="Arial" w:hAnsi="Arial" w:cs="Arial"/>
        </w:rPr>
      </w:pPr>
      <w:r>
        <w:rPr>
          <w:rFonts w:ascii="Arial" w:eastAsia="Arial" w:hAnsi="Arial" w:cs="Arial"/>
        </w:rPr>
        <w:t xml:space="preserve">(2) Tijelo nadležno za inspekcijske poslove u području zaštite okoliša dužno je na svojim mrežnim stranicama osigurati javnosti pristup izvješćima o inspekcijskim nadzorima provedenima u postrojenjima za uzgoj životinja.</w:t>
      </w:r>
    </w:p>
    <w:p>
      <w:pPr>
        <w:pBdr/>
        <w:pStyle w:val="Normal"/>
        <w:spacing/>
        <w:ind/>
        <w:rPr>
          <w:rFonts w:ascii="Arial" w:eastAsia="Arial" w:hAnsi="Arial" w:cs="Arial"/>
        </w:rPr>
      </w:pPr>
    </w:p>
    <w:p>
      <w:pPr>
        <w:pBdr/>
        <w:pStyle w:val="Heading 2"/>
        <w:spacing/>
        <w:ind/>
        <w:rPr/>
      </w:pPr>
      <w:r>
        <w:rPr/>
        <w:t xml:space="preserve">Informiranje o davanju suglasnosti na sanacijski program</w:t>
      </w:r>
    </w:p>
    <w:p>
      <w:pPr>
        <w:pBdr/>
        <w:pStyle w:val="Heading 2"/>
        <w:spacing/>
        <w:ind/>
        <w:rPr/>
      </w:pPr>
      <w:r>
        <w:rPr/>
        <w:t xml:space="preserve">Članak 234.</w:t>
      </w:r>
    </w:p>
    <w:p>
      <w:pPr>
        <w:pBdr/>
        <w:pStyle w:val="Normal"/>
        <w:spacing/>
        <w:ind/>
        <w:rPr>
          <w:rFonts w:ascii="Arial" w:eastAsia="Arial" w:hAnsi="Arial" w:cs="Arial"/>
        </w:rPr>
      </w:pPr>
      <w:r>
        <w:rPr>
          <w:rFonts w:ascii="Arial" w:eastAsia="Arial" w:hAnsi="Arial" w:cs="Arial"/>
        </w:rPr>
        <w:t xml:space="preserve">U postupku davanja suglasnosti na sanacijski program javnost i zainteresirana javnost informiraju se o:</w:t>
      </w:r>
    </w:p>
    <w:p>
      <w:pPr>
        <w:pBdr/>
        <w:pStyle w:val="Normal"/>
        <w:spacing/>
        <w:ind/>
        <w:rPr>
          <w:rFonts w:ascii="Arial" w:eastAsia="Arial" w:hAnsi="Arial" w:cs="Arial"/>
        </w:rPr>
      </w:pPr>
      <w:r>
        <w:rPr>
          <w:rFonts w:ascii="Arial" w:eastAsia="Arial" w:hAnsi="Arial" w:cs="Arial"/>
        </w:rPr>
        <w:t xml:space="preserve">1. zahtjevu operatera </w:t>
      </w:r>
    </w:p>
    <w:p>
      <w:pPr>
        <w:pBdr/>
        <w:pStyle w:val="Normal"/>
        <w:spacing/>
        <w:ind/>
        <w:rPr>
          <w:rFonts w:ascii="Arial" w:eastAsia="Arial" w:hAnsi="Arial" w:cs="Arial"/>
          <w:color w:val="000000"/>
        </w:rPr>
      </w:pPr>
      <w:r>
        <w:rPr>
          <w:rFonts w:ascii="Arial" w:eastAsia="Arial" w:hAnsi="Arial" w:cs="Arial"/>
        </w:rPr>
        <w:t xml:space="preserve">2. izdanoj suglasnosti odnosno drugom aktu donesenom povodom zahtjeva sukladno ovom Zakonu.</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21" w:id="16"/>
      <w:r>
        <w:rPr>
          <w:rFonts w:ascii="Arial" w:eastAsia="Arial" w:hAnsi="Arial" w:cs="Arial"/>
          <w:szCs w:val="24"/>
        </w:rPr>
        <w:t xml:space="preserve">GLAVA II. </w:t>
      </w:r>
      <w:bookmarkEnd w:id="16"/>
      <w:r>
        <w:rPr>
          <w:rFonts w:ascii="Arial" w:eastAsia="Arial" w:hAnsi="Arial" w:cs="Arial"/>
          <w:szCs w:val="24"/>
        </w:rPr>
        <w:t xml:space="preserve">SUDJELOVANJE JAVNOSTI I ZAINTERESIRANE JAVNOSTI</w:t>
      </w:r>
    </w:p>
    <w:p>
      <w:pPr>
        <w:pBdr/>
        <w:pStyle w:val="Heading 2"/>
        <w:spacing/>
        <w:ind/>
        <w:rPr/>
      </w:pPr>
      <w:r>
        <w:rPr/>
        <w:t xml:space="preserve">Sudjelovanje javnosti i zainteresirane javnosti u odlučivanju u pitanjima zaštite okoliša</w:t>
      </w:r>
    </w:p>
    <w:p>
      <w:pPr>
        <w:pBdr/>
        <w:pStyle w:val="Heading 2"/>
        <w:spacing/>
        <w:ind/>
        <w:rPr/>
      </w:pPr>
      <w:r>
        <w:rPr/>
        <w:t xml:space="preserve">Članak 235.</w:t>
      </w:r>
    </w:p>
    <w:p>
      <w:pPr>
        <w:pBdr/>
        <w:pStyle w:val="Normal"/>
        <w:spacing/>
        <w:ind/>
        <w:rPr>
          <w:rFonts w:ascii="Arial" w:eastAsia="Arial" w:hAnsi="Arial" w:cs="Arial"/>
          <w:color w:val="000000"/>
        </w:rPr>
      </w:pPr>
      <w:r>
        <w:rPr>
          <w:rFonts w:ascii="Arial" w:eastAsia="Arial" w:hAnsi="Arial" w:cs="Arial"/>
        </w:rPr>
        <w:t xml:space="preserve">(1) Tijelo javne vlasti koje je prema odredbama ovoga Zakona nadležno za provedbu postupka odlučivanja u pitanjima okoliša dužno je u ranoj fazi postupka na prikladan način, pravodobno i djelotvorno obavijestiti javnost i zainteresiranu javnost o pravu sudjelovanja u tom postupku.</w:t>
      </w:r>
    </w:p>
    <w:p>
      <w:pPr>
        <w:pBdr/>
        <w:pStyle w:val="Normal"/>
        <w:spacing/>
        <w:ind/>
        <w:rPr>
          <w:rFonts w:ascii="Arial" w:eastAsia="Arial" w:hAnsi="Arial" w:cs="Arial"/>
        </w:rPr>
      </w:pPr>
      <w:r>
        <w:rPr>
          <w:rFonts w:ascii="Arial" w:eastAsia="Arial" w:hAnsi="Arial" w:cs="Arial"/>
        </w:rPr>
        <w:t xml:space="preserve">(2) U postupcima odlučivanja u pitanjima okoliša iz stavka 1. ovoga članka javnost i zainteresirana javnost imaju pravo iznijeti svoje mišljenje, prijedloge i primjedbe vezano za donošenje odluka odnosno akata tijela javne vlasti, na način i u rokovima kako je propisano uredbama iz članka 39. stavka 6., članka 56. stavka 4., članka 76. stavka 5. ovoga Zakona. </w:t>
      </w:r>
    </w:p>
    <w:p>
      <w:pPr>
        <w:pBdr/>
        <w:pStyle w:val="Normal"/>
        <w:spacing/>
        <w:ind/>
        <w:rPr>
          <w:rFonts w:ascii="Arial" w:eastAsia="Arial" w:hAnsi="Arial" w:cs="Arial"/>
          <w:i/>
          <w:color w:val="000000"/>
        </w:rPr>
      </w:pPr>
    </w:p>
    <w:p>
      <w:pPr>
        <w:pBdr/>
        <w:pStyle w:val="Heading 2"/>
        <w:spacing/>
        <w:ind/>
        <w:rPr/>
      </w:pPr>
      <w:r>
        <w:rPr/>
        <w:t xml:space="preserve">Obavještavanje javnosti i zainteresirane javnosti o pravu i načinu sudjelovanja u postupcima i rokovi</w:t>
      </w:r>
    </w:p>
    <w:p>
      <w:pPr>
        <w:pBdr/>
        <w:pStyle w:val="Heading 2"/>
        <w:spacing/>
        <w:ind/>
        <w:rPr/>
      </w:pPr>
      <w:r>
        <w:rPr/>
        <w:t xml:space="preserve">Članak 236.</w:t>
      </w:r>
    </w:p>
    <w:p>
      <w:pPr>
        <w:pBdr/>
        <w:pStyle w:val="Normal"/>
        <w:spacing/>
        <w:ind/>
        <w:rPr>
          <w:rFonts w:ascii="Arial" w:eastAsia="Arial" w:hAnsi="Arial" w:cs="Arial"/>
        </w:rPr>
      </w:pPr>
      <w:r>
        <w:rPr>
          <w:rFonts w:ascii="Arial" w:eastAsia="Arial" w:hAnsi="Arial" w:cs="Arial"/>
        </w:rPr>
        <w:t xml:space="preserve">(1) Tijela javne vlasti obvezna su, u ranoj fazi postupanja putem javnih obavijesti, oglasa ili drugih odgovarajućih sredstava, te elektroničkih medija, odnosno na drugi primjeren način, obavijestiti javnost odnosno zainteresiranu javnost o: </w:t>
      </w:r>
    </w:p>
    <w:p>
      <w:pPr>
        <w:pBdr/>
        <w:pStyle w:val="Normal"/>
        <w:spacing/>
        <w:ind/>
        <w:rPr>
          <w:rFonts w:ascii="Arial" w:eastAsia="Arial" w:hAnsi="Arial" w:cs="Arial"/>
        </w:rPr>
      </w:pPr>
      <w:r>
        <w:rPr>
          <w:rFonts w:ascii="Arial" w:eastAsia="Arial" w:hAnsi="Arial" w:cs="Arial"/>
        </w:rPr>
        <w:t xml:space="preserve">- zaprimljenim zahtjevima nositelja zahvata i operatera</w:t>
      </w:r>
    </w:p>
    <w:p>
      <w:pPr>
        <w:pBdr/>
        <w:pStyle w:val="Normal"/>
        <w:spacing/>
        <w:ind/>
        <w:rPr>
          <w:rFonts w:ascii="Arial" w:eastAsia="Arial" w:hAnsi="Arial" w:cs="Arial"/>
        </w:rPr>
      </w:pPr>
      <w:r>
        <w:rPr>
          <w:rFonts w:ascii="Arial" w:eastAsia="Arial" w:hAnsi="Arial" w:cs="Arial"/>
        </w:rPr>
        <w:t xml:space="preserve">- nacrtima strategija, planova i programa za koje se provodi strateška procjena, njihovim izmjenama i dopunama </w:t>
      </w:r>
    </w:p>
    <w:p>
      <w:pPr>
        <w:pBdr/>
        <w:pStyle w:val="Normal"/>
        <w:spacing/>
        <w:ind/>
        <w:rPr>
          <w:rFonts w:ascii="Arial" w:eastAsia="Arial" w:hAnsi="Arial" w:cs="Arial"/>
          <w:color w:val="000000"/>
        </w:rPr>
      </w:pPr>
      <w:r>
        <w:rPr>
          <w:rFonts w:ascii="Arial" w:eastAsia="Arial" w:hAnsi="Arial" w:cs="Arial"/>
        </w:rPr>
        <w:t xml:space="preserve">- postupcima koji se s tim u svezi provode sukladno odredbama ovoga Zakona i posebnih propisa iz područja zaštite prirode, voda, zraka, gospodarenja otpadom, buke, svjetlosnog onečišćenja i dr.</w:t>
      </w:r>
    </w:p>
    <w:p>
      <w:pPr>
        <w:pBdr/>
        <w:pStyle w:val="Normal"/>
        <w:spacing/>
        <w:ind/>
        <w:rPr>
          <w:rFonts w:ascii="Arial" w:eastAsia="Arial" w:hAnsi="Arial" w:cs="Arial"/>
          <w:color w:val="000000"/>
        </w:rPr>
      </w:pPr>
      <w:r>
        <w:rPr>
          <w:rFonts w:ascii="Arial" w:eastAsia="Arial" w:hAnsi="Arial" w:cs="Arial"/>
        </w:rPr>
        <w:t xml:space="preserve">(2) Osim podataka iz stavka 1. ovoga članka, obavijest sadrži i informacije o pravu na sudjelovanje javnosti, odnosno zainteresirane javnosti u postupcima koji se vode sukladno odredbama ovoga Zakona, te informacije o tijelima kojima se u tijeku postupka mogu podnijeti mišljenja, prijedlozi i/ili primjedbe.</w:t>
      </w:r>
    </w:p>
    <w:p>
      <w:pPr>
        <w:pBdr/>
        <w:pStyle w:val="Normal"/>
        <w:spacing/>
        <w:ind/>
        <w:rPr>
          <w:rFonts w:ascii="Arial" w:eastAsia="Arial" w:hAnsi="Arial" w:cs="Arial"/>
          <w:color w:val="000000"/>
        </w:rPr>
      </w:pPr>
      <w:r>
        <w:rPr>
          <w:rFonts w:ascii="Arial" w:eastAsia="Arial" w:hAnsi="Arial" w:cs="Arial"/>
        </w:rPr>
        <w:t xml:space="preserve">(3) Rok za sudjelovanje javnosti u postupcima koji se vode sukladno odredbama ovoga Zakona ne može biti kraći od 30 dana.</w:t>
      </w:r>
    </w:p>
    <w:p>
      <w:pPr>
        <w:pBdr/>
        <w:pStyle w:val="Normal"/>
        <w:spacing/>
        <w:ind/>
        <w:rPr>
          <w:rFonts w:ascii="Arial" w:eastAsia="Arial" w:hAnsi="Arial" w:cs="Arial"/>
          <w:color w:val="000000"/>
        </w:rPr>
      </w:pPr>
      <w:r>
        <w:rPr>
          <w:rFonts w:ascii="Arial" w:eastAsia="Arial" w:hAnsi="Arial" w:cs="Arial"/>
        </w:rPr>
        <w:t xml:space="preserve">(4) Prilikom rješavanja u postupcima iz stavka 1. ovoga članka tijela javne vlasti razmatraju mišljenja, primjedbe i/ili prijedloge javnosti i/ili zainteresirane javnosti te obavještavaju javnost i/ili zainteresiranu javnost o odluci i razlozima na temelju kojih je donesena ta odluka.</w:t>
      </w:r>
    </w:p>
    <w:p>
      <w:pPr>
        <w:pBdr/>
        <w:pStyle w:val="Normal"/>
        <w:spacing/>
        <w:ind/>
        <w:rPr>
          <w:rFonts w:ascii="Arial" w:eastAsia="Arial" w:hAnsi="Arial" w:cs="Arial"/>
          <w:color w:val="000000"/>
        </w:rPr>
      </w:pPr>
    </w:p>
    <w:p>
      <w:pPr>
        <w:pBdr/>
        <w:pStyle w:val="Heading 2"/>
        <w:spacing/>
        <w:ind/>
        <w:rPr/>
      </w:pPr>
      <w:r>
        <w:rPr/>
        <w:t xml:space="preserve">Sudjelovanje javnosti i zainteresirane javnosti u posebnim postupcima</w:t>
      </w:r>
    </w:p>
    <w:p>
      <w:pPr>
        <w:pBdr/>
        <w:pStyle w:val="Heading 2"/>
        <w:spacing/>
        <w:ind/>
        <w:rPr/>
      </w:pPr>
      <w:r>
        <w:rPr/>
        <w:t xml:space="preserve">Članak 237.</w:t>
      </w:r>
    </w:p>
    <w:p>
      <w:pPr>
        <w:pBdr/>
        <w:pStyle w:val="Normal"/>
        <w:spacing/>
        <w:ind/>
        <w:rPr>
          <w:rFonts w:ascii="Arial" w:eastAsia="Arial" w:hAnsi="Arial" w:cs="Arial"/>
        </w:rPr>
      </w:pPr>
      <w:r>
        <w:rPr>
          <w:rFonts w:ascii="Arial" w:eastAsia="Arial" w:hAnsi="Arial" w:cs="Arial"/>
        </w:rPr>
        <w:t xml:space="preserve">(1) U postupku strateške procjene utjecaja strategije, plana i programa na okoliš javnost sudjeluje u: </w:t>
      </w:r>
    </w:p>
    <w:p>
      <w:pPr>
        <w:pBdr/>
        <w:pStyle w:val="Normal"/>
        <w:spacing/>
        <w:ind/>
        <w:rPr>
          <w:rFonts w:ascii="Arial" w:eastAsia="Arial" w:hAnsi="Arial" w:cs="Arial"/>
        </w:rPr>
      </w:pPr>
      <w:r>
        <w:rPr>
          <w:rFonts w:ascii="Arial" w:eastAsia="Arial" w:hAnsi="Arial" w:cs="Arial"/>
        </w:rPr>
        <w:t xml:space="preserve">- određivanju sadržaja strateške studije davanjem pisanih mišljenja i prijedloga u roku od 30 dana od dana objave informacije iz članka 228. stavka 1. točke 2. ovoga Zakona</w:t>
      </w:r>
    </w:p>
    <w:p>
      <w:pPr>
        <w:pBdr/>
        <w:pStyle w:val="Normal"/>
        <w:spacing/>
        <w:ind/>
        <w:rPr>
          <w:rFonts w:ascii="Arial" w:eastAsia="Arial" w:hAnsi="Arial" w:cs="Arial"/>
        </w:rPr>
      </w:pPr>
      <w:r>
        <w:rPr>
          <w:rFonts w:ascii="Arial" w:eastAsia="Arial" w:hAnsi="Arial" w:cs="Arial"/>
        </w:rPr>
        <w:t xml:space="preserve">- javnoj raspravi o strateškoj studiji i nacrtu prijedloga strategije, plana i programa </w:t>
      </w:r>
      <w:r>
        <w:rPr>
          <w:rFonts w:ascii="Arial" w:eastAsia="Arial" w:hAnsi="Arial" w:cs="Arial"/>
          <w:color w:val="000000"/>
        </w:rPr>
        <w:t xml:space="preserve">davanjem mišljenja, primjedbi i prijedloga u roku određenom za javnu raspravu</w:t>
      </w:r>
      <w:r>
        <w:rPr>
          <w:rFonts w:ascii="Arial" w:eastAsia="Arial" w:hAnsi="Arial" w:cs="Arial"/>
        </w:rPr>
        <w:t xml:space="preserve">.</w:t>
      </w:r>
    </w:p>
    <w:p>
      <w:pPr>
        <w:pBdr/>
        <w:pStyle w:val="Normal"/>
        <w:spacing/>
        <w:ind/>
        <w:rPr>
          <w:rFonts w:ascii="Arial" w:eastAsia="Arial" w:hAnsi="Arial" w:cs="Arial"/>
        </w:rPr>
      </w:pPr>
      <w:r>
        <w:rPr>
          <w:rFonts w:ascii="Arial" w:eastAsia="Arial" w:hAnsi="Arial" w:cs="Arial"/>
          <w:color w:val="000000"/>
        </w:rPr>
        <w:t xml:space="preserve">(2) U postupku ocjene o potrebi procjene utjecaja zahvata na okoliš sudjeluju javnost i zainteresirana javnost</w:t>
      </w:r>
      <w:r>
        <w:rPr>
          <w:rFonts w:ascii="Arial" w:eastAsia="Arial" w:hAnsi="Arial" w:cs="Arial"/>
        </w:rPr>
        <w:t xml:space="preserve"> pisanim mišljenjima i prijedlozima u roku od 30 dana od dana objave informacije iz članka 229. stavka 2. točke 1. ovoga Zakona. </w:t>
      </w:r>
    </w:p>
    <w:p>
      <w:pPr>
        <w:pBdr/>
        <w:pStyle w:val="Normal"/>
        <w:spacing/>
        <w:ind/>
        <w:rPr>
          <w:rFonts w:ascii="Arial" w:eastAsia="Arial" w:hAnsi="Arial" w:cs="Arial"/>
        </w:rPr>
      </w:pPr>
      <w:r>
        <w:rPr>
          <w:rFonts w:ascii="Arial" w:eastAsia="Arial" w:hAnsi="Arial" w:cs="Arial"/>
        </w:rPr>
        <w:t xml:space="preserve">(3) U postupku procjene utjecaja zahvata na okoliš javnost i zainteresirana javnost sudjeluju putem javne rasprave sukladno članku 240. ovoga Zakona, a tijelo nadležno za provedbu postupka objavljuje cjelovitu studiju o utjecaju zahvata na okoliš koja se upućuje na javnu raspravu na svojim mrežnim stranicama.</w:t>
      </w:r>
    </w:p>
    <w:p>
      <w:pPr>
        <w:pBdr/>
        <w:pStyle w:val="Normal"/>
        <w:spacing/>
        <w:ind/>
        <w:rPr>
          <w:rFonts w:ascii="Arial" w:eastAsia="Arial" w:hAnsi="Arial" w:cs="Arial"/>
        </w:rPr>
      </w:pPr>
      <w:r>
        <w:rPr>
          <w:rFonts w:ascii="Arial" w:eastAsia="Arial" w:hAnsi="Arial" w:cs="Arial"/>
          <w:color w:val="000000"/>
        </w:rPr>
        <w:t xml:space="preserve">(4) Nadležno tijelo u postupku iz stavka 3. ovoga članka dužno je omogućiti javni uvid u studiju o utjecaju zahvata na okoliš u trajanju od najmanje 30 dana od dana početka javnog uvida te osigurati najmanje jedno javno izlaganje o studiji o utjecaju zahvata na okoliš koje se može održati neposredno i/ili putem sredstava elektroničke komunikacije. </w:t>
      </w:r>
    </w:p>
    <w:p>
      <w:pPr>
        <w:pBdr/>
        <w:pStyle w:val="Normal"/>
        <w:spacing/>
        <w:ind/>
        <w:rPr>
          <w:rFonts w:ascii="Arial" w:eastAsia="Arial" w:hAnsi="Arial" w:cs="Arial"/>
        </w:rPr>
      </w:pPr>
      <w:r>
        <w:rPr>
          <w:rFonts w:ascii="Arial" w:eastAsia="Arial" w:hAnsi="Arial" w:cs="Arial"/>
        </w:rPr>
        <w:t xml:space="preserve">(5) Nadležno tijelo prije donošenja odluke o zahtjevu nositelja zahvata u postupku iz stavka 3. ovoga članka razmatra mišljenja, primjedbe i prijedloge javnosti i zainteresirane javnosti dostavljene tijekom njihova sudjelovanja u postupku.</w:t>
      </w:r>
    </w:p>
    <w:p>
      <w:pPr>
        <w:pBdr/>
        <w:pStyle w:val="Normal"/>
        <w:spacing/>
        <w:ind/>
        <w:rPr>
          <w:rFonts w:ascii="Arial" w:eastAsia="Arial" w:hAnsi="Arial" w:cs="Arial"/>
        </w:rPr>
      </w:pPr>
    </w:p>
    <w:p>
      <w:pPr>
        <w:pBdr/>
        <w:pStyle w:val="Heading 2"/>
        <w:spacing/>
        <w:ind/>
        <w:rPr/>
      </w:pPr>
      <w:r>
        <w:rPr/>
        <w:t xml:space="preserve">Članak 238.</w:t>
      </w:r>
    </w:p>
    <w:p>
      <w:pPr>
        <w:pBdr/>
        <w:pStyle w:val="Normal"/>
        <w:spacing/>
        <w:ind/>
        <w:rPr>
          <w:rFonts w:ascii="Arial" w:eastAsia="Arial" w:hAnsi="Arial" w:cs="Arial"/>
        </w:rPr>
      </w:pPr>
      <w:r>
        <w:rPr>
          <w:rFonts w:ascii="Arial" w:eastAsia="Arial" w:hAnsi="Arial" w:cs="Arial"/>
        </w:rPr>
        <w:t xml:space="preserve">(1) Ministarstvo osigurava sudjelovanje javnosti i zainteresirane javnosti u sljedećim postupcima:</w:t>
      </w:r>
    </w:p>
    <w:p>
      <w:pPr>
        <w:pBdr/>
        <w:pStyle w:val="Normal"/>
        <w:spacing/>
        <w:ind/>
        <w:rPr>
          <w:rFonts w:ascii="Arial" w:eastAsia="Arial" w:hAnsi="Arial" w:cs="Arial"/>
        </w:rPr>
      </w:pPr>
      <w:r>
        <w:rPr>
          <w:rFonts w:ascii="Arial" w:eastAsia="Arial" w:hAnsi="Arial" w:cs="Arial"/>
        </w:rPr>
        <w:t xml:space="preserve">1. izdavanja okolišne dozvole za nova postrojenja</w:t>
      </w:r>
    </w:p>
    <w:p>
      <w:pPr>
        <w:pBdr/>
        <w:pStyle w:val="Normal"/>
        <w:spacing/>
        <w:ind/>
        <w:rPr>
          <w:rFonts w:ascii="Arial" w:eastAsia="Arial" w:hAnsi="Arial" w:cs="Arial"/>
        </w:rPr>
      </w:pPr>
      <w:r>
        <w:rPr>
          <w:rFonts w:ascii="Arial" w:eastAsia="Arial" w:hAnsi="Arial" w:cs="Arial"/>
        </w:rPr>
        <w:t xml:space="preserve">2. izdavanja prve okolišne dozvole za postojeća postrojenja </w:t>
      </w:r>
    </w:p>
    <w:p>
      <w:pPr>
        <w:pBdr/>
        <w:pStyle w:val="Normal"/>
        <w:spacing/>
        <w:ind/>
        <w:rPr>
          <w:rFonts w:ascii="Arial" w:eastAsia="Arial" w:hAnsi="Arial" w:cs="Arial"/>
        </w:rPr>
      </w:pPr>
      <w:r>
        <w:rPr>
          <w:rFonts w:ascii="Arial" w:eastAsia="Arial" w:hAnsi="Arial" w:cs="Arial"/>
        </w:rPr>
        <w:t xml:space="preserve">3. izdavanja okolišne dozvole ili njezinih izmjena i/ili dopuna zbog značajne promjene u radu postrojenja</w:t>
      </w:r>
    </w:p>
    <w:p>
      <w:pPr>
        <w:pBdr/>
        <w:pStyle w:val="Normal"/>
        <w:spacing/>
        <w:ind/>
        <w:rPr>
          <w:rFonts w:ascii="Arial" w:eastAsia="Arial" w:hAnsi="Arial" w:cs="Arial"/>
        </w:rPr>
      </w:pPr>
      <w:r>
        <w:rPr>
          <w:rFonts w:ascii="Arial" w:eastAsia="Arial" w:hAnsi="Arial" w:cs="Arial"/>
        </w:rPr>
        <w:t xml:space="preserve">4. preispitivanja uvjeta okolišne dozvole iz članaka 125., 128., 129. i 130. ovoga Zakona, osim u slučaju iz članka 130. stavka 1. točke 4. ovoga Zakona</w:t>
      </w:r>
    </w:p>
    <w:p>
      <w:pPr>
        <w:pBdr/>
        <w:pStyle w:val="Normal"/>
        <w:spacing/>
        <w:ind/>
        <w:rPr>
          <w:rFonts w:ascii="Arial" w:eastAsia="Arial" w:hAnsi="Arial" w:cs="Arial"/>
        </w:rPr>
      </w:pPr>
      <w:r>
        <w:rPr>
          <w:rFonts w:ascii="Arial" w:eastAsia="Arial" w:hAnsi="Arial" w:cs="Arial"/>
        </w:rPr>
        <w:t xml:space="preserve">5. izdavanja okolišne dozvole ili izmjene i/ili dopune njezinih uvjeta u kojima se predlaže primjena članka 107. ovoga Zakona. </w:t>
      </w:r>
    </w:p>
    <w:p>
      <w:pPr>
        <w:pBdr/>
        <w:pStyle w:val="Normal"/>
        <w:spacing/>
        <w:ind/>
        <w:rPr>
          <w:rFonts w:ascii="Arial" w:eastAsia="Arial" w:hAnsi="Arial" w:cs="Arial"/>
        </w:rPr>
      </w:pPr>
      <w:r>
        <w:rPr>
          <w:rFonts w:ascii="Arial" w:eastAsia="Arial" w:hAnsi="Arial" w:cs="Arial"/>
        </w:rPr>
        <w:t xml:space="preserve">(2) U postupcima iz stavka 1. ovoga članka provodi se javna rasprava koja traje najmanje 30 dana od dana početka javnog uvida i uključuje:</w:t>
      </w:r>
    </w:p>
    <w:p>
      <w:pPr>
        <w:pBdr/>
        <w:pStyle w:val="Normal"/>
        <w:spacing/>
        <w:ind/>
        <w:rPr>
          <w:rFonts w:ascii="Arial" w:eastAsia="Arial" w:hAnsi="Arial" w:cs="Arial"/>
        </w:rPr>
      </w:pPr>
      <w:r>
        <w:rPr>
          <w:rFonts w:ascii="Arial" w:eastAsia="Arial" w:hAnsi="Arial" w:cs="Arial"/>
        </w:rPr>
        <w:t xml:space="preserve">1. javni uvid u zahtjev operatera i pripadajuću stručnu dokumentaciju</w:t>
      </w:r>
    </w:p>
    <w:p>
      <w:pPr>
        <w:pBdr/>
        <w:pStyle w:val="Normal"/>
        <w:spacing/>
        <w:ind/>
        <w:rPr>
          <w:rFonts w:ascii="Arial" w:eastAsia="Arial" w:hAnsi="Arial" w:cs="Arial"/>
        </w:rPr>
      </w:pPr>
      <w:r>
        <w:rPr>
          <w:rFonts w:ascii="Arial" w:eastAsia="Arial" w:hAnsi="Arial" w:cs="Arial"/>
        </w:rPr>
        <w:t xml:space="preserve">2. najmanje jedno javno izlaganje koje se može održati neposredno i/ili putem sredstava elektroničke komunikacije.</w:t>
      </w:r>
    </w:p>
    <w:p>
      <w:pPr>
        <w:pBdr/>
        <w:pStyle w:val="Normal"/>
        <w:spacing/>
        <w:ind/>
        <w:rPr>
          <w:rFonts w:ascii="Arial" w:eastAsia="Arial" w:hAnsi="Arial" w:cs="Arial"/>
        </w:rPr>
      </w:pPr>
      <w:r>
        <w:rPr>
          <w:rFonts w:ascii="Arial" w:eastAsia="Arial" w:hAnsi="Arial" w:cs="Arial"/>
        </w:rPr>
        <w:t xml:space="preserve">(3) Ministarstvo osigurava dostupnost dokumentacije iz stavka 2. točke 1. ovoga članka u elektroničkom obliku objavom na svojim mrežnim stranicama i u tiskanom obliku u prostorijama jedinice lokalne samouprave na čijem se području nalazi postrojenje.</w:t>
      </w:r>
    </w:p>
    <w:p>
      <w:pPr>
        <w:pBdr/>
        <w:pStyle w:val="Normal"/>
        <w:spacing/>
        <w:ind/>
        <w:rPr>
          <w:rFonts w:ascii="Arial" w:eastAsia="Arial" w:hAnsi="Arial" w:cs="Arial"/>
        </w:rPr>
      </w:pPr>
      <w:r>
        <w:rPr>
          <w:rFonts w:ascii="Arial" w:eastAsia="Arial" w:hAnsi="Arial" w:cs="Arial"/>
        </w:rPr>
        <w:t xml:space="preserve">(4) Javnost i zainteresirana javnost sudjeluju u javnoj raspravi iz stavka 2. ovoga članka dostavom pisanih mišljenja, primjedbi i prijedloga Ministarstvu, upisom u knjigu primjedbi u prostorijama jedinice lokalne samouprave u kojima se održava javni uvid te usmeno na zapisnik tijekom javnog izlaganja u prostorijama jedinice lokalne samouprave na čijem se području nalazi postrojenje.</w:t>
      </w:r>
    </w:p>
    <w:p>
      <w:pPr>
        <w:pBdr/>
        <w:pStyle w:val="Normal"/>
        <w:spacing/>
        <w:ind/>
        <w:rPr>
          <w:rFonts w:ascii="Arial" w:eastAsia="Arial" w:hAnsi="Arial" w:cs="Arial"/>
        </w:rPr>
      </w:pPr>
      <w:r>
        <w:rPr>
          <w:rFonts w:ascii="Arial" w:eastAsia="Arial" w:hAnsi="Arial" w:cs="Arial"/>
        </w:rPr>
        <w:t xml:space="preserve">(5) Ministarstvo prije donošenja rješenja u postupcima iz stavka 1. ovoga članka razmatra mišljenja, primjedbe i prijedloge javnosti i zainteresirane javnosti zaprimljene tijekom javne rasprave, a nakon donošenja rješenja  informira javnost i zainteresiranu javnost o </w:t>
      </w:r>
      <w:r>
        <w:rPr>
          <w:rFonts w:ascii="Arial" w:eastAsia="Arial" w:hAnsi="Arial" w:cs="Arial"/>
        </w:rPr>
        <w:t xml:space="preserve">njegovu sadržaju objavom rješenja na svojim mrežnim stranicama sukladno odredbama ovoga Zakona.</w:t>
      </w:r>
    </w:p>
    <w:p>
      <w:pPr>
        <w:pBdr/>
        <w:pStyle w:val="Normal"/>
        <w:spacing/>
        <w:ind/>
        <w:rPr>
          <w:rFonts w:ascii="Arial" w:eastAsia="Arial" w:hAnsi="Arial" w:cs="Arial"/>
        </w:rPr>
      </w:pPr>
    </w:p>
    <w:p>
      <w:pPr>
        <w:pBdr/>
        <w:pStyle w:val="Heading 2"/>
        <w:spacing/>
        <w:ind/>
        <w:rPr/>
      </w:pPr>
      <w:r>
        <w:rPr/>
        <w:t xml:space="preserve">Sudjelovanje javnosti u području sprječavanja velikih nesreća koje uključuju opasne tvari  (Seveso postrojenja)</w:t>
      </w:r>
    </w:p>
    <w:p>
      <w:pPr>
        <w:pBdr/>
        <w:pStyle w:val="Heading 2"/>
        <w:spacing/>
        <w:ind/>
        <w:rPr/>
      </w:pPr>
      <w:r>
        <w:rPr/>
        <w:t xml:space="preserve">Članak 239.</w:t>
      </w:r>
    </w:p>
    <w:p>
      <w:pPr>
        <w:pBdr/>
        <w:pStyle w:val="Normal"/>
        <w:spacing/>
        <w:ind/>
        <w:rPr>
          <w:rFonts w:ascii="Arial" w:eastAsia="Arial" w:hAnsi="Arial" w:cs="Arial"/>
        </w:rPr>
      </w:pPr>
      <w:r>
        <w:rPr>
          <w:rFonts w:ascii="Arial" w:eastAsia="Arial" w:hAnsi="Arial" w:cs="Arial"/>
        </w:rPr>
        <w:t xml:space="preserve">(1) Ministarstvo osigurava da javnost i zainteresirana javnost mogu pravodobno iznijeti mišljenja i sudjelovati u postupcima za pojedinačne projekte/zahvate koji se odnose na:</w:t>
      </w:r>
    </w:p>
    <w:p>
      <w:pPr>
        <w:pBdr/>
        <w:pStyle w:val="Normal"/>
        <w:spacing/>
        <w:ind/>
        <w:rPr>
          <w:rFonts w:ascii="Arial" w:eastAsia="Arial" w:hAnsi="Arial" w:cs="Arial"/>
        </w:rPr>
      </w:pPr>
      <w:r>
        <w:rPr>
          <w:rFonts w:ascii="Arial" w:eastAsia="Arial" w:hAnsi="Arial" w:cs="Arial"/>
        </w:rPr>
        <w:t xml:space="preserve">1. planiranje novih područja postrojenja u kojima su prisutne opasne tvari </w:t>
      </w:r>
    </w:p>
    <w:p>
      <w:pPr>
        <w:pBdr/>
        <w:pStyle w:val="Normal"/>
        <w:spacing/>
        <w:ind/>
        <w:rPr>
          <w:rFonts w:ascii="Arial" w:eastAsia="Arial" w:hAnsi="Arial" w:cs="Arial"/>
        </w:rPr>
      </w:pPr>
      <w:r>
        <w:rPr>
          <w:rFonts w:ascii="Arial" w:eastAsia="Arial" w:hAnsi="Arial" w:cs="Arial"/>
        </w:rPr>
        <w:t xml:space="preserve">2. značajne izmjene postojećih područja postrojenja u kojima su prisutne opasne tvari</w:t>
      </w:r>
    </w:p>
    <w:p>
      <w:pPr>
        <w:pBdr/>
        <w:pStyle w:val="Normal"/>
        <w:spacing/>
        <w:ind/>
        <w:rPr>
          <w:rFonts w:ascii="Arial" w:eastAsia="Arial" w:hAnsi="Arial" w:cs="Arial"/>
        </w:rPr>
      </w:pPr>
      <w:r>
        <w:rPr>
          <w:rFonts w:ascii="Arial" w:eastAsia="Arial" w:hAnsi="Arial" w:cs="Arial"/>
        </w:rPr>
        <w:t xml:space="preserve">3. nove zahvate oko postojećih područja postrojenja, ako lociranje i/ili zahvati mogu povećati rizik od velike nesreće ili njezinih posljedica.</w:t>
      </w:r>
    </w:p>
    <w:p>
      <w:pPr>
        <w:pBdr/>
        <w:pStyle w:val="Normal"/>
        <w:spacing/>
        <w:ind/>
        <w:rPr>
          <w:rFonts w:ascii="Arial" w:eastAsia="Arial" w:hAnsi="Arial" w:cs="Arial"/>
        </w:rPr>
      </w:pPr>
      <w:r>
        <w:rPr>
          <w:rFonts w:ascii="Arial" w:eastAsia="Arial" w:hAnsi="Arial" w:cs="Arial"/>
        </w:rPr>
        <w:t xml:space="preserve">(2) Sudjelovanje javnosti i zainteresirane javnosti o posebnim pojedinačnim zahvatima iz stavka 1. ovoga članka provodi se u sklopu javne rasprave u postupcima procjene utjecaja zahvata na okoliš, odnosno postupcima izrade prostornih planova, ovisno o tome koji se postupak provodi za određeni zahvat sukladno odredbama ovoga Zakona i posebnim propisima.</w:t>
      </w:r>
    </w:p>
    <w:p>
      <w:pPr>
        <w:pBdr/>
        <w:pStyle w:val="Normal"/>
        <w:spacing/>
        <w:ind/>
        <w:rPr>
          <w:rFonts w:ascii="Arial" w:eastAsia="Arial" w:hAnsi="Arial" w:cs="Arial"/>
        </w:rPr>
      </w:pPr>
      <w:r>
        <w:rPr>
          <w:rFonts w:ascii="Arial" w:eastAsia="Arial" w:hAnsi="Arial" w:cs="Arial"/>
        </w:rPr>
        <w:t xml:space="preserve">(3) Informiranje i način sudjelovanja javnosti te zainteresirane javnosti u postupcima iz stavka 1. ovoga članka provodi se sukladno odredbama ovoga Zakona kojima su uređeni postupci procjene utjecaja zahvata na okoliš, odnosno sukladno posebnim propisima iz područja prostornog uređenja.</w:t>
      </w:r>
    </w:p>
    <w:p>
      <w:pPr>
        <w:pBdr/>
        <w:pStyle w:val="Normal"/>
        <w:spacing/>
        <w:ind/>
        <w:rPr>
          <w:rFonts w:ascii="Arial" w:eastAsia="Arial" w:hAnsi="Arial" w:cs="Arial"/>
          <w:i/>
          <w:iCs/>
        </w:rPr>
      </w:pPr>
    </w:p>
    <w:p>
      <w:pPr>
        <w:pBdr/>
        <w:pStyle w:val="Heading 2"/>
        <w:spacing/>
        <w:ind/>
        <w:rPr/>
      </w:pPr>
      <w:r>
        <w:rPr/>
        <w:t xml:space="preserve">Javna rasprava</w:t>
      </w:r>
    </w:p>
    <w:p>
      <w:pPr>
        <w:pBdr/>
        <w:pStyle w:val="Heading 2"/>
        <w:spacing/>
        <w:ind/>
        <w:rPr/>
      </w:pPr>
      <w:r>
        <w:rPr/>
        <w:t xml:space="preserve">Članak 240.</w:t>
      </w:r>
    </w:p>
    <w:p>
      <w:pPr>
        <w:pBdr/>
        <w:pStyle w:val="Normal"/>
        <w:spacing/>
        <w:ind/>
        <w:rPr>
          <w:rFonts w:ascii="Arial" w:eastAsia="Arial" w:hAnsi="Arial" w:cs="Arial"/>
        </w:rPr>
      </w:pPr>
      <w:r>
        <w:rPr>
          <w:rFonts w:ascii="Arial" w:eastAsia="Arial" w:hAnsi="Arial" w:cs="Arial"/>
        </w:rPr>
        <w:t xml:space="preserve">(1) Predmet javne rasprave su: </w:t>
      </w:r>
    </w:p>
    <w:p>
      <w:pPr>
        <w:pBdr/>
        <w:pStyle w:val="Normal"/>
        <w:spacing/>
        <w:ind/>
        <w:rPr>
          <w:rFonts w:ascii="Arial" w:eastAsia="Arial" w:hAnsi="Arial" w:cs="Arial"/>
        </w:rPr>
      </w:pPr>
      <w:r>
        <w:rPr>
          <w:rFonts w:ascii="Arial" w:eastAsia="Arial" w:hAnsi="Arial" w:cs="Arial"/>
        </w:rPr>
        <w:t xml:space="preserve">1. strateška studija s nacrtom prijedloga strategije, plana i programa </w:t>
      </w:r>
    </w:p>
    <w:p>
      <w:pPr>
        <w:pBdr/>
        <w:pStyle w:val="Normal"/>
        <w:spacing/>
        <w:ind/>
        <w:rPr>
          <w:rFonts w:ascii="Arial" w:eastAsia="Arial" w:hAnsi="Arial" w:cs="Arial"/>
        </w:rPr>
      </w:pPr>
      <w:r>
        <w:rPr>
          <w:rFonts w:ascii="Arial" w:eastAsia="Arial" w:hAnsi="Arial" w:cs="Arial"/>
        </w:rPr>
        <w:t xml:space="preserve">2. studija o utjecaju zahvata na okoliš </w:t>
      </w:r>
    </w:p>
    <w:p>
      <w:pPr>
        <w:pBdr/>
        <w:pStyle w:val="Normal"/>
        <w:spacing/>
        <w:ind/>
        <w:rPr>
          <w:rFonts w:ascii="Arial" w:eastAsia="Arial" w:hAnsi="Arial" w:cs="Arial"/>
        </w:rPr>
      </w:pPr>
      <w:r>
        <w:rPr>
          <w:rFonts w:ascii="Arial" w:eastAsia="Arial" w:hAnsi="Arial" w:cs="Arial"/>
        </w:rPr>
        <w:t xml:space="preserve">3. zahtjev operatera u postupku okolišne dozvole s pripadajućom dokumentacijom </w:t>
      </w:r>
    </w:p>
    <w:p>
      <w:pPr>
        <w:pBdr/>
        <w:pStyle w:val="Normal"/>
        <w:spacing/>
        <w:ind/>
        <w:rPr>
          <w:rFonts w:ascii="Arial" w:eastAsia="Arial" w:hAnsi="Arial" w:cs="Arial"/>
        </w:rPr>
      </w:pPr>
      <w:r>
        <w:rPr>
          <w:rFonts w:ascii="Arial" w:eastAsia="Arial" w:hAnsi="Arial" w:cs="Arial"/>
        </w:rPr>
        <w:t xml:space="preserve">4. dokumentacija za preispitivanje uvjeta okolišne dozvole po službenoj dužnosti. </w:t>
      </w:r>
    </w:p>
    <w:p>
      <w:pPr>
        <w:pBdr/>
        <w:pStyle w:val="Normal"/>
        <w:spacing/>
        <w:ind/>
        <w:rPr>
          <w:rFonts w:ascii="Arial" w:eastAsia="Arial" w:hAnsi="Arial" w:cs="Arial"/>
        </w:rPr>
      </w:pPr>
      <w:r>
        <w:rPr>
          <w:rFonts w:ascii="Arial" w:eastAsia="Arial" w:hAnsi="Arial" w:cs="Arial"/>
        </w:rPr>
        <w:t xml:space="preserve">(2) U postupcima okolišne dozvole, uz dokumentaciju iz stavka 1. ovoga članka, Ministarstvo na javni uvid stavlja i mišljenja nadležnih tijela i/ili osoba koje je zaprimilo do dana objave obavijesti o provođenju javne rasprave.</w:t>
      </w:r>
    </w:p>
    <w:p>
      <w:pPr>
        <w:pBdr/>
        <w:pStyle w:val="Normal"/>
        <w:spacing/>
        <w:ind/>
        <w:rPr>
          <w:rFonts w:ascii="Arial" w:eastAsia="Arial" w:hAnsi="Arial" w:cs="Arial"/>
        </w:rPr>
      </w:pPr>
      <w:r>
        <w:rPr>
          <w:rFonts w:ascii="Arial" w:eastAsia="Arial" w:hAnsi="Arial" w:cs="Arial"/>
        </w:rPr>
        <w:t xml:space="preserve">(3) Tijelo javne vlasti daje obavijest o provođenju javne rasprave i predmetu javne rasprave iz stavka 1. ovoga članka na mrežnoj stranici Ministarstva, jedinice lokalne i područne (regionalne) samouprave te u dnevnom tisku najmanje osam dana prije početka javne rasprave. </w:t>
      </w:r>
    </w:p>
    <w:p>
      <w:pPr>
        <w:pBdr/>
        <w:pStyle w:val="Normal"/>
        <w:spacing/>
        <w:ind/>
        <w:rPr>
          <w:rFonts w:ascii="Arial" w:eastAsia="Arial" w:hAnsi="Arial" w:cs="Arial"/>
        </w:rPr>
      </w:pPr>
      <w:r>
        <w:rPr>
          <w:rFonts w:ascii="Arial" w:eastAsia="Arial" w:hAnsi="Arial" w:cs="Arial"/>
        </w:rPr>
        <w:t xml:space="preserve">(4) Obavijest iz stavka 3. ovoga članka može se dati i u službenom glasilu jedinice lokalne i područne (regionalne) samouprave, ukoliko posebnim propisom nije drukčije propisano.</w:t>
      </w:r>
      <w:r>
        <w:rPr>
          <w:rFonts w:ascii="Arial" w:eastAsia="Arial" w:hAnsi="Arial" w:cs="Arial"/>
        </w:rPr>
        <w:br/>
      </w:r>
      <w:r>
        <w:rPr>
          <w:rFonts w:ascii="Arial" w:eastAsia="Arial" w:hAnsi="Arial" w:cs="Arial"/>
        </w:rPr>
        <w:t xml:space="preserve">(5) Obavijest iz stavaka 3. i 4. ovoga članka sadrži naznaku predmeta javne rasprave, mjesto i datum početka te trajanje javnog uvida, način na koji će dokumentacija iz stavka 1. ovoga članka biti dostupna javnosti, mjesto i datum javnog izlaganja, detalje o načinu sudjelovanja javnosti u postupcima iz članaka 237., 238. i 239. ovoga Zakona te rok u kojem se tijelu javne vlasti dostavljaju pisana mišljenja, prijedlozi i primjedbe u svezi predmeta javne rasprave.</w:t>
      </w:r>
      <w:r>
        <w:rPr>
          <w:rFonts w:ascii="Arial" w:eastAsia="Arial" w:hAnsi="Arial" w:cs="Arial"/>
        </w:rPr>
        <w:br/>
      </w:r>
      <w:r>
        <w:rPr>
          <w:rFonts w:ascii="Arial" w:eastAsia="Arial" w:hAnsi="Arial" w:cs="Arial"/>
        </w:rPr>
        <w:t xml:space="preserve">(6) Tijelo javne vlasti pored obavijesti iz stavaka 3. i 4. ovoga članka, kada je obveza </w:t>
      </w:r>
      <w:r>
        <w:rPr>
          <w:rFonts w:ascii="Arial" w:eastAsia="Arial" w:hAnsi="Arial" w:cs="Arial"/>
        </w:rPr>
        <w:t xml:space="preserve">propisana posebnim propisom, pisanu obavijest o javnoj raspravi iz stavka 3. ovoga članka dostavlja prema potrebi i drugim tijelima i osobama.</w:t>
      </w:r>
    </w:p>
    <w:p>
      <w:pPr>
        <w:pBdr/>
        <w:pStyle w:val="Normal"/>
        <w:spacing/>
        <w:ind/>
        <w:rPr>
          <w:rFonts w:ascii="Arial" w:eastAsia="Arial" w:hAnsi="Arial" w:cs="Arial"/>
        </w:rPr>
      </w:pPr>
    </w:p>
    <w:p>
      <w:pPr>
        <w:pBdr/>
        <w:pStyle w:val="Heading 2"/>
        <w:spacing/>
        <w:ind/>
        <w:rPr/>
      </w:pPr>
      <w:r>
        <w:rPr/>
        <w:t xml:space="preserve">Provedba javne rasprave</w:t>
      </w:r>
    </w:p>
    <w:p>
      <w:pPr>
        <w:pBdr/>
        <w:pStyle w:val="Heading 2"/>
        <w:spacing/>
        <w:ind/>
        <w:rPr/>
      </w:pPr>
      <w:r>
        <w:rPr/>
        <w:t xml:space="preserve">Članak 241.</w:t>
      </w:r>
    </w:p>
    <w:p>
      <w:pPr>
        <w:pBdr/>
        <w:pStyle w:val="Normal"/>
        <w:spacing/>
        <w:ind/>
        <w:rPr>
          <w:rFonts w:ascii="Arial" w:eastAsia="Arial" w:hAnsi="Arial" w:cs="Arial"/>
        </w:rPr>
      </w:pPr>
      <w:r>
        <w:rPr>
          <w:rFonts w:ascii="Arial" w:eastAsia="Arial" w:hAnsi="Arial" w:cs="Arial"/>
        </w:rPr>
        <w:t xml:space="preserve">(1) Javnu raspravu, uključujući javni uvid i javno izlaganje, koordinira i provodi:</w:t>
      </w:r>
    </w:p>
    <w:p>
      <w:pPr>
        <w:pBdr/>
        <w:pStyle w:val="Normal"/>
        <w:spacing/>
        <w:ind/>
        <w:rPr>
          <w:rFonts w:ascii="Arial" w:eastAsia="Arial" w:hAnsi="Arial" w:cs="Arial"/>
        </w:rPr>
      </w:pPr>
      <w:r>
        <w:rPr>
          <w:rFonts w:ascii="Arial" w:eastAsia="Arial" w:hAnsi="Arial" w:cs="Arial"/>
        </w:rPr>
        <w:t xml:space="preserve">1. u postupku strateške procjene – nadležno tijelo iz članka 41. ovoga Zakona</w:t>
      </w:r>
    </w:p>
    <w:p>
      <w:pPr>
        <w:pBdr/>
        <w:pStyle w:val="Normal"/>
        <w:spacing/>
        <w:ind/>
        <w:rPr>
          <w:rFonts w:ascii="Arial" w:eastAsia="Arial" w:hAnsi="Arial" w:cs="Arial"/>
        </w:rPr>
      </w:pPr>
      <w:r>
        <w:rPr>
          <w:rFonts w:ascii="Arial" w:eastAsia="Arial" w:hAnsi="Arial" w:cs="Arial"/>
        </w:rPr>
        <w:t xml:space="preserve">2. u postupku procjene utjecaja zahvata na okoliš – Ministarstvo odnosno nadležno upravno tijelo županije te Grada Zagreba </w:t>
      </w:r>
    </w:p>
    <w:p>
      <w:pPr>
        <w:pBdr/>
        <w:pStyle w:val="Normal"/>
        <w:spacing/>
        <w:ind/>
        <w:rPr>
          <w:rFonts w:ascii="Arial" w:eastAsia="Arial" w:hAnsi="Arial" w:cs="Arial"/>
        </w:rPr>
      </w:pPr>
      <w:r>
        <w:rPr>
          <w:rFonts w:ascii="Arial" w:eastAsia="Arial" w:hAnsi="Arial" w:cs="Arial"/>
        </w:rPr>
        <w:t xml:space="preserve">3. u postupku izdavanja okolišne dozvole – Ministarstvo odnosno nadležno upravno tijelo županije te Grada Zagreba</w:t>
      </w:r>
    </w:p>
    <w:p>
      <w:pPr>
        <w:pBdr/>
        <w:pStyle w:val="Normal"/>
        <w:spacing/>
        <w:ind/>
        <w:rPr>
          <w:rFonts w:ascii="Arial" w:eastAsia="Arial" w:hAnsi="Arial" w:cs="Arial"/>
        </w:rPr>
      </w:pPr>
      <w:r>
        <w:rPr>
          <w:rFonts w:ascii="Arial" w:eastAsia="Arial" w:hAnsi="Arial" w:cs="Arial"/>
        </w:rPr>
        <w:t xml:space="preserve">4. u postupcima iz točaka 1., 2. i 3. stavka 1. ovoga članka u dijelu koji se odnosi na prekogranične utjecaje – Ministarstvo.</w:t>
      </w:r>
    </w:p>
    <w:p>
      <w:pPr>
        <w:pBdr/>
        <w:pStyle w:val="Normal"/>
        <w:spacing/>
        <w:ind/>
        <w:rPr>
          <w:rFonts w:ascii="Arial" w:eastAsia="Arial" w:hAnsi="Arial" w:cs="Arial"/>
        </w:rPr>
      </w:pPr>
      <w:r>
        <w:rPr>
          <w:rFonts w:ascii="Arial" w:eastAsia="Arial" w:hAnsi="Arial" w:cs="Arial"/>
        </w:rPr>
        <w:t xml:space="preserve">(2) Kada javnu raspravu koordinira i provodi Ministarstvo, obavljanje pojedinih radnji javne rasprave, uključujući javni uvid i javno izlaganje, može povjeriti nadležnom upravnom tijelu županije odnosno Grada Zagreba u skladu sa zakonom kojim se uređuje opći upravni postupak.</w:t>
      </w:r>
    </w:p>
    <w:p>
      <w:pPr>
        <w:pBdr/>
        <w:pStyle w:val="Normal"/>
        <w:spacing/>
        <w:ind/>
        <w:rPr>
          <w:rFonts w:ascii="Arial" w:eastAsia="Arial" w:hAnsi="Arial" w:cs="Arial"/>
        </w:rPr>
      </w:pPr>
      <w:r>
        <w:rPr>
          <w:rFonts w:ascii="Arial" w:eastAsia="Arial" w:hAnsi="Arial" w:cs="Arial"/>
        </w:rPr>
        <w:t xml:space="preserve">(3) Nadležno upravno tijelo županije odnosno Grada Zagreba kojem je Ministarstvo povjerilo obavljanje pojedinih radnji iz stavka 2. ovoga članka dužno je u roku od 15 dana od dana završetka javne rasprave dostaviti Ministarstvu izvješće o provedenoj javnoj raspravi u dijelu koji se odnosi na povjerene radnje, sa sadržajem i dokumentacijom iz članka 244. stavaka 1. i 2. ovoga Zakona. </w:t>
      </w:r>
    </w:p>
    <w:p>
      <w:pPr>
        <w:pBdr/>
        <w:pStyle w:val="Normal"/>
        <w:spacing/>
        <w:ind/>
        <w:rPr>
          <w:rFonts w:ascii="Arial" w:eastAsia="Arial" w:hAnsi="Arial" w:cs="Arial"/>
        </w:rPr>
      </w:pPr>
    </w:p>
    <w:p>
      <w:pPr>
        <w:pBdr/>
        <w:pStyle w:val="Heading 2"/>
        <w:spacing/>
        <w:ind/>
        <w:rPr/>
      </w:pPr>
      <w:r>
        <w:rPr/>
        <w:t xml:space="preserve">Javni uvid i javno izlaganje</w:t>
      </w:r>
    </w:p>
    <w:p>
      <w:pPr>
        <w:pBdr/>
        <w:pStyle w:val="Heading 2"/>
        <w:spacing/>
        <w:ind/>
        <w:rPr/>
      </w:pPr>
      <w:r>
        <w:rPr/>
        <w:t xml:space="preserve">Članak 242.</w:t>
      </w:r>
    </w:p>
    <w:p>
      <w:pPr>
        <w:pBdr/>
        <w:pStyle w:val="Normal"/>
        <w:spacing/>
        <w:ind/>
        <w:rPr>
          <w:rFonts w:ascii="Arial" w:eastAsia="Arial" w:hAnsi="Arial" w:cs="Arial"/>
        </w:rPr>
      </w:pPr>
      <w:r>
        <w:rPr>
          <w:rFonts w:ascii="Arial" w:eastAsia="Arial" w:hAnsi="Arial" w:cs="Arial"/>
        </w:rPr>
        <w:t xml:space="preserve">(1) Za vrijeme javnog uvida u dokumentaciju iz članka 240. stavka 1. ovoga Zakona koji traje najmanje 30 dana od početka javnog uvida nadležno tijelo organizira javno izlaganje.</w:t>
      </w:r>
    </w:p>
    <w:p>
      <w:pPr>
        <w:pBdr/>
        <w:pStyle w:val="Normal"/>
        <w:spacing/>
        <w:ind/>
        <w:rPr>
          <w:rFonts w:ascii="Arial" w:eastAsia="Arial" w:hAnsi="Arial" w:cs="Arial"/>
        </w:rPr>
      </w:pPr>
      <w:r>
        <w:rPr>
          <w:rFonts w:ascii="Arial" w:eastAsia="Arial" w:hAnsi="Arial" w:cs="Arial"/>
        </w:rPr>
        <w:t xml:space="preserve">(2) O javnom izlaganju službena osoba tijela koje provodi javno izlaganje vodi zapisnik. O javnom izlaganju može se osigurati i tonski zapis.</w:t>
      </w:r>
    </w:p>
    <w:p>
      <w:pPr>
        <w:pBdr/>
        <w:pStyle w:val="Normal"/>
        <w:spacing/>
        <w:ind/>
        <w:rPr>
          <w:rFonts w:ascii="Arial" w:eastAsia="Arial" w:hAnsi="Arial" w:cs="Arial"/>
        </w:rPr>
      </w:pPr>
    </w:p>
    <w:p>
      <w:pPr>
        <w:pBdr/>
        <w:pStyle w:val="Heading 2"/>
        <w:spacing/>
        <w:ind/>
        <w:rPr/>
      </w:pPr>
      <w:r>
        <w:rPr/>
        <w:t xml:space="preserve">Način sudjelovanja sudionika u javnoj raspravi</w:t>
      </w:r>
    </w:p>
    <w:p>
      <w:pPr>
        <w:pBdr/>
        <w:pStyle w:val="Heading 2"/>
        <w:spacing/>
        <w:ind/>
        <w:rPr/>
      </w:pPr>
      <w:r>
        <w:rPr/>
        <w:t xml:space="preserve">Članak 243.</w:t>
      </w:r>
    </w:p>
    <w:p>
      <w:pPr>
        <w:pBdr/>
        <w:pStyle w:val="Normal"/>
        <w:spacing/>
        <w:ind/>
        <w:rPr>
          <w:rFonts w:ascii="Arial" w:eastAsia="Arial" w:hAnsi="Arial" w:cs="Arial"/>
        </w:rPr>
      </w:pPr>
      <w:r>
        <w:rPr>
          <w:rFonts w:ascii="Arial" w:eastAsia="Arial" w:hAnsi="Arial" w:cs="Arial"/>
        </w:rPr>
        <w:t xml:space="preserve">(1) Ako u roku određenom u odluci o objavi javne rasprave javnost, zainteresirana javnost, nadležna tijela i jedinice lokalne samouprave, odnosno tijela jedinice područne (regionalne) samouprave ne dostave svoje mišljenje, primjedbe i prijedloge u svezi s predmetom javne rasprave smatra se da nisu imali primjedbi.</w:t>
      </w:r>
    </w:p>
    <w:p>
      <w:pPr>
        <w:pBdr/>
        <w:pStyle w:val="Normal"/>
        <w:spacing/>
        <w:ind/>
        <w:rPr>
          <w:rFonts w:ascii="Arial" w:eastAsia="Arial" w:hAnsi="Arial" w:cs="Arial"/>
        </w:rPr>
      </w:pPr>
      <w:r>
        <w:rPr>
          <w:rFonts w:ascii="Arial" w:eastAsia="Arial" w:hAnsi="Arial" w:cs="Arial"/>
        </w:rPr>
        <w:t xml:space="preserve">(2) Javnost i zainteresirana javnost sudjeluju u javnoj raspravi na način da:</w:t>
      </w:r>
    </w:p>
    <w:p>
      <w:pPr>
        <w:pBdr/>
        <w:pStyle w:val="Normal"/>
        <w:spacing/>
        <w:ind/>
        <w:rPr>
          <w:rFonts w:ascii="Arial" w:eastAsia="Arial" w:hAnsi="Arial" w:cs="Arial"/>
        </w:rPr>
      </w:pPr>
      <w:r>
        <w:rPr>
          <w:rFonts w:ascii="Arial" w:eastAsia="Arial" w:hAnsi="Arial" w:cs="Arial"/>
        </w:rPr>
        <w:t xml:space="preserve">- imaju pravo pristupa na javni uvid predmeta javne rasprave</w:t>
      </w:r>
    </w:p>
    <w:p>
      <w:pPr>
        <w:pBdr/>
        <w:pStyle w:val="Normal"/>
        <w:spacing/>
        <w:ind/>
        <w:rPr>
          <w:rFonts w:ascii="Arial" w:eastAsia="Arial" w:hAnsi="Arial" w:cs="Arial"/>
        </w:rPr>
      </w:pPr>
      <w:r>
        <w:rPr>
          <w:rFonts w:ascii="Arial" w:eastAsia="Arial" w:hAnsi="Arial" w:cs="Arial"/>
        </w:rPr>
        <w:t xml:space="preserve">- postavljaju pitanja tijekom javnog izlaganja o predloženim rješenjima, na koja odgovaraju nositelj zahvata ili operater, projektant te ovlaštenik, usmeno ili u pisanom obliku prema zahtjevu sudionika javne rasprave</w:t>
      </w:r>
    </w:p>
    <w:p>
      <w:pPr>
        <w:pBdr/>
        <w:pStyle w:val="Normal"/>
        <w:spacing/>
        <w:ind/>
        <w:rPr>
          <w:rFonts w:ascii="Arial" w:eastAsia="Arial" w:hAnsi="Arial" w:cs="Arial"/>
        </w:rPr>
      </w:pPr>
      <w:r>
        <w:rPr>
          <w:rFonts w:ascii="Arial" w:eastAsia="Arial" w:hAnsi="Arial" w:cs="Arial"/>
        </w:rPr>
        <w:t xml:space="preserve">- mogu upisati prijedloge i primjedbe u knjigu primjedbi koja se nalazi uz dokumentaciju iz članka 202. stavka 1. ovoga Zakona o kojoj se provodi javna rasprava</w:t>
      </w:r>
    </w:p>
    <w:p>
      <w:pPr>
        <w:pBdr/>
        <w:pStyle w:val="Normal"/>
        <w:spacing/>
        <w:ind/>
        <w:rPr>
          <w:rFonts w:ascii="Arial" w:eastAsia="Arial" w:hAnsi="Arial" w:cs="Arial"/>
        </w:rPr>
      </w:pPr>
      <w:r>
        <w:rPr>
          <w:rFonts w:ascii="Arial" w:eastAsia="Arial" w:hAnsi="Arial" w:cs="Arial"/>
        </w:rPr>
        <w:t xml:space="preserve">- koordinatoru javne rasprave daju prijedloge i primjedbe u zapisnik za vrijeme javnog izlaganja</w:t>
      </w:r>
    </w:p>
    <w:p>
      <w:pPr>
        <w:pBdr/>
        <w:pStyle w:val="Normal"/>
        <w:spacing/>
        <w:ind/>
        <w:rPr>
          <w:rFonts w:ascii="Arial" w:eastAsia="Arial" w:hAnsi="Arial" w:cs="Arial"/>
        </w:rPr>
      </w:pPr>
      <w:r>
        <w:rPr>
          <w:rFonts w:ascii="Arial" w:eastAsia="Arial" w:hAnsi="Arial" w:cs="Arial"/>
        </w:rPr>
        <w:t xml:space="preserve">- upućuju nadležnom tijelu pisane prijedloge i primjedbe u roku određenom u obavijesti o javnoj raspravi.</w:t>
      </w:r>
    </w:p>
    <w:p>
      <w:pPr>
        <w:pBdr/>
        <w:pStyle w:val="Normal"/>
        <w:spacing/>
        <w:ind/>
        <w:rPr>
          <w:rFonts w:ascii="Arial" w:eastAsia="Arial" w:hAnsi="Arial" w:cs="Arial"/>
        </w:rPr>
      </w:pPr>
      <w:r>
        <w:rPr>
          <w:rFonts w:ascii="Arial" w:eastAsia="Arial" w:hAnsi="Arial" w:cs="Arial"/>
        </w:rPr>
        <w:t xml:space="preserve">(3) Prijedlozi i primjedbe iz stavka 2. ovoga članka koji nisu podneseni u roku, nisu razumljivi i ne sadrže sve što je potrebno da bi se po njima moglo postupiti, neće se uzeti u obzir u pripremi izvješća o javnoj raspravi.</w:t>
      </w:r>
    </w:p>
    <w:p>
      <w:pPr>
        <w:pBdr/>
        <w:pStyle w:val="Normal"/>
        <w:spacing/>
        <w:ind/>
        <w:rPr>
          <w:rFonts w:ascii="Arial" w:eastAsia="Arial" w:hAnsi="Arial" w:cs="Arial"/>
        </w:rPr>
      </w:pPr>
    </w:p>
    <w:p>
      <w:pPr>
        <w:pBdr/>
        <w:pStyle w:val="Heading 2"/>
        <w:spacing/>
        <w:ind/>
        <w:rPr/>
      </w:pPr>
      <w:r>
        <w:rPr/>
        <w:t xml:space="preserve">Izvješće o provedbi i rezultatima javne rasprave</w:t>
      </w:r>
    </w:p>
    <w:p>
      <w:pPr>
        <w:pBdr/>
        <w:pStyle w:val="Heading 2"/>
        <w:spacing/>
        <w:ind/>
        <w:rPr/>
      </w:pPr>
      <w:r>
        <w:rPr/>
        <w:t xml:space="preserve">Članak 244.</w:t>
      </w:r>
    </w:p>
    <w:p>
      <w:pPr>
        <w:pBdr/>
        <w:pStyle w:val="Normal"/>
        <w:spacing/>
        <w:ind/>
        <w:rPr>
          <w:rFonts w:ascii="Arial" w:eastAsia="Arial" w:hAnsi="Arial" w:cs="Arial"/>
        </w:rPr>
      </w:pPr>
      <w:r>
        <w:rPr>
          <w:rFonts w:ascii="Arial" w:eastAsia="Arial" w:hAnsi="Arial" w:cs="Arial"/>
        </w:rPr>
        <w:t xml:space="preserve">(1) Tijelo koje je provelo javnu raspravu izrađuje izvješće o provedenoj javnoj raspravi koje sadrži:</w:t>
      </w:r>
    </w:p>
    <w:p>
      <w:pPr>
        <w:pBdr/>
        <w:pStyle w:val="Normal"/>
        <w:spacing/>
        <w:ind/>
        <w:rPr>
          <w:rFonts w:ascii="Arial" w:eastAsia="Arial" w:hAnsi="Arial" w:cs="Arial"/>
        </w:rPr>
      </w:pPr>
      <w:r>
        <w:rPr>
          <w:rFonts w:ascii="Arial" w:eastAsia="Arial" w:hAnsi="Arial" w:cs="Arial"/>
        </w:rPr>
        <w:t xml:space="preserve">– podatke o predmetu javne rasprave</w:t>
      </w:r>
    </w:p>
    <w:p>
      <w:pPr>
        <w:pBdr/>
        <w:pStyle w:val="Normal"/>
        <w:spacing/>
        <w:ind/>
        <w:rPr>
          <w:rFonts w:ascii="Arial" w:eastAsia="Arial" w:hAnsi="Arial" w:cs="Arial"/>
        </w:rPr>
      </w:pPr>
      <w:r>
        <w:rPr>
          <w:rFonts w:ascii="Arial" w:eastAsia="Arial" w:hAnsi="Arial" w:cs="Arial"/>
        </w:rPr>
        <w:t xml:space="preserve">– popis sudionika javne rasprave</w:t>
      </w:r>
    </w:p>
    <w:p>
      <w:pPr>
        <w:pBdr/>
        <w:pStyle w:val="Normal"/>
        <w:spacing/>
        <w:ind/>
        <w:rPr>
          <w:rFonts w:ascii="Arial" w:eastAsia="Arial" w:hAnsi="Arial" w:cs="Arial"/>
        </w:rPr>
      </w:pPr>
      <w:r>
        <w:rPr>
          <w:rFonts w:ascii="Arial" w:eastAsia="Arial" w:hAnsi="Arial" w:cs="Arial"/>
        </w:rPr>
        <w:t xml:space="preserve">– prikaz zaprimljenih mišljenja, primjedbi i prijedloga</w:t>
      </w:r>
    </w:p>
    <w:p>
      <w:pPr>
        <w:pBdr/>
        <w:pStyle w:val="Normal"/>
        <w:spacing/>
        <w:ind/>
        <w:rPr>
          <w:rFonts w:ascii="Arial" w:eastAsia="Arial" w:hAnsi="Arial" w:cs="Arial"/>
        </w:rPr>
      </w:pPr>
      <w:r>
        <w:rPr>
          <w:rFonts w:ascii="Arial" w:eastAsia="Arial" w:hAnsi="Arial" w:cs="Arial"/>
        </w:rPr>
        <w:t xml:space="preserve">– popis sudionika čija su mišljenja, primjedbe i prijedlozi dostavljeni nakon isteka propisanog roka.</w:t>
      </w:r>
    </w:p>
    <w:p>
      <w:pPr>
        <w:pBdr/>
        <w:pStyle w:val="Normal"/>
        <w:spacing/>
        <w:ind/>
        <w:rPr>
          <w:rFonts w:ascii="Arial" w:eastAsia="Arial" w:hAnsi="Arial" w:cs="Arial"/>
        </w:rPr>
      </w:pPr>
      <w:r>
        <w:rPr>
          <w:rFonts w:ascii="Arial" w:eastAsia="Arial" w:hAnsi="Arial" w:cs="Arial"/>
        </w:rPr>
        <w:t xml:space="preserve">(2) Sastavni dio izvješća iz stavka 1. ovoga članka su akti, preslike obavijesti i drugi dokazi on objavi javne rasprave, pozivi i druge posebne obavijesti, zapisnici s javnih izlaganja, dokazi o sudjelovanju sudionika na javnim izlaganjima te knjiga primjedbi.</w:t>
      </w:r>
    </w:p>
    <w:p>
      <w:pPr>
        <w:pBdr/>
        <w:pStyle w:val="Normal"/>
        <w:spacing/>
        <w:ind/>
        <w:rPr>
          <w:rFonts w:ascii="Arial" w:eastAsia="Arial" w:hAnsi="Arial" w:cs="Arial"/>
        </w:rPr>
      </w:pPr>
      <w:r>
        <w:rPr>
          <w:rFonts w:ascii="Arial" w:eastAsia="Arial" w:hAnsi="Arial" w:cs="Arial"/>
        </w:rPr>
        <w:t xml:space="preserve">(3) U postupcima strateške procjene i procjene utjecaja zahvata na okoliš nadležno tijelo izrađuje izvješće o rezultatima javne rasprave koje sadrži prikaz zaprimljenih mišljenja, primjedbi i prijedloga te obrazložene razloge njihova prihvaćanja, djelomičnog prihvaćanja ili neprihvaćanja i objavljuje ga na svojim mrežnim stranicama najkasnije istodobno s objavom odluke donesene u postupku.</w:t>
      </w:r>
    </w:p>
    <w:p>
      <w:pPr>
        <w:pBdr/>
        <w:pStyle w:val="Normal"/>
        <w:spacing/>
        <w:ind/>
        <w:rPr>
          <w:rFonts w:ascii="Arial" w:eastAsia="Arial" w:hAnsi="Arial" w:cs="Arial"/>
        </w:rPr>
      </w:pPr>
      <w:r>
        <w:rPr>
          <w:rFonts w:ascii="Arial" w:eastAsia="Arial" w:hAnsi="Arial" w:cs="Arial"/>
        </w:rPr>
        <w:t xml:space="preserve">(4) U postupku izdavanja okolišne dozvole izvješće iz stavka 1. ovoga članka ne objavljuje se na mrežnim stranicama, a Ministarstvo obrazložene razloge prihvaćanja, djelomičnog prihvaćanja ili neprihvaćanja zaprimljenih mišljenja, primjedbi i prijedloga navodi u obrazloženju odluke kojim se odlučuje o zahtjevu za izdavanje okolišne dozvole. </w:t>
      </w:r>
    </w:p>
    <w:p>
      <w:pPr>
        <w:pBdr/>
        <w:pStyle w:val="Normal"/>
        <w:spacing/>
        <w:ind/>
        <w:rPr>
          <w:rFonts w:ascii="Arial" w:eastAsia="Arial" w:hAnsi="Arial" w:cs="Arial"/>
        </w:rPr>
      </w:pPr>
    </w:p>
    <w:p>
      <w:pPr>
        <w:pBdr/>
        <w:pStyle w:val="Heading 2"/>
        <w:spacing/>
        <w:ind/>
        <w:rPr/>
      </w:pPr>
      <w:r>
        <w:rPr/>
        <w:t xml:space="preserve">Ponovna javna rasprava</w:t>
      </w:r>
    </w:p>
    <w:p>
      <w:pPr>
        <w:pBdr/>
        <w:pStyle w:val="Heading 2"/>
        <w:spacing/>
        <w:ind/>
        <w:rPr/>
      </w:pPr>
      <w:r>
        <w:rPr/>
        <w:t xml:space="preserve">Članak 245.</w:t>
      </w:r>
    </w:p>
    <w:p>
      <w:pPr>
        <w:pBdr/>
        <w:pStyle w:val="Normal"/>
        <w:spacing/>
        <w:ind/>
        <w:rPr>
          <w:rFonts w:ascii="Arial" w:eastAsia="Arial" w:hAnsi="Arial" w:cs="Arial"/>
        </w:rPr>
      </w:pPr>
      <w:r>
        <w:rPr>
          <w:rFonts w:ascii="Arial" w:eastAsia="Arial" w:hAnsi="Arial" w:cs="Arial"/>
        </w:rPr>
        <w:t xml:space="preserve">(1) Ako se predmet javne rasprave na temelju prihvaćenih mišljenja, prijedloga i primjedbi u javnoj raspravi bitno izmijeni u odnosu na predmet javne rasprave, ponovit će se javna rasprava.</w:t>
      </w:r>
    </w:p>
    <w:p>
      <w:pPr>
        <w:pBdr/>
        <w:pStyle w:val="Normal"/>
        <w:spacing/>
        <w:ind/>
        <w:rPr>
          <w:rFonts w:ascii="Arial" w:eastAsia="Arial" w:hAnsi="Arial" w:cs="Arial"/>
        </w:rPr>
      </w:pPr>
      <w:r>
        <w:rPr>
          <w:rFonts w:ascii="Arial" w:eastAsia="Arial" w:hAnsi="Arial" w:cs="Arial"/>
        </w:rPr>
        <w:t xml:space="preserve">(2) Ponovna javna rasprava iz stavka 1. ovoga članka može trajati kraće od roka propisanog člankom 236. stavkom 3. ovoga Zakona, ali ne kraće od osam dana, a obavijest o ponovnoj javnoj raspravi iz stavka 1. ovoga članka objavljuje se na način propisan člankom 240. ovoga Zakona.</w:t>
      </w:r>
    </w:p>
    <w:p>
      <w:pPr>
        <w:pBdr/>
        <w:pStyle w:val="Normal"/>
        <w:spacing/>
        <w:ind/>
        <w:rPr>
          <w:rFonts w:ascii="Arial" w:eastAsia="Arial" w:hAnsi="Arial" w:cs="Arial"/>
        </w:rPr>
      </w:pPr>
      <w:r>
        <w:rPr>
          <w:rFonts w:ascii="Arial" w:eastAsia="Arial" w:hAnsi="Arial" w:cs="Arial"/>
        </w:rPr>
        <w:t xml:space="preserve">(3) U ponovnoj javnoj raspravi iz stavka 1. ovoga članka mogu se podnositi mišljenja, primjedbe i prijedlozi samo u odnosu na izmijenjeni dio predmeta rasprave.</w:t>
      </w:r>
    </w:p>
    <w:p>
      <w:pPr>
        <w:pBdr/>
        <w:pStyle w:val="Normal"/>
        <w:spacing/>
        <w:ind/>
        <w:rPr>
          <w:rFonts w:ascii="Arial" w:eastAsia="Arial" w:hAnsi="Arial" w:cs="Arial"/>
        </w:rPr>
      </w:pPr>
      <w:r>
        <w:rPr>
          <w:rFonts w:ascii="Arial" w:eastAsia="Arial" w:hAnsi="Arial" w:cs="Arial"/>
        </w:rPr>
        <w:t xml:space="preserve">(4) Ponovna javna rasprava iz stavka 1. ovoga članka može se provesti najviše dva puta, nakon čega se donosi odluka o izradi novog predmeta javne rasprave, osim u postupku izdavanja okolišne dozvole sukladno članku 88. stavku 3. ovoga Zakona.</w:t>
      </w:r>
    </w:p>
    <w:p>
      <w:pPr>
        <w:pBdr/>
        <w:pStyle w:val="Normal"/>
        <w:spacing/>
        <w:ind/>
        <w:rPr>
          <w:rFonts w:ascii="Arial" w:eastAsia="Arial" w:hAnsi="Arial" w:cs="Arial"/>
          <w:i/>
          <w:iCs/>
        </w:rPr>
      </w:pPr>
    </w:p>
    <w:p>
      <w:pPr>
        <w:pBdr/>
        <w:pStyle w:val="Heading 2"/>
        <w:spacing/>
        <w:ind/>
        <w:rPr/>
      </w:pPr>
      <w:r>
        <w:rPr/>
        <w:t xml:space="preserve">Sustavna objava informacija na mrežnim stranicama</w:t>
      </w:r>
    </w:p>
    <w:p>
      <w:pPr>
        <w:pBdr/>
        <w:pStyle w:val="Heading 2"/>
        <w:spacing/>
        <w:ind/>
        <w:rPr/>
      </w:pPr>
      <w:r>
        <w:rPr/>
        <w:t xml:space="preserve">Članak 246.</w:t>
      </w:r>
    </w:p>
    <w:p>
      <w:pPr>
        <w:pBdr/>
        <w:pStyle w:val="Normal"/>
        <w:spacing/>
        <w:ind/>
        <w:rPr>
          <w:rFonts w:ascii="Arial" w:eastAsia="Arial" w:hAnsi="Arial" w:cs="Arial"/>
        </w:rPr>
      </w:pPr>
      <w:r>
        <w:rPr>
          <w:rFonts w:ascii="Arial" w:eastAsia="Arial" w:hAnsi="Arial" w:cs="Arial"/>
        </w:rPr>
        <w:t xml:space="preserve">(1) Ministarstvo odnosno Zavod putem ISZOP-</w:t>
      </w:r>
      <w:r>
        <w:rPr>
          <w:rFonts w:ascii="Arial" w:eastAsia="Arial" w:hAnsi="Arial" w:cs="Arial"/>
        </w:rPr>
        <w:t xml:space="preserve">a objavljuje sljedeće podatke:</w:t>
      </w:r>
    </w:p>
    <w:p>
      <w:pPr>
        <w:pBdr/>
        <w:pStyle w:val="Normal"/>
        <w:spacing/>
        <w:ind/>
        <w:rPr>
          <w:rFonts w:ascii="Arial" w:eastAsia="Arial" w:hAnsi="Arial" w:cs="Arial"/>
        </w:rPr>
      </w:pPr>
      <w:r>
        <w:rPr>
          <w:rFonts w:ascii="Arial" w:eastAsia="Arial" w:hAnsi="Arial" w:cs="Arial"/>
        </w:rPr>
        <w:t xml:space="preserve">1. podatke o poduzetim mjerama koje je operater poduzeo nakon konačnog prestanka djelatnosti iz poglavlja VIII. ovoga Zakona</w:t>
      </w:r>
    </w:p>
    <w:p>
      <w:pPr>
        <w:pBdr/>
        <w:pStyle w:val="Normal"/>
        <w:spacing/>
        <w:ind/>
        <w:rPr>
          <w:rFonts w:ascii="Arial" w:eastAsia="Arial" w:hAnsi="Arial" w:cs="Arial"/>
        </w:rPr>
      </w:pPr>
      <w:r>
        <w:rPr>
          <w:rFonts w:ascii="Arial" w:eastAsia="Arial" w:hAnsi="Arial" w:cs="Arial"/>
        </w:rPr>
        <w:t xml:space="preserve">2. rezultate praćenja emisija iz postrojenja utvrđene okolišnom dozvolom</w:t>
      </w:r>
    </w:p>
    <w:p>
      <w:pPr>
        <w:pBdr/>
        <w:pStyle w:val="Normal"/>
        <w:spacing/>
        <w:ind/>
        <w:rPr>
          <w:rFonts w:ascii="Arial" w:eastAsia="Arial" w:hAnsi="Arial" w:cs="Arial"/>
        </w:rPr>
      </w:pPr>
      <w:r>
        <w:rPr>
          <w:rFonts w:ascii="Arial" w:eastAsia="Arial" w:hAnsi="Arial" w:cs="Arial"/>
        </w:rPr>
        <w:t xml:space="preserve">3. rezultate praćenja stanja okoliša propisane okolišnom dozvolom te rezultate praćenja koncentracija onečišćujućih tvari u okolišu iz članka 106. stavka 2. i članka 108. stavka 1. ovoga Zakona.</w:t>
      </w:r>
    </w:p>
    <w:p>
      <w:pPr>
        <w:pBdr/>
        <w:pStyle w:val="Normal"/>
        <w:spacing/>
        <w:ind/>
        <w:rPr>
          <w:rFonts w:ascii="Arial" w:eastAsia="Arial" w:hAnsi="Arial" w:cs="Arial"/>
        </w:rPr>
      </w:pPr>
      <w:r>
        <w:rPr>
          <w:rFonts w:ascii="Arial" w:eastAsia="Arial" w:hAnsi="Arial" w:cs="Arial"/>
        </w:rPr>
        <w:t xml:space="preserve">(2) Tijela državne uprave i javnopravna tijela nadležna za vođenje informacijskih sustava pojedinih sastavnica okoliša te tijelo nadležno za vođenje ISZOP-</w:t>
      </w:r>
      <w:r>
        <w:rPr>
          <w:rFonts w:ascii="Arial" w:eastAsia="Arial" w:hAnsi="Arial" w:cs="Arial"/>
        </w:rPr>
        <w:t xml:space="preserve">a dužni su, svatko u okviru svoje nadležnosti, osigurati automatsku elektroničku razmjenu podataka između ISZOP-</w:t>
      </w:r>
      <w:r>
        <w:rPr>
          <w:rFonts w:ascii="Arial" w:eastAsia="Arial" w:hAnsi="Arial" w:cs="Arial"/>
        </w:rPr>
        <w:t xml:space="preserve">a i drugih informacijskih sustava.</w:t>
      </w:r>
    </w:p>
    <w:p>
      <w:pPr>
        <w:pBdr/>
        <w:pStyle w:val="Normal"/>
        <w:spacing/>
        <w:ind/>
        <w:rPr>
          <w:rFonts w:ascii="Arial" w:eastAsia="Arial" w:hAnsi="Arial" w:cs="Arial"/>
        </w:rPr>
      </w:pPr>
      <w:r>
        <w:rPr>
          <w:rFonts w:ascii="Arial" w:eastAsia="Arial" w:hAnsi="Arial" w:cs="Arial"/>
        </w:rPr>
        <w:t xml:space="preserve">(3) Na objavu podataka iz stavka 1. ovoga članka primjenjuju se ograničenja propisana posebnim zakonom kojim se uređuje pravo na pristup informacijama.</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397071800" w:id="17"/>
      <w:bookmarkStart w:name="_Toc425679437" w:id="18"/>
      <w:bookmarkStart w:name="_Toc237275922" w:id="19"/>
      <w:r>
        <w:rPr>
          <w:rFonts w:ascii="Arial" w:eastAsia="Arial" w:hAnsi="Arial" w:cs="Arial"/>
          <w:szCs w:val="24"/>
        </w:rPr>
        <w:t xml:space="preserve">DIO DESETI PRISTUP PRAVOSUĐU</w:t>
      </w:r>
      <w:bookmarkEnd w:id="17"/>
      <w:bookmarkEnd w:id="18"/>
      <w:r>
        <w:rPr>
          <w:rFonts w:ascii="Arial" w:eastAsia="Arial" w:hAnsi="Arial" w:cs="Arial"/>
          <w:szCs w:val="24"/>
        </w:rPr>
        <w:t xml:space="preserve"> U PITANJIMA OKOLIŠA</w:t>
      </w:r>
      <w:bookmarkEnd w:id="19"/>
    </w:p>
    <w:p>
      <w:pPr>
        <w:pBdr/>
        <w:pStyle w:val="Heading 2"/>
        <w:spacing/>
        <w:ind/>
        <w:rPr/>
      </w:pPr>
      <w:r>
        <w:rPr/>
        <w:t xml:space="preserve">Članak 247.</w:t>
      </w:r>
    </w:p>
    <w:p>
      <w:pPr>
        <w:pBdr/>
        <w:pStyle w:val="Normal"/>
        <w:spacing/>
        <w:ind/>
        <w:rPr>
          <w:rFonts w:ascii="Arial" w:eastAsia="Arial" w:hAnsi="Arial" w:cs="Arial"/>
          <w:iCs/>
          <w:color w:val="000000"/>
        </w:rPr>
      </w:pPr>
      <w:r>
        <w:rPr>
          <w:rFonts w:ascii="Arial" w:eastAsia="Arial" w:hAnsi="Arial" w:cs="Arial"/>
        </w:rPr>
        <w:t xml:space="preserve">(1) Zainteresiranom javnošću smatra se:</w:t>
      </w:r>
    </w:p>
    <w:p>
      <w:pPr>
        <w:pBdr/>
        <w:pStyle w:val="Normal"/>
        <w:spacing/>
        <w:ind/>
        <w:rPr>
          <w:rFonts w:ascii="Arial" w:eastAsia="Arial" w:hAnsi="Arial" w:cs="Arial"/>
          <w:iCs/>
          <w:color w:val="000000"/>
        </w:rPr>
      </w:pPr>
      <w:r>
        <w:rPr>
          <w:rFonts w:ascii="Arial" w:eastAsia="Arial" w:hAnsi="Arial" w:cs="Arial"/>
        </w:rPr>
        <w:t xml:space="preserve">- fizička i pravna osoba koja je zbog lokacije zahvata i/ili zbog prirode i utjecaja zahvata pogođena ili će vjerojatno biti pogođena štetom u okolišu </w:t>
      </w:r>
    </w:p>
    <w:p>
      <w:pPr>
        <w:pBdr/>
        <w:pStyle w:val="Normal"/>
        <w:spacing/>
        <w:ind/>
        <w:rPr>
          <w:rFonts w:ascii="Arial" w:eastAsia="Arial" w:hAnsi="Arial" w:cs="Arial"/>
          <w:iCs/>
          <w:color w:val="000000"/>
        </w:rPr>
      </w:pPr>
      <w:r>
        <w:rPr>
          <w:rFonts w:ascii="Arial" w:eastAsia="Arial" w:hAnsi="Arial" w:cs="Arial"/>
        </w:rPr>
        <w:t xml:space="preserve">- fizička ili pravna osoba koja je dokazala da joj je zbog lokacije zahvata i/ili zbog prirode i utjecaja zahvata narušeno pravo</w:t>
      </w:r>
    </w:p>
    <w:p>
      <w:pPr>
        <w:pBdr/>
        <w:pStyle w:val="Normal"/>
        <w:spacing/>
        <w:ind/>
        <w:rPr>
          <w:rFonts w:ascii="Arial" w:eastAsia="Arial" w:hAnsi="Arial" w:cs="Arial"/>
          <w:iCs/>
          <w:color w:val="000000"/>
        </w:rPr>
      </w:pPr>
      <w:r>
        <w:rPr>
          <w:rFonts w:ascii="Arial" w:eastAsia="Arial" w:hAnsi="Arial" w:cs="Arial"/>
        </w:rPr>
        <w:t xml:space="preserve">- udruga koja djeluje na području zaštite okoliša i koja ispunjava uvjete iz stavka 2. ovoga članka. </w:t>
      </w:r>
    </w:p>
    <w:p>
      <w:pPr>
        <w:pBdr/>
        <w:pStyle w:val="Normal"/>
        <w:spacing/>
        <w:ind/>
        <w:rPr>
          <w:rFonts w:ascii="Arial" w:eastAsia="Arial" w:hAnsi="Arial" w:cs="Arial"/>
          <w:iCs/>
          <w:color w:val="000000"/>
        </w:rPr>
      </w:pPr>
      <w:r>
        <w:rPr>
          <w:rFonts w:ascii="Arial" w:eastAsia="Arial" w:hAnsi="Arial" w:cs="Arial"/>
        </w:rPr>
        <w:t xml:space="preserve">(2) Smatra se da udruga iz stavka 1. podstavka 3. ovoga članka ima pravni interes za sudjelovanje u postupcima koji su propisani ovim Zakonom ako:</w:t>
      </w:r>
    </w:p>
    <w:p>
      <w:pPr>
        <w:pBdr/>
        <w:pStyle w:val="Normal"/>
        <w:spacing/>
        <w:ind/>
        <w:rPr>
          <w:rFonts w:ascii="Arial" w:eastAsia="Arial" w:hAnsi="Arial" w:cs="Arial"/>
          <w:iCs/>
          <w:color w:val="000000"/>
        </w:rPr>
      </w:pPr>
      <w:r>
        <w:rPr>
          <w:rFonts w:ascii="Arial" w:eastAsia="Arial" w:hAnsi="Arial" w:cs="Arial"/>
        </w:rPr>
        <w:t xml:space="preserve">- je upisana u Registar udruga Republike Hrvatske </w:t>
      </w:r>
    </w:p>
    <w:p>
      <w:pPr>
        <w:pBdr/>
        <w:pStyle w:val="Normal"/>
        <w:spacing/>
        <w:ind/>
        <w:rPr>
          <w:rFonts w:ascii="Arial" w:eastAsia="Arial" w:hAnsi="Arial" w:cs="Arial"/>
        </w:rPr>
      </w:pPr>
      <w:r>
        <w:rPr>
          <w:rFonts w:ascii="Arial" w:eastAsia="Arial" w:hAnsi="Arial" w:cs="Arial"/>
        </w:rPr>
        <w:t xml:space="preserve">- su statutom udruge kao ciljevi i djelatnosti kojima se ostvaruju ciljevi utvrđeni zaštita i unaprjeđenje okoliša, uključujući i zaštitu ljudskog zdravlja i zaštitu ili racionalno korištenje prirodnih dobara</w:t>
      </w:r>
    </w:p>
    <w:p>
      <w:pPr>
        <w:pBdr/>
        <w:pStyle w:val="Normal"/>
        <w:spacing/>
        <w:ind/>
        <w:rPr>
          <w:rFonts w:ascii="Arial" w:eastAsia="Arial" w:hAnsi="Arial" w:cs="Arial"/>
          <w:iCs/>
          <w:color w:val="000000"/>
        </w:rPr>
      </w:pPr>
      <w:r>
        <w:rPr>
          <w:rFonts w:ascii="Arial" w:eastAsia="Arial" w:hAnsi="Arial" w:cs="Arial"/>
        </w:rPr>
        <w:t xml:space="preserve"> - je upisana u Registar udruga Republike Hrvatske najmanje dvije godine prije nego je započeo postupak javne vlasti o zahtjevu povodom kojega udruga iskazuje svoj pravni interes</w:t>
      </w:r>
    </w:p>
    <w:p>
      <w:pPr>
        <w:pBdr/>
        <w:pStyle w:val="Normal"/>
        <w:spacing/>
        <w:ind/>
        <w:rPr>
          <w:rFonts w:ascii="Arial" w:eastAsia="Arial" w:hAnsi="Arial" w:cs="Arial"/>
          <w:iCs/>
          <w:color w:val="000000"/>
        </w:rPr>
      </w:pPr>
      <w:r>
        <w:rPr>
          <w:rFonts w:ascii="Arial" w:eastAsia="Arial" w:hAnsi="Arial" w:cs="Arial"/>
        </w:rPr>
        <w:t xml:space="preserve">- udruga dokaže da je na području grada ili općine u kojoj ima registrirano sjedište, aktivno sudjelovala u aktivnostima vezanim za zaštitu okoliša.</w:t>
      </w:r>
    </w:p>
    <w:p>
      <w:pPr>
        <w:pBdr/>
        <w:pStyle w:val="Normal"/>
        <w:spacing/>
        <w:ind/>
        <w:rPr>
          <w:rFonts w:ascii="Arial" w:eastAsia="Arial" w:hAnsi="Arial" w:cs="Arial"/>
          <w:b/>
          <w:bCs/>
        </w:rPr>
      </w:pPr>
    </w:p>
    <w:p>
      <w:pPr>
        <w:pBdr/>
        <w:pStyle w:val="Heading 2"/>
        <w:spacing/>
        <w:ind/>
        <w:rPr/>
      </w:pPr>
      <w:r>
        <w:rPr/>
        <w:t xml:space="preserve">Članak 248.</w:t>
      </w:r>
    </w:p>
    <w:p>
      <w:pPr>
        <w:pBdr/>
        <w:pStyle w:val="Normal"/>
        <w:spacing/>
        <w:ind/>
        <w:rPr>
          <w:rFonts w:ascii="Arial" w:eastAsia="Arial" w:hAnsi="Arial" w:cs="Arial"/>
          <w:iCs/>
          <w:color w:val="000000"/>
        </w:rPr>
      </w:pPr>
      <w:r>
        <w:rPr>
          <w:rFonts w:ascii="Arial" w:eastAsia="Arial" w:hAnsi="Arial" w:cs="Arial"/>
        </w:rPr>
        <w:t xml:space="preserve">(1) Zainteresirana javnost iz članka 247. stavka 1. ovoga Zakona ima pravo pred nadležnim upravnim sudom osporavati zakonitost upravnog akta javnopravnog tijela u vezi sa zaštitom okoliša.</w:t>
      </w:r>
    </w:p>
    <w:p>
      <w:pPr>
        <w:pBdr/>
        <w:pStyle w:val="Normal"/>
        <w:spacing/>
        <w:ind/>
        <w:rPr>
          <w:rFonts w:ascii="Arial" w:eastAsia="Arial" w:hAnsi="Arial" w:cs="Arial"/>
          <w:iCs/>
          <w:color w:val="000000"/>
        </w:rPr>
      </w:pPr>
      <w:r>
        <w:rPr>
          <w:rFonts w:ascii="Arial" w:eastAsia="Arial" w:hAnsi="Arial" w:cs="Arial"/>
        </w:rPr>
        <w:t xml:space="preserve">(2) Zainteresirana javnost iz članka 247. stavka 1. ovoga Zakona ima pravo pred nadležnim upravnim sudom osporavati zakonitost odluke u vezi sa zaštitom okoliša ako </w:t>
      </w:r>
      <w:r>
        <w:rPr>
          <w:rFonts w:ascii="Arial" w:eastAsia="Arial" w:hAnsi="Arial" w:cs="Arial"/>
        </w:rPr>
        <w:t xml:space="preserve">smatra da je odlukom, radnjom ili propustom fizičke ili pravne osobe, primjerice: operatera, onečišćivača, u pitanjima zaštite okoliša povrijeđen ovaj Zakon odnosno posebni propisi kojima je uređena zaštita pojedine sastavnice okoliša ili zaštita od utjecaja opterećenja. </w:t>
      </w:r>
    </w:p>
    <w:p>
      <w:pPr>
        <w:pBdr/>
        <w:pStyle w:val="Normal"/>
        <w:spacing/>
        <w:ind/>
        <w:rPr>
          <w:rFonts w:ascii="Arial" w:eastAsia="Arial" w:hAnsi="Arial" w:cs="Arial"/>
        </w:rPr>
      </w:pPr>
      <w:r>
        <w:rPr>
          <w:rFonts w:ascii="Arial" w:eastAsia="Arial" w:hAnsi="Arial" w:cs="Arial"/>
        </w:rPr>
        <w:t xml:space="preserve">(3) Postupak pred sudom iz stavaka 1. i 2. ovoga članka pokreće se sukladno posebnom propisu kojim se uređuje upravni spor.</w:t>
      </w:r>
    </w:p>
    <w:p>
      <w:pPr>
        <w:pBdr/>
        <w:pStyle w:val="Normal"/>
        <w:spacing/>
        <w:ind/>
        <w:rPr>
          <w:rFonts w:ascii="Arial" w:eastAsia="Arial" w:hAnsi="Arial" w:cs="Arial"/>
          <w:iCs/>
          <w:color w:val="000000"/>
        </w:rPr>
      </w:pPr>
    </w:p>
    <w:p>
      <w:pPr>
        <w:pBdr/>
        <w:pStyle w:val="Heading 2"/>
        <w:spacing/>
        <w:ind/>
        <w:rPr/>
      </w:pPr>
      <w:r>
        <w:rPr/>
        <w:t xml:space="preserve">Članak 249.</w:t>
      </w:r>
    </w:p>
    <w:p>
      <w:pPr>
        <w:pBdr/>
        <w:pStyle w:val="Normal"/>
        <w:spacing/>
        <w:ind/>
        <w:rPr>
          <w:rFonts w:ascii="Arial" w:eastAsia="Arial" w:hAnsi="Arial" w:cs="Arial"/>
        </w:rPr>
      </w:pPr>
      <w:r>
        <w:rPr>
          <w:rFonts w:ascii="Arial" w:eastAsia="Arial" w:hAnsi="Arial" w:cs="Arial"/>
        </w:rPr>
        <w:t xml:space="preserve">Sudski postupak iz područja zaštite okoliša koji se vodi na temelju ovoga Zakona je hitan.</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23" w:id="20"/>
      <w:r>
        <w:rPr>
          <w:rFonts w:ascii="Arial" w:eastAsia="Arial" w:hAnsi="Arial" w:cs="Arial"/>
          <w:szCs w:val="24"/>
        </w:rPr>
        <w:t xml:space="preserve">DIO JEDANAESTI ODGOVORNOST ZA ŠTETU U OKOLIŠU</w:t>
      </w:r>
      <w:bookmarkEnd w:id="20"/>
    </w:p>
    <w:p>
      <w:pPr>
        <w:pBdr/>
        <w:pStyle w:val="Heading 2"/>
        <w:spacing/>
        <w:ind/>
        <w:rPr/>
      </w:pPr>
      <w:r>
        <w:rPr/>
        <w:t xml:space="preserve">Šteta u okolišu</w:t>
      </w:r>
    </w:p>
    <w:p>
      <w:pPr>
        <w:pBdr/>
        <w:pStyle w:val="Heading 2"/>
        <w:spacing/>
        <w:ind/>
        <w:rPr/>
      </w:pPr>
      <w:r>
        <w:rPr/>
        <w:t xml:space="preserve">Članak 250.</w:t>
      </w:r>
    </w:p>
    <w:p>
      <w:pPr>
        <w:pBdr/>
        <w:pStyle w:val="Normal"/>
        <w:spacing/>
        <w:ind/>
        <w:rPr>
          <w:rFonts w:ascii="Arial" w:eastAsia="Arial" w:hAnsi="Arial" w:cs="Arial"/>
          <w:color w:val="000000"/>
        </w:rPr>
      </w:pPr>
      <w:r>
        <w:rPr>
          <w:rFonts w:ascii="Arial" w:eastAsia="Arial" w:hAnsi="Arial" w:cs="Arial"/>
        </w:rPr>
        <w:t xml:space="preserve">(1) U smislu</w:t>
      </w:r>
      <w:r>
        <w:rPr>
          <w:rFonts w:ascii="Arial" w:eastAsia="Arial" w:hAnsi="Arial" w:cs="Arial"/>
          <w:color w:val="FF0000"/>
        </w:rPr>
        <w:t xml:space="preserve"> </w:t>
      </w:r>
      <w:r>
        <w:rPr>
          <w:rFonts w:ascii="Arial" w:eastAsia="Arial" w:hAnsi="Arial" w:cs="Arial"/>
          <w:color w:val="000000"/>
        </w:rPr>
        <w:t xml:space="preserve">ove Glave </w:t>
      </w:r>
      <w:r>
        <w:rPr>
          <w:rFonts w:ascii="Arial" w:eastAsia="Arial" w:hAnsi="Arial" w:cs="Arial"/>
        </w:rPr>
        <w:t xml:space="preserve">operater je svaka fizička ili pravna osoba, privatna ili javna, koja obavlja ili nadzire profesionalnu djelatnost, odnosno djelatnost koja se obavlja u okviru gospodarske djelatnosti ili poduzeća, neovisno o tome je li privatna ili javna, profitna ili neprofitna, kao i osoba na koju je prenesena ovlast donošenja gospodarskih odluka o tehničkom obavljanju te djelatnosti, uključujući nositelja dozvole ili odobrenja za obavljanje te djelatnosti te osobu koja tu djelatnost prijavljuje ili upisuje u registar.</w:t>
      </w:r>
    </w:p>
    <w:p>
      <w:pPr>
        <w:pBdr/>
        <w:pStyle w:val="Normal"/>
        <w:spacing/>
        <w:ind/>
        <w:rPr>
          <w:rFonts w:ascii="Arial" w:eastAsia="Arial" w:hAnsi="Arial" w:cs="Arial"/>
          <w:color w:val="000000"/>
        </w:rPr>
      </w:pPr>
      <w:r>
        <w:rPr>
          <w:rFonts w:ascii="Arial" w:eastAsia="Arial" w:hAnsi="Arial" w:cs="Arial"/>
          <w:color w:val="000000"/>
        </w:rPr>
        <w:t xml:space="preserve">(2</w:t>
      </w:r>
      <w:r>
        <w:rPr>
          <w:rFonts w:ascii="Arial" w:eastAsia="Arial" w:hAnsi="Arial" w:cs="Arial"/>
        </w:rPr>
        <w:t xml:space="preserve">) Odredbe </w:t>
      </w:r>
      <w:r>
        <w:rPr>
          <w:rFonts w:ascii="Arial" w:eastAsia="Arial" w:hAnsi="Arial" w:cs="Arial"/>
          <w:color w:val="000000"/>
        </w:rPr>
        <w:t xml:space="preserve">ove Glave primjenjuju se na štetu u okolišu i prijeteću opasnost od štete prouzročene obavljanjem djelatnosti operatera koje se propisuju uredbom iz stavka 5. ovoga članka. </w:t>
      </w:r>
      <w:r>
        <w:rPr>
          <w:rFonts w:ascii="Arial" w:eastAsia="Arial" w:hAnsi="Arial" w:cs="Arial"/>
        </w:rPr>
        <w:t xml:space="preserve"> </w:t>
      </w:r>
    </w:p>
    <w:p>
      <w:pPr>
        <w:pBdr/>
        <w:pStyle w:val="Normal"/>
        <w:spacing/>
        <w:ind/>
        <w:rPr>
          <w:rFonts w:ascii="Arial" w:eastAsia="Arial" w:hAnsi="Arial" w:cs="Arial"/>
          <w:color w:val="231F20"/>
        </w:rPr>
      </w:pPr>
      <w:r>
        <w:rPr>
          <w:rFonts w:ascii="Arial" w:eastAsia="Arial" w:hAnsi="Arial" w:cs="Arial"/>
          <w:color w:val="231F20"/>
        </w:rPr>
        <w:t xml:space="preserve">(3) Šteta u okolišu je šteta nanesena:</w:t>
      </w:r>
    </w:p>
    <w:p>
      <w:pPr>
        <w:pBdr/>
        <w:pStyle w:val="Normal"/>
        <w:spacing/>
        <w:ind/>
        <w:rPr>
          <w:rFonts w:ascii="Arial" w:eastAsia="Arial" w:hAnsi="Arial" w:cs="Arial"/>
          <w:color w:val="231F20"/>
        </w:rPr>
      </w:pPr>
      <w:r>
        <w:rPr>
          <w:rFonts w:ascii="Arial" w:eastAsia="Arial" w:hAnsi="Arial" w:cs="Arial"/>
          <w:color w:val="231F20"/>
        </w:rPr>
        <w:t xml:space="preserve">a) zaštićenim vrstama i prirodnim staništima prema posebnom propisu iz područja zaštite prirode, koja ima značajan nepovoljan utjecaj na postizanje ili održavanje povoljnog stanja očuvanosti tih staništa i vrsta, osim prethodno utvrđenih nepovoljnih posljedica proizašlih iz radnje operatera koju je nadležno tijelo izričito odobrilo u skladu s posebnim propisima iz područja zaštite prirode</w:t>
      </w:r>
    </w:p>
    <w:p>
      <w:pPr>
        <w:pBdr/>
        <w:pStyle w:val="Normal"/>
        <w:spacing/>
        <w:ind/>
        <w:rPr>
          <w:rFonts w:ascii="Arial" w:eastAsia="Arial" w:hAnsi="Arial" w:cs="Arial"/>
          <w:color w:val="231F20"/>
        </w:rPr>
      </w:pPr>
      <w:r>
        <w:rPr>
          <w:rFonts w:ascii="Arial" w:eastAsia="Arial" w:hAnsi="Arial" w:cs="Arial"/>
          <w:color w:val="231F20"/>
        </w:rPr>
        <w:t xml:space="preserve">b) vodama, koja značajno negativno utječe na ekološko, kemijsko ili količinsko stanje ili ekološki potencijal voda, u skladu s propisima iz područja vodnoga gospodarstva, osim u slučajevima koji se prema tim propisima ne smatraju odstupanjem od postizanja ciljeva zaštite voda</w:t>
      </w:r>
    </w:p>
    <w:p>
      <w:pPr>
        <w:pBdr/>
        <w:pStyle w:val="Normal"/>
        <w:spacing/>
        <w:ind/>
        <w:rPr>
          <w:rFonts w:ascii="Arial" w:eastAsia="Arial" w:hAnsi="Arial" w:cs="Arial"/>
          <w:color w:val="231F20"/>
        </w:rPr>
      </w:pPr>
      <w:r>
        <w:rPr>
          <w:rFonts w:ascii="Arial" w:eastAsia="Arial" w:hAnsi="Arial" w:cs="Arial"/>
          <w:color w:val="231F20"/>
        </w:rPr>
        <w:t xml:space="preserve">c) morskim vodama, koja ima značajan negativan utjecaj na očuvanje ili postizanje dobrog stanja okoliša morskih voda, u skladu s propisima iz područja upravljanja morskim okolišem i obalnim područjem</w:t>
      </w:r>
    </w:p>
    <w:p>
      <w:pPr>
        <w:pBdr/>
        <w:pStyle w:val="Normal"/>
        <w:spacing/>
        <w:ind/>
        <w:rPr>
          <w:rFonts w:ascii="Arial" w:eastAsia="Arial" w:hAnsi="Arial" w:cs="Arial"/>
          <w:color w:val="231F20"/>
        </w:rPr>
      </w:pPr>
      <w:r>
        <w:rPr>
          <w:rFonts w:ascii="Arial" w:eastAsia="Arial" w:hAnsi="Arial" w:cs="Arial"/>
          <w:color w:val="231F20"/>
        </w:rPr>
        <w:t xml:space="preserve">d) zemljištu, čije onečišćenje uzrokuje značajan rizik od štetnog utjecaja na zdravlje ljudi zbog izravnog ili neizravnog unošenja tvari, smjesa, organizama ili mikroorganizama u, na ili pod zemljište.</w:t>
      </w:r>
    </w:p>
    <w:p>
      <w:pPr>
        <w:pBdr/>
        <w:pStyle w:val="Normal"/>
        <w:spacing/>
        <w:ind/>
        <w:rPr>
          <w:rFonts w:ascii="Arial" w:eastAsia="Arial" w:hAnsi="Arial" w:cs="Arial"/>
          <w:color w:val="000000"/>
        </w:rPr>
      </w:pPr>
      <w:r>
        <w:rPr>
          <w:rFonts w:ascii="Arial" w:eastAsia="Arial" w:hAnsi="Arial" w:cs="Arial"/>
        </w:rPr>
        <w:t xml:space="preserve">(4) Odredbe</w:t>
      </w:r>
      <w:r>
        <w:rPr>
          <w:rFonts w:ascii="Arial" w:eastAsia="Arial" w:hAnsi="Arial" w:cs="Arial"/>
          <w:color w:val="FF0000"/>
        </w:rPr>
        <w:t xml:space="preserve"> </w:t>
      </w:r>
      <w:r>
        <w:rPr>
          <w:rFonts w:ascii="Arial" w:eastAsia="Arial" w:hAnsi="Arial" w:cs="Arial"/>
          <w:color w:val="000000"/>
        </w:rPr>
        <w:t xml:space="preserve">ove Glave</w:t>
      </w:r>
      <w:r>
        <w:rPr>
          <w:rFonts w:ascii="Arial" w:eastAsia="Arial" w:hAnsi="Arial" w:cs="Arial"/>
        </w:rPr>
        <w:t xml:space="preserve"> primjenjuju se i na štetu i prijeteću opasnost od štete na zaštićenim vrstama i prirodnim staništima prouzročenu obavljanjem profesionalnih djelatnosti koje nisu obuhvaćene stavkom 2. ovoga članka.</w:t>
      </w:r>
    </w:p>
    <w:p>
      <w:pPr>
        <w:pBdr/>
        <w:pStyle w:val="Normal"/>
        <w:spacing/>
        <w:ind/>
        <w:rPr>
          <w:rFonts w:ascii="Arial" w:eastAsia="Arial" w:hAnsi="Arial" w:cs="Arial"/>
        </w:rPr>
      </w:pPr>
      <w:r>
        <w:rPr>
          <w:rFonts w:ascii="Arial" w:eastAsia="Arial" w:hAnsi="Arial" w:cs="Arial"/>
        </w:rPr>
        <w:t xml:space="preserve">(5) Popis djelatnosti iz stavka 2. ovoga članka, detaljnije kriterije za procjenu značaja štete u okolišu i prijeteće opasnosti od štete te obrazac za provedbu te procjene, vrste, svrhu, </w:t>
      </w:r>
      <w:r>
        <w:rPr>
          <w:rFonts w:ascii="Arial" w:eastAsia="Arial" w:hAnsi="Arial" w:cs="Arial"/>
        </w:rPr>
        <w:t xml:space="preserve">okvirne uvjete i kriterije za određivanje i odabir mjera otklanjanja štete u okolišu, uključujući posebne zahtjeve za pojedine sastavnice okoliša, zaštićene vrste i prirodna staništa, metode određivanja ekonomskih vrijednosti okoliša, popis međunarodnih konvencija i međunarodnih instrumenata iz članka 251. stavaka 2. i 4. ovoga Zakona te vrstu, sadržaj i način prikupljanja i dostave podataka o slučajevima štete u okolišu</w:t>
      </w:r>
      <w:r>
        <w:rPr>
          <w:rFonts w:ascii="Arial" w:eastAsia="Arial" w:hAnsi="Arial" w:cs="Arial"/>
          <w:color w:val="231F20"/>
        </w:rPr>
        <w:t xml:space="preserve"> propisuje Vlada uredbom</w:t>
      </w:r>
      <w:r>
        <w:rPr>
          <w:rFonts w:ascii="Arial" w:eastAsia="Arial" w:hAnsi="Arial" w:cs="Arial"/>
        </w:rPr>
        <w:t xml:space="preserve">.</w:t>
      </w:r>
    </w:p>
    <w:p>
      <w:pPr>
        <w:pBdr/>
        <w:pStyle w:val="Normal"/>
        <w:spacing/>
        <w:ind/>
        <w:rPr>
          <w:rFonts w:ascii="Arial" w:eastAsia="Arial" w:hAnsi="Arial" w:cs="Arial"/>
          <w:color w:val="231F20"/>
        </w:rPr>
      </w:pPr>
    </w:p>
    <w:p>
      <w:pPr>
        <w:pBdr/>
        <w:pStyle w:val="Heading 2"/>
        <w:spacing/>
        <w:ind/>
        <w:rPr/>
      </w:pPr>
      <w:r>
        <w:rPr/>
        <w:t xml:space="preserve">Izuzeća od primjene</w:t>
      </w:r>
    </w:p>
    <w:p>
      <w:pPr>
        <w:pBdr/>
        <w:pStyle w:val="Heading 2"/>
        <w:spacing/>
        <w:ind/>
        <w:rPr/>
      </w:pPr>
      <w:r>
        <w:rPr/>
        <w:t xml:space="preserve">Članak 251.</w:t>
      </w:r>
    </w:p>
    <w:p>
      <w:pPr>
        <w:pBdr/>
        <w:pStyle w:val="Normal"/>
        <w:spacing/>
        <w:ind/>
        <w:rPr>
          <w:rFonts w:ascii="Arial" w:eastAsia="Arial" w:hAnsi="Arial" w:cs="Arial"/>
        </w:rPr>
      </w:pPr>
      <w:r>
        <w:rPr>
          <w:rFonts w:ascii="Arial" w:eastAsia="Arial" w:hAnsi="Arial" w:cs="Arial"/>
        </w:rPr>
        <w:t xml:space="preserve">(1) Odredbe ovoga Zakona o odgovornosti za štetu u okolišu se ne odnose na štetu u okolišu ili prijeteću opasnost od štete:</w:t>
      </w:r>
    </w:p>
    <w:p>
      <w:pPr>
        <w:pBdr/>
        <w:pStyle w:val="Normal"/>
        <w:spacing/>
        <w:ind/>
        <w:rPr>
          <w:rFonts w:ascii="Arial" w:eastAsia="Arial" w:hAnsi="Arial" w:cs="Arial"/>
        </w:rPr>
      </w:pPr>
      <w:r>
        <w:rPr>
          <w:rFonts w:ascii="Arial" w:eastAsia="Arial" w:hAnsi="Arial" w:cs="Arial"/>
        </w:rPr>
        <w:t xml:space="preserve">1. koju uzrokuje oružani sukob, rat, građanski rat ili pobuna</w:t>
      </w:r>
    </w:p>
    <w:p>
      <w:pPr>
        <w:pBdr/>
        <w:pStyle w:val="Normal"/>
        <w:spacing/>
        <w:ind/>
        <w:rPr>
          <w:rFonts w:ascii="Arial" w:eastAsia="Arial" w:hAnsi="Arial" w:cs="Arial"/>
        </w:rPr>
      </w:pPr>
      <w:r>
        <w:rPr>
          <w:rFonts w:ascii="Arial" w:eastAsia="Arial" w:hAnsi="Arial" w:cs="Arial"/>
        </w:rPr>
        <w:t xml:space="preserve">2. koju uzrokuje izvanredna, neizbježna i neotklonjiva prirodna pojava.</w:t>
      </w:r>
    </w:p>
    <w:p>
      <w:pPr>
        <w:pBdr/>
        <w:pStyle w:val="Normal"/>
        <w:spacing/>
        <w:ind/>
        <w:rPr>
          <w:rFonts w:ascii="Arial" w:eastAsia="Arial" w:hAnsi="Arial" w:cs="Arial"/>
        </w:rPr>
      </w:pPr>
      <w:r>
        <w:rPr>
          <w:rFonts w:ascii="Arial" w:eastAsia="Arial" w:hAnsi="Arial" w:cs="Arial"/>
        </w:rPr>
        <w:t xml:space="preserve">(2) Odredbe ovoga Zakona o odgovornosti za štetu u okolišu ne primjenjuju se na štetu u okolišu ili prijeteću opasnost od štete proizašlu iz slučaja za koji odgovornost ili naknada štete pripadaju području primjene međunarodnih konvencija navedenih u uredbi iz članka 250. stavka 5. ovoga Zakona.</w:t>
      </w:r>
    </w:p>
    <w:p>
      <w:pPr>
        <w:pBdr/>
        <w:pStyle w:val="Normal"/>
        <w:spacing/>
        <w:ind/>
        <w:rPr>
          <w:rFonts w:ascii="Arial" w:eastAsia="Arial" w:hAnsi="Arial" w:cs="Arial"/>
        </w:rPr>
      </w:pPr>
      <w:r>
        <w:rPr>
          <w:rFonts w:ascii="Arial" w:eastAsia="Arial" w:hAnsi="Arial" w:cs="Arial"/>
        </w:rPr>
        <w:t xml:space="preserve">(3) Odredbe ovoga Zakona o odgovornosti za štetu u okolišu ne dovode u pitanje pravo operatera da ograniči svoju odgovornost u skladu s Konvencijom o ograničenju odgovornosti za pomorske tražbine iz 1976. godine. </w:t>
      </w:r>
    </w:p>
    <w:p>
      <w:pPr>
        <w:pBdr/>
        <w:pStyle w:val="Normal"/>
        <w:spacing/>
        <w:ind/>
        <w:rPr>
          <w:rFonts w:ascii="Arial" w:eastAsia="Arial" w:hAnsi="Arial" w:cs="Arial"/>
        </w:rPr>
      </w:pPr>
      <w:r>
        <w:rPr>
          <w:rFonts w:ascii="Arial" w:eastAsia="Arial" w:hAnsi="Arial" w:cs="Arial"/>
        </w:rPr>
        <w:t xml:space="preserve">(4) Odredbe ovoga Zakona o odgovornosti za štetu u okolišu se ne primjenjuju na one nuklearne opasnosti ili štetu u okolišu ili prijeteću opasnost od štete prouzročene aktivnostima obuhvaćenima Ugovorom o osnivanju Europske zajednice za atomsku energiju (EURATOM) ili slučajem ili aktivnošću za koje odgovornost ili naknada štete pripadaju području primjene međunarodnih instrumenata navedenih u uredbi iz članka 250. stavka 5. ovoga Zakona. </w:t>
      </w:r>
    </w:p>
    <w:p>
      <w:pPr>
        <w:pBdr/>
        <w:pStyle w:val="Normal"/>
        <w:spacing/>
        <w:ind/>
        <w:rPr>
          <w:rFonts w:ascii="Arial" w:eastAsia="Arial" w:hAnsi="Arial" w:cs="Arial"/>
        </w:rPr>
      </w:pPr>
      <w:r>
        <w:rPr>
          <w:rFonts w:ascii="Arial" w:eastAsia="Arial" w:hAnsi="Arial" w:cs="Arial"/>
        </w:rPr>
        <w:t xml:space="preserve">(5) Odredbe ovoga Zakona o odgovornosti za štetu u okolišu se ne primjenjuju na aktivnosti čija je glavna svrha državna obrana ili međunarodna sigurnost ni na aktivnosti čija je jedina svrha zaštita od prirodnih katastrofa.</w:t>
      </w:r>
    </w:p>
    <w:p>
      <w:pPr>
        <w:pBdr/>
        <w:pStyle w:val="Normal"/>
        <w:spacing/>
        <w:ind/>
        <w:rPr>
          <w:rFonts w:ascii="Arial" w:eastAsia="Arial" w:hAnsi="Arial" w:cs="Arial"/>
        </w:rPr>
      </w:pPr>
      <w:r>
        <w:rPr>
          <w:rFonts w:ascii="Arial" w:eastAsia="Arial" w:hAnsi="Arial" w:cs="Arial"/>
        </w:rPr>
        <w:t xml:space="preserve">(6) Odredbe ovoga Zakona o odgovornosti za štetu u okolišu se ne primjenjuju:</w:t>
      </w:r>
    </w:p>
    <w:p>
      <w:pPr>
        <w:pBdr/>
        <w:pStyle w:val="Normal"/>
        <w:spacing/>
        <w:ind/>
        <w:rPr>
          <w:rFonts w:ascii="Arial" w:eastAsia="Arial" w:hAnsi="Arial" w:cs="Arial"/>
        </w:rPr>
      </w:pPr>
      <w:r>
        <w:rPr>
          <w:rFonts w:ascii="Arial" w:eastAsia="Arial" w:hAnsi="Arial" w:cs="Arial"/>
        </w:rPr>
        <w:t xml:space="preserve">1. na štetu prouzročenu emisijom, događajem ili iznenadnim događajem koji su se dogodili prije 30. travnja 2007. godine</w:t>
      </w:r>
    </w:p>
    <w:p>
      <w:pPr>
        <w:pBdr/>
        <w:pStyle w:val="Normal"/>
        <w:spacing/>
        <w:ind/>
        <w:rPr>
          <w:rFonts w:ascii="Arial" w:eastAsia="Arial" w:hAnsi="Arial" w:cs="Arial"/>
        </w:rPr>
      </w:pPr>
      <w:r>
        <w:rPr>
          <w:rFonts w:ascii="Arial" w:eastAsia="Arial" w:hAnsi="Arial" w:cs="Arial"/>
        </w:rPr>
        <w:t xml:space="preserve">2. na štetu prouzročenu emisijom, događajem ili iznenadnim događajem koji su se dogodili nakon 30. travnja 2007. godine ako proizlaze iz posebne djelatnosti/aktivnosti završene prije navedenog datuma</w:t>
      </w:r>
    </w:p>
    <w:p>
      <w:pPr>
        <w:pBdr/>
        <w:pStyle w:val="Normal"/>
        <w:spacing/>
        <w:ind/>
        <w:rPr>
          <w:rFonts w:ascii="Arial" w:eastAsia="Arial" w:hAnsi="Arial" w:cs="Arial"/>
        </w:rPr>
      </w:pPr>
      <w:r>
        <w:rPr>
          <w:rFonts w:ascii="Arial" w:eastAsia="Arial" w:hAnsi="Arial" w:cs="Arial"/>
        </w:rPr>
        <w:t xml:space="preserve">3. na štetu, ako je od emisije, događaja ili iznenadnog događaja koji je prouzročio štetu prošlo više od 30 godina.</w:t>
      </w:r>
    </w:p>
    <w:p>
      <w:pPr>
        <w:pBdr/>
        <w:pStyle w:val="Normal"/>
        <w:spacing/>
        <w:ind/>
        <w:rPr>
          <w:rFonts w:ascii="Arial" w:eastAsia="Arial" w:hAnsi="Arial" w:cs="Arial"/>
        </w:rPr>
      </w:pPr>
    </w:p>
    <w:p>
      <w:pPr>
        <w:pBdr/>
        <w:pStyle w:val="Heading 2"/>
        <w:spacing/>
        <w:ind/>
        <w:rPr/>
      </w:pPr>
      <w:r>
        <w:rPr/>
        <w:t xml:space="preserve">Odgovornost za štetu u okolišu</w:t>
      </w:r>
    </w:p>
    <w:p>
      <w:pPr>
        <w:pBdr/>
        <w:pStyle w:val="Heading 2"/>
        <w:spacing/>
        <w:ind/>
        <w:rPr/>
      </w:pPr>
      <w:r>
        <w:rPr/>
        <w:t xml:space="preserve">Članak 252.</w:t>
      </w:r>
    </w:p>
    <w:p>
      <w:pPr>
        <w:pBdr/>
        <w:pStyle w:val="Normal"/>
        <w:spacing/>
        <w:ind/>
        <w:rPr>
          <w:rFonts w:ascii="Arial" w:eastAsia="Arial" w:hAnsi="Arial" w:cs="Arial"/>
        </w:rPr>
      </w:pPr>
      <w:r>
        <w:rPr>
          <w:rFonts w:ascii="Arial" w:eastAsia="Arial" w:hAnsi="Arial" w:cs="Arial"/>
        </w:rPr>
        <w:t xml:space="preserve">(1) Operater koji obavlja djelatnost iz članka 250. stavka 2. ovoga Zakona odgovara za štetu u okolišu i prijeteću opasnost od štete po načelu objektivne odgovornosti. </w:t>
      </w:r>
    </w:p>
    <w:p>
      <w:pPr>
        <w:pBdr/>
        <w:pStyle w:val="Normal"/>
        <w:spacing/>
        <w:ind/>
        <w:rPr>
          <w:rFonts w:ascii="Arial" w:eastAsia="Arial" w:hAnsi="Arial" w:cs="Arial"/>
          <w:color w:val="000000"/>
        </w:rPr>
      </w:pPr>
      <w:r>
        <w:rPr>
          <w:rFonts w:ascii="Arial" w:eastAsia="Arial" w:hAnsi="Arial" w:cs="Arial"/>
        </w:rPr>
        <w:t xml:space="preserve">(2) Operater koji obavlja profesionalnu djelatnost koja nije obuhvaćena člankom 250. stavkom 2. ovoga Zakona odgovara za štetu u okolišu i prijeteću opasnost od štete na zaštićenim vrstama i prirodnim staništima ako je postupio namjerno ili iz nepažnje. </w:t>
      </w:r>
    </w:p>
    <w:p>
      <w:pPr>
        <w:pBdr/>
        <w:pStyle w:val="Normal"/>
        <w:spacing/>
        <w:ind/>
        <w:rPr>
          <w:rFonts w:ascii="Arial" w:eastAsia="Arial" w:hAnsi="Arial" w:cs="Arial"/>
          <w:color w:val="000000"/>
        </w:rPr>
      </w:pPr>
      <w:r>
        <w:rPr>
          <w:rFonts w:ascii="Arial" w:eastAsia="Arial" w:hAnsi="Arial" w:cs="Arial"/>
          <w:color w:val="000000"/>
        </w:rPr>
        <w:t xml:space="preserve">(3) Ako više operatera zajedno obavlja djelatnost</w:t>
      </w:r>
      <w:r>
        <w:rPr>
          <w:rFonts w:ascii="Arial" w:eastAsia="Arial" w:hAnsi="Arial" w:cs="Arial"/>
        </w:rPr>
        <w:t xml:space="preserve"> </w:t>
      </w:r>
      <w:r>
        <w:rPr>
          <w:rFonts w:ascii="Arial" w:eastAsia="Arial" w:hAnsi="Arial" w:cs="Arial"/>
          <w:color w:val="000000"/>
        </w:rPr>
        <w:t xml:space="preserve">kojom je prouzročena šteta u okolišu ili prijeteća opasnost od štete, za nastalu štetu odnosno prijeteću opasnost od štete odgovaraju solidarno. </w:t>
      </w:r>
    </w:p>
    <w:p>
      <w:pPr>
        <w:pBdr/>
        <w:pStyle w:val="Normal"/>
        <w:spacing/>
        <w:ind/>
        <w:rPr>
          <w:rFonts w:ascii="Arial" w:eastAsia="Arial" w:hAnsi="Arial" w:cs="Arial"/>
          <w:color w:val="000000"/>
        </w:rPr>
      </w:pPr>
      <w:r>
        <w:rPr>
          <w:rFonts w:ascii="Arial" w:eastAsia="Arial" w:hAnsi="Arial" w:cs="Arial"/>
          <w:color w:val="000000"/>
        </w:rPr>
        <w:t xml:space="preserve">(4) Za štetu u okolišu ili prijeteću opasnost od štete prouzročenu difuznim onečišćenjem operater odgovara samo ako je moguće utvrditi uzročnu vezu između štete odnosno prijeteće opasnosti od štete i njegove djelatnosti.</w:t>
      </w:r>
    </w:p>
    <w:p>
      <w:pPr>
        <w:pBdr/>
        <w:pStyle w:val="Normal"/>
        <w:spacing/>
        <w:ind/>
        <w:rPr>
          <w:rFonts w:ascii="Arial" w:eastAsia="Arial" w:hAnsi="Arial" w:cs="Arial"/>
          <w:i/>
          <w:iCs/>
          <w:color w:val="000000"/>
        </w:rPr>
      </w:pPr>
    </w:p>
    <w:p>
      <w:pPr>
        <w:pBdr/>
        <w:pStyle w:val="Heading 2"/>
        <w:spacing/>
        <w:ind/>
        <w:rPr/>
      </w:pPr>
      <w:r>
        <w:rPr/>
        <w:t xml:space="preserve">Obveze operatera u slučaju prijeteće opasnosti od štete</w:t>
      </w:r>
    </w:p>
    <w:p>
      <w:pPr>
        <w:pBdr/>
        <w:pStyle w:val="Heading 2"/>
        <w:spacing/>
        <w:ind/>
        <w:rPr/>
      </w:pPr>
      <w:r>
        <w:rPr/>
        <w:t xml:space="preserve">Članak 253.</w:t>
      </w:r>
    </w:p>
    <w:p>
      <w:pPr>
        <w:pBdr/>
        <w:pStyle w:val="Normal"/>
        <w:spacing/>
        <w:ind/>
        <w:rPr>
          <w:rFonts w:ascii="Arial" w:eastAsia="Arial" w:hAnsi="Arial" w:cs="Arial"/>
          <w:color w:val="000000"/>
        </w:rPr>
      </w:pPr>
      <w:r>
        <w:rPr>
          <w:rFonts w:ascii="Arial" w:eastAsia="Arial" w:hAnsi="Arial" w:cs="Arial"/>
        </w:rPr>
        <w:t xml:space="preserve">(1) Ako u obavljanju djelatnosti nastane prijeteća opasnost od štete, operater je dužan odmah poduzeti mjere sprječavanja i o tome obavijestiti ministarstvo nadležno za poslove civilne zaštite.</w:t>
      </w:r>
    </w:p>
    <w:p>
      <w:pPr>
        <w:pBdr/>
        <w:pStyle w:val="Normal"/>
        <w:spacing/>
        <w:ind/>
        <w:rPr>
          <w:rFonts w:ascii="Arial" w:eastAsia="Arial" w:hAnsi="Arial" w:cs="Arial"/>
          <w:color w:val="000000"/>
        </w:rPr>
      </w:pPr>
      <w:r>
        <w:rPr>
          <w:rFonts w:ascii="Arial" w:eastAsia="Arial" w:hAnsi="Arial" w:cs="Arial"/>
        </w:rPr>
        <w:t xml:space="preserve">(2) Mjere sprječavanja iz stavka 1. ovoga članka su svako djelovanje i mjera poduzeti kao odgovor na događaj, radnju ili propust koji je prouzročio prijeteću opasnost od štete, radi sprječavanja nastanka štete u okolišu ili svođenja te štete na najmanju moguću mjeru. </w:t>
      </w:r>
    </w:p>
    <w:p>
      <w:pPr>
        <w:pBdr/>
        <w:pStyle w:val="Normal"/>
        <w:spacing/>
        <w:ind/>
        <w:rPr>
          <w:rFonts w:ascii="Arial" w:eastAsia="Arial" w:hAnsi="Arial" w:cs="Arial"/>
          <w:color w:val="000000"/>
        </w:rPr>
      </w:pPr>
      <w:r>
        <w:rPr>
          <w:rFonts w:ascii="Arial" w:eastAsia="Arial" w:hAnsi="Arial" w:cs="Arial"/>
        </w:rPr>
        <w:t xml:space="preserve">(3) Ako  prijeteća opasnost od štete nije otklonjena poduzetim mjerama sprječavanja, operater je dužan odmah o tome obavijestiti ministarstvo nadležno za poslove civilne zaštite. </w:t>
      </w:r>
    </w:p>
    <w:p>
      <w:pPr>
        <w:pBdr/>
        <w:pStyle w:val="Normal"/>
        <w:spacing/>
        <w:ind/>
        <w:rPr>
          <w:rFonts w:ascii="Arial" w:eastAsia="Arial" w:hAnsi="Arial" w:cs="Arial"/>
        </w:rPr>
      </w:pPr>
      <w:r>
        <w:rPr>
          <w:rFonts w:ascii="Arial" w:eastAsia="Arial" w:hAnsi="Arial" w:cs="Arial"/>
        </w:rPr>
        <w:t xml:space="preserve">(4) M</w:t>
      </w:r>
      <w:r>
        <w:rPr>
          <w:rFonts w:ascii="Arial" w:eastAsia="Arial" w:hAnsi="Arial" w:cs="Arial"/>
          <w:color w:val="000000"/>
        </w:rPr>
        <w:t xml:space="preserve">inistarstvo </w:t>
      </w:r>
      <w:r>
        <w:rPr>
          <w:rFonts w:ascii="Arial" w:eastAsia="Arial" w:hAnsi="Arial" w:cs="Arial"/>
        </w:rPr>
        <w:t xml:space="preserve">nadležno za poslove civilne zaštite po zaprimanju obavijesti iz stavka 3. ovoga članka obavještava tijela nadležna za inspekcijske poslove u području zaštite okoliša, zaštite prirode, vodnoga gospodarstva te, prema potrebi, zaštite morskih voda, i po potrebi žurne službe ili operativne snage sustava civilne zaštite, u skladu s propisima iz područja civilne zaštite. </w:t>
      </w:r>
    </w:p>
    <w:p>
      <w:pPr>
        <w:pBdr/>
        <w:pStyle w:val="Normal"/>
        <w:spacing/>
        <w:ind/>
        <w:rPr>
          <w:rFonts w:ascii="Arial" w:eastAsia="Arial" w:hAnsi="Arial" w:cs="Arial"/>
          <w:i/>
          <w:iCs/>
        </w:rPr>
      </w:pPr>
    </w:p>
    <w:p>
      <w:pPr>
        <w:pBdr/>
        <w:pStyle w:val="Heading 2"/>
        <w:spacing/>
        <w:ind/>
        <w:rPr/>
      </w:pPr>
      <w:r>
        <w:rPr/>
        <w:t xml:space="preserve">Postupanje nadležnih tijela u slučaju prijeteće opasnosti od štete</w:t>
      </w:r>
    </w:p>
    <w:p>
      <w:pPr>
        <w:pBdr/>
        <w:pStyle w:val="Heading 2"/>
        <w:spacing/>
        <w:ind/>
        <w:rPr/>
      </w:pPr>
      <w:r>
        <w:rPr/>
        <w:t xml:space="preserve">Članak 254.</w:t>
      </w:r>
    </w:p>
    <w:p>
      <w:pPr>
        <w:pBdr/>
        <w:pStyle w:val="Normal"/>
        <w:spacing/>
        <w:ind/>
        <w:rPr>
          <w:rFonts w:ascii="Arial" w:eastAsia="Arial" w:hAnsi="Arial" w:cs="Arial"/>
        </w:rPr>
      </w:pPr>
      <w:r>
        <w:rPr>
          <w:rFonts w:ascii="Arial" w:eastAsia="Arial" w:hAnsi="Arial" w:cs="Arial"/>
        </w:rPr>
        <w:t xml:space="preserve">(1) U slučaju prijeteće opasnosti od štete nadležna tijela iz članka 253. stavka 4. ovoga Zakona, mogu: </w:t>
      </w:r>
    </w:p>
    <w:p>
      <w:pPr>
        <w:pBdr/>
        <w:pStyle w:val="Normal"/>
        <w:spacing/>
        <w:ind/>
        <w:rPr>
          <w:rFonts w:ascii="Arial" w:eastAsia="Arial" w:hAnsi="Arial" w:cs="Arial"/>
        </w:rPr>
      </w:pPr>
      <w:r>
        <w:rPr>
          <w:rFonts w:ascii="Arial" w:eastAsia="Arial" w:hAnsi="Arial" w:cs="Arial"/>
        </w:rPr>
        <w:t xml:space="preserve">– od operatera zatražiti podatke o prijetećoj opasnosti od štete ili o slučajevima u kojima se sumnja na prijeteću opasnost od štete</w:t>
      </w:r>
    </w:p>
    <w:p>
      <w:pPr>
        <w:pBdr/>
        <w:pStyle w:val="Normal"/>
        <w:spacing/>
        <w:ind/>
        <w:rPr>
          <w:rFonts w:ascii="Arial" w:eastAsia="Arial" w:hAnsi="Arial" w:cs="Arial"/>
        </w:rPr>
      </w:pPr>
      <w:r>
        <w:rPr>
          <w:rFonts w:ascii="Arial" w:eastAsia="Arial" w:hAnsi="Arial" w:cs="Arial"/>
        </w:rPr>
        <w:t xml:space="preserve">– od operatera zatražiti poduzimanje potrebnih mjera sprječavanja</w:t>
      </w:r>
    </w:p>
    <w:p>
      <w:pPr>
        <w:pBdr/>
        <w:pStyle w:val="Normal"/>
        <w:spacing/>
        <w:ind/>
        <w:rPr>
          <w:rFonts w:ascii="Arial" w:eastAsia="Arial" w:hAnsi="Arial" w:cs="Arial"/>
        </w:rPr>
      </w:pPr>
      <w:r>
        <w:rPr>
          <w:rFonts w:ascii="Arial" w:eastAsia="Arial" w:hAnsi="Arial" w:cs="Arial"/>
        </w:rPr>
        <w:t xml:space="preserve">– dati operateru uputu o potrebnim mjerama sprječavanja koje treba poduzeti</w:t>
      </w:r>
    </w:p>
    <w:p>
      <w:pPr>
        <w:pBdr/>
        <w:pStyle w:val="Normal"/>
        <w:spacing/>
        <w:ind/>
        <w:rPr>
          <w:rFonts w:ascii="Arial" w:eastAsia="Arial" w:hAnsi="Arial" w:cs="Arial"/>
        </w:rPr>
      </w:pPr>
      <w:r>
        <w:rPr>
          <w:rFonts w:ascii="Arial" w:eastAsia="Arial" w:hAnsi="Arial" w:cs="Arial"/>
        </w:rPr>
        <w:t xml:space="preserve">– poduzeti potrebne mjere sprječavanja. </w:t>
      </w:r>
    </w:p>
    <w:p>
      <w:pPr>
        <w:pBdr/>
        <w:pStyle w:val="Normal"/>
        <w:spacing/>
        <w:ind/>
        <w:rPr>
          <w:rFonts w:ascii="Arial" w:eastAsia="Arial" w:hAnsi="Arial" w:cs="Arial"/>
        </w:rPr>
      </w:pPr>
      <w:r>
        <w:rPr>
          <w:rFonts w:ascii="Arial" w:eastAsia="Arial" w:hAnsi="Arial" w:cs="Arial"/>
        </w:rPr>
        <w:t xml:space="preserve">(2) Tijelo nadležno za inspekcijske poslove provodi procjenu prijeteće opasnosti od štete sukladno članku 258. stavku 2. ovoga Zakona.</w:t>
      </w:r>
    </w:p>
    <w:p>
      <w:pPr>
        <w:pBdr/>
        <w:pStyle w:val="Normal"/>
        <w:spacing/>
        <w:ind/>
        <w:rPr>
          <w:rFonts w:ascii="Arial" w:eastAsia="Arial" w:hAnsi="Arial" w:cs="Arial"/>
        </w:rPr>
      </w:pPr>
      <w:r>
        <w:rPr>
          <w:rFonts w:ascii="Arial" w:eastAsia="Arial" w:hAnsi="Arial" w:cs="Arial"/>
        </w:rPr>
        <w:t xml:space="preserve">(3) Ako se na temelju procjene iz stavka 2. ovoga članka utvrdi postojanje prijeteće opasnosti od štete, tijelo nadležno za inspekcijske poslove rješenjem naređuje operateru poduzimanje potrebnih mjera sprječavanja. </w:t>
      </w:r>
    </w:p>
    <w:p>
      <w:pPr>
        <w:pBdr/>
        <w:pStyle w:val="Normal"/>
        <w:spacing/>
        <w:ind/>
        <w:rPr>
          <w:rFonts w:ascii="Arial" w:eastAsia="Arial" w:hAnsi="Arial" w:cs="Arial"/>
        </w:rPr>
      </w:pPr>
      <w:r>
        <w:rPr>
          <w:rFonts w:ascii="Arial" w:eastAsia="Arial" w:hAnsi="Arial" w:cs="Arial"/>
        </w:rPr>
        <w:t xml:space="preserve">(4) Iznimno od stavka 2. ovoga članka, ako je zbog prirode i neposrednosti prijeteće opasnosti potrebno žurno postupanje, tijelo nadležno za inspekcijske poslove može odmah, i prije provedbe procjene iz stvka 2. ovoga članka, usmenim rješenjem narediti operateru poduzimanje potrebnih mjera sprječavanja. </w:t>
      </w:r>
    </w:p>
    <w:p>
      <w:pPr>
        <w:pBdr/>
        <w:pStyle w:val="Normal"/>
        <w:spacing/>
        <w:ind/>
        <w:rPr>
          <w:rFonts w:ascii="Arial" w:eastAsia="Arial" w:hAnsi="Arial" w:cs="Arial"/>
        </w:rPr>
      </w:pPr>
      <w:r>
        <w:rPr>
          <w:rFonts w:ascii="Arial" w:eastAsia="Arial" w:hAnsi="Arial" w:cs="Arial"/>
        </w:rPr>
        <w:t xml:space="preserve">(5) Obveza izvršenja usmenog rješenja iz stavka 4. ovoga članka počinje teći danom njegova priopćenja stranci, pri pri čemu se usmeno rješenje dostavlja stranci, odnosno </w:t>
      </w:r>
      <w:r>
        <w:rPr>
          <w:rFonts w:ascii="Arial" w:eastAsia="Arial" w:hAnsi="Arial" w:cs="Arial"/>
        </w:rPr>
        <w:t xml:space="preserve">operateru, i u pisanom obliku odmah, a najkasnije u roku od osam dana od dana njegova donošenja.</w:t>
      </w:r>
    </w:p>
    <w:p>
      <w:pPr>
        <w:pBdr/>
        <w:pStyle w:val="Normal"/>
        <w:spacing/>
        <w:ind/>
        <w:rPr>
          <w:rFonts w:ascii="Arial" w:eastAsia="Arial" w:hAnsi="Arial" w:cs="Arial"/>
          <w:color w:val="000000"/>
        </w:rPr>
      </w:pPr>
      <w:r>
        <w:rPr>
          <w:rFonts w:ascii="Arial" w:eastAsia="Arial" w:hAnsi="Arial" w:cs="Arial"/>
        </w:rPr>
        <w:t xml:space="preserve">(6) Protiv rješenja iz stavaka 3. i 4. ovoga članka žalba nije dopuštena, ali se može pokrenuti upravni spor.</w:t>
      </w:r>
    </w:p>
    <w:p>
      <w:pPr>
        <w:pBdr/>
        <w:pStyle w:val="Normal"/>
        <w:spacing/>
        <w:ind/>
        <w:rPr>
          <w:rFonts w:ascii="Arial" w:eastAsia="Arial" w:hAnsi="Arial" w:cs="Arial"/>
          <w:i/>
          <w:iCs/>
        </w:rPr>
      </w:pPr>
    </w:p>
    <w:p>
      <w:pPr>
        <w:pBdr/>
        <w:pStyle w:val="Heading 2"/>
        <w:spacing/>
        <w:ind/>
        <w:rPr/>
      </w:pPr>
      <w:r>
        <w:rPr/>
        <w:t xml:space="preserve">Obveze operatera u slučaju nastanka štete</w:t>
      </w:r>
    </w:p>
    <w:p>
      <w:pPr>
        <w:pBdr/>
        <w:pStyle w:val="Heading 2"/>
        <w:spacing/>
        <w:ind/>
        <w:rPr/>
      </w:pPr>
      <w:r>
        <w:rPr/>
        <w:t xml:space="preserve">Članak 255.</w:t>
      </w:r>
    </w:p>
    <w:p>
      <w:pPr>
        <w:pBdr/>
        <w:pStyle w:val="Normal"/>
        <w:spacing/>
        <w:ind/>
        <w:rPr>
          <w:rFonts w:ascii="Arial" w:eastAsia="Arial" w:hAnsi="Arial" w:cs="Arial"/>
          <w:color w:val="000000"/>
        </w:rPr>
      </w:pPr>
      <w:r>
        <w:rPr>
          <w:rFonts w:ascii="Arial" w:eastAsia="Arial" w:hAnsi="Arial" w:cs="Arial"/>
        </w:rPr>
        <w:t xml:space="preserve">(1) Ako obavljanjem djelatnosti nastane šteta u okolišu, operater </w:t>
      </w:r>
      <w:r>
        <w:rPr>
          <w:rFonts w:ascii="Arial" w:eastAsia="Arial" w:hAnsi="Arial" w:cs="Arial"/>
          <w:color w:val="000000"/>
        </w:rPr>
        <w:t xml:space="preserve">je dužan:</w:t>
      </w:r>
    </w:p>
    <w:p>
      <w:pPr>
        <w:pBdr/>
        <w:pStyle w:val="Normal"/>
        <w:spacing/>
        <w:ind/>
        <w:rPr>
          <w:rFonts w:ascii="Arial" w:eastAsia="Arial" w:hAnsi="Arial" w:cs="Arial"/>
          <w:color w:val="000000"/>
        </w:rPr>
      </w:pPr>
      <w:r>
        <w:rPr>
          <w:rFonts w:ascii="Arial" w:eastAsia="Arial" w:hAnsi="Arial" w:cs="Arial"/>
          <w:color w:val="000000"/>
        </w:rPr>
        <w:t xml:space="preserve">– bez odgađanja obavijestiti ministarstvo nadležno za poslove civilne zaštite</w:t>
      </w:r>
    </w:p>
    <w:p>
      <w:pPr>
        <w:pBdr/>
        <w:pStyle w:val="Normal"/>
        <w:spacing/>
        <w:ind/>
        <w:rPr>
          <w:rFonts w:ascii="Arial" w:eastAsia="Arial" w:hAnsi="Arial" w:cs="Arial"/>
        </w:rPr>
      </w:pPr>
      <w:r>
        <w:rPr>
          <w:rFonts w:ascii="Arial" w:eastAsia="Arial" w:hAnsi="Arial" w:cs="Arial"/>
          <w:color w:val="000000"/>
        </w:rPr>
        <w:t xml:space="preserve">– bez odgađanja poduzeti sve primjenjive mjere za trenutačno stavljanje onečišćujućih tvari i drugih uzročnika štete pod nadzor, njihovo </w:t>
      </w:r>
      <w:r>
        <w:rPr>
          <w:rFonts w:ascii="Arial" w:eastAsia="Arial" w:hAnsi="Arial" w:cs="Arial"/>
        </w:rPr>
        <w:t xml:space="preserve">ograničavanje, uklanjanje ili drugo odgovarajuće postupanje radi ograničavanja ili sprječavanja daljnje štete u okolišu i nepovoljnih utjecaja na zdravlje ljudi ili daljnjeg slabljenja funkcija okoliša</w:t>
      </w:r>
    </w:p>
    <w:p>
      <w:pPr>
        <w:pBdr/>
        <w:pStyle w:val="Normal"/>
        <w:spacing/>
        <w:ind/>
        <w:rPr>
          <w:rFonts w:ascii="Arial" w:eastAsia="Arial" w:hAnsi="Arial" w:cs="Arial"/>
        </w:rPr>
      </w:pPr>
      <w:r>
        <w:rPr>
          <w:rFonts w:ascii="Arial" w:eastAsia="Arial" w:hAnsi="Arial" w:cs="Arial"/>
        </w:rPr>
        <w:t xml:space="preserve">–</w:t>
      </w:r>
      <w:r>
        <w:rPr>
          <w:rFonts w:ascii="Arial" w:eastAsia="Arial" w:hAnsi="Arial" w:cs="Arial"/>
          <w:b/>
          <w:bCs/>
        </w:rPr>
        <w:t xml:space="preserve"> </w:t>
      </w:r>
      <w:r>
        <w:rPr>
          <w:rFonts w:ascii="Arial" w:eastAsia="Arial" w:hAnsi="Arial" w:cs="Arial"/>
        </w:rPr>
        <w:t xml:space="preserve">poduzeti potrebne mjere otklanjanja utvrđene u skladu sa člancima 259. do 262. ovoga Zakona.</w:t>
      </w:r>
    </w:p>
    <w:p>
      <w:pPr>
        <w:pBdr/>
        <w:pStyle w:val="Normal"/>
        <w:spacing/>
        <w:ind/>
        <w:rPr>
          <w:rFonts w:ascii="Arial" w:eastAsia="Arial" w:hAnsi="Arial" w:cs="Arial"/>
        </w:rPr>
      </w:pPr>
      <w:r>
        <w:rPr>
          <w:rFonts w:ascii="Arial" w:eastAsia="Arial" w:hAnsi="Arial" w:cs="Arial"/>
        </w:rPr>
        <w:t xml:space="preserve">(2) Ministarstvo nadležno za poslove civilne zaštite po zaprimanju obavijesti iz stavka 1. ovoga članka obavještava tijela nadležna za inspekcijske poslove u području zaštite okoliša, zaštite prirode i vodnoga gospodarstva te, prema potrebi, zaštite morskih voda, i po potrebi operativne snage sustava civilne zaštite, u skladu s propisima iz područja civilne zaštite. </w:t>
      </w:r>
    </w:p>
    <w:p>
      <w:pPr>
        <w:pBdr/>
        <w:pStyle w:val="Normal"/>
        <w:spacing/>
        <w:ind/>
        <w:rPr>
          <w:rFonts w:ascii="Arial" w:eastAsia="Arial" w:hAnsi="Arial" w:cs="Arial"/>
          <w:i/>
          <w:iCs/>
        </w:rPr>
      </w:pPr>
    </w:p>
    <w:p>
      <w:pPr>
        <w:pBdr/>
        <w:pStyle w:val="Heading 2"/>
        <w:spacing/>
        <w:ind/>
        <w:rPr/>
      </w:pPr>
      <w:r>
        <w:rPr/>
        <w:t xml:space="preserve">Postupanje nadležnih tijela u slučaju nastanka štete</w:t>
      </w:r>
    </w:p>
    <w:p>
      <w:pPr>
        <w:pBdr/>
        <w:pStyle w:val="Heading 2"/>
        <w:spacing/>
        <w:ind/>
        <w:rPr/>
      </w:pPr>
      <w:r>
        <w:rPr/>
        <w:t xml:space="preserve">Članak 256.</w:t>
      </w:r>
    </w:p>
    <w:p>
      <w:pPr>
        <w:pBdr/>
        <w:pStyle w:val="Normal"/>
        <w:spacing/>
        <w:ind/>
        <w:rPr>
          <w:rFonts w:ascii="Arial" w:eastAsia="Arial" w:hAnsi="Arial" w:cs="Arial"/>
          <w:color w:val="000000"/>
        </w:rPr>
      </w:pPr>
      <w:r>
        <w:rPr>
          <w:rFonts w:ascii="Arial" w:eastAsia="Arial" w:hAnsi="Arial" w:cs="Arial"/>
        </w:rPr>
        <w:t xml:space="preserve">(1) U slučaju nastanka štete u okolišu nadležna tijela iz članka 255. stavka 2. ovoga Zakona </w:t>
      </w:r>
      <w:r>
        <w:rPr>
          <w:rFonts w:ascii="Arial" w:eastAsia="Arial" w:hAnsi="Arial" w:cs="Arial"/>
          <w:color w:val="000000"/>
        </w:rPr>
        <w:t xml:space="preserve">mogu:</w:t>
      </w:r>
    </w:p>
    <w:p>
      <w:pPr>
        <w:pBdr/>
        <w:pStyle w:val="Normal"/>
        <w:spacing/>
        <w:ind/>
        <w:rPr>
          <w:rFonts w:ascii="Arial" w:eastAsia="Arial" w:hAnsi="Arial" w:cs="Arial"/>
          <w:color w:val="000000"/>
        </w:rPr>
      </w:pPr>
      <w:r>
        <w:rPr>
          <w:rFonts w:ascii="Arial" w:eastAsia="Arial" w:hAnsi="Arial" w:cs="Arial"/>
          <w:color w:val="000000"/>
        </w:rPr>
        <w:t xml:space="preserve">– od operatera zatražiti podatke o nastaloj šteti u okolišu</w:t>
      </w:r>
    </w:p>
    <w:p>
      <w:pPr>
        <w:pBdr/>
        <w:pStyle w:val="Normal"/>
        <w:spacing/>
        <w:ind/>
        <w:rPr>
          <w:rFonts w:ascii="Arial" w:eastAsia="Arial" w:hAnsi="Arial" w:cs="Arial"/>
          <w:color w:val="000000"/>
        </w:rPr>
      </w:pPr>
      <w:r>
        <w:rPr>
          <w:rFonts w:ascii="Arial" w:eastAsia="Arial" w:hAnsi="Arial" w:cs="Arial"/>
          <w:color w:val="000000"/>
        </w:rPr>
        <w:t xml:space="preserve">– poduzeti radnje iz članka 255. stavka 1. podstavka 2. ovoga Zakona, zatražiti od operatera njihovo poduzimanje ili mu dati uputu za njihovo poduzimanje</w:t>
      </w:r>
    </w:p>
    <w:p>
      <w:pPr>
        <w:pBdr/>
        <w:pStyle w:val="Normal"/>
        <w:spacing/>
        <w:ind/>
        <w:rPr>
          <w:rFonts w:ascii="Arial" w:eastAsia="Arial" w:hAnsi="Arial" w:cs="Arial"/>
        </w:rPr>
      </w:pPr>
      <w:r>
        <w:rPr>
          <w:rFonts w:ascii="Arial" w:eastAsia="Arial" w:hAnsi="Arial" w:cs="Arial"/>
        </w:rPr>
        <w:t xml:space="preserve">– od operatera zatražiti poduzimanje potrebnih mjera otklanjanja utvrđenih u skladu sa člancima 259. do 262. ovoga Zakona</w:t>
      </w:r>
    </w:p>
    <w:p>
      <w:pPr>
        <w:pBdr/>
        <w:pStyle w:val="Normal"/>
        <w:spacing/>
        <w:ind/>
        <w:rPr>
          <w:rFonts w:ascii="Arial" w:eastAsia="Arial" w:hAnsi="Arial" w:cs="Arial"/>
        </w:rPr>
      </w:pPr>
      <w:r>
        <w:rPr>
          <w:rFonts w:ascii="Arial" w:eastAsia="Arial" w:hAnsi="Arial" w:cs="Arial"/>
        </w:rPr>
        <w:t xml:space="preserve">– dati operateru upute za provedbu mjera otklanjanja iz podstavka 3. ovoga stavka</w:t>
      </w:r>
    </w:p>
    <w:p>
      <w:pPr>
        <w:pBdr/>
        <w:pStyle w:val="Normal"/>
        <w:spacing/>
        <w:ind/>
        <w:rPr>
          <w:rFonts w:ascii="Arial" w:eastAsia="Arial" w:hAnsi="Arial" w:cs="Arial"/>
        </w:rPr>
      </w:pPr>
      <w:r>
        <w:rPr>
          <w:rFonts w:ascii="Arial" w:eastAsia="Arial" w:hAnsi="Arial" w:cs="Arial"/>
        </w:rPr>
        <w:t xml:space="preserve">– osigurati provedbu potrebnih mjera otklanjanja putem treće osobe u skladu sa člankom 268. ovoga Zakona.</w:t>
      </w:r>
    </w:p>
    <w:p>
      <w:pPr>
        <w:pBdr/>
        <w:pStyle w:val="Normal"/>
        <w:spacing/>
        <w:ind/>
        <w:rPr>
          <w:rFonts w:ascii="Arial" w:eastAsia="Arial" w:hAnsi="Arial" w:cs="Arial"/>
        </w:rPr>
      </w:pPr>
      <w:r>
        <w:rPr>
          <w:rFonts w:ascii="Arial" w:eastAsia="Arial" w:hAnsi="Arial" w:cs="Arial"/>
        </w:rPr>
        <w:t xml:space="preserve">(2) Tijelo nadležno za inspekcijske poslove provodi procjenu značaja štete u okolišu u skladu sa člankom 258. stavkom 2. ovoga Zakona. </w:t>
      </w:r>
    </w:p>
    <w:p>
      <w:pPr>
        <w:pBdr/>
        <w:pStyle w:val="Normal"/>
        <w:spacing/>
        <w:ind/>
        <w:rPr>
          <w:rFonts w:ascii="Arial" w:eastAsia="Arial" w:hAnsi="Arial" w:cs="Arial"/>
        </w:rPr>
      </w:pPr>
      <w:r>
        <w:rPr>
          <w:rFonts w:ascii="Arial" w:eastAsia="Arial" w:hAnsi="Arial" w:cs="Arial"/>
        </w:rPr>
        <w:t xml:space="preserve">(3) Ako se na temelju procjene iz stavka 2. ovoga članka utvrdi postojanje štete u okolišu, tijelo nadležno za inspekcijske poslove postupa u skladu sa člankom 259.</w:t>
      </w:r>
      <w:r>
        <w:rPr>
          <w:rFonts w:ascii="Arial" w:eastAsia="Arial" w:hAnsi="Arial" w:cs="Arial"/>
          <w:color w:val="FF0000"/>
        </w:rPr>
        <w:t xml:space="preserve"> </w:t>
      </w:r>
      <w:r>
        <w:rPr>
          <w:rFonts w:ascii="Arial" w:eastAsia="Arial" w:hAnsi="Arial" w:cs="Arial"/>
        </w:rPr>
        <w:t xml:space="preserve">ovoga Zakona.</w:t>
      </w:r>
    </w:p>
    <w:p>
      <w:pPr>
        <w:pBdr/>
        <w:pStyle w:val="Normal"/>
        <w:spacing/>
        <w:ind/>
        <w:rPr>
          <w:rFonts w:ascii="Arial" w:eastAsia="Arial" w:hAnsi="Arial" w:cs="Arial"/>
        </w:rPr>
      </w:pPr>
      <w:r>
        <w:rPr>
          <w:rFonts w:ascii="Arial" w:eastAsia="Arial" w:hAnsi="Arial" w:cs="Arial"/>
        </w:rPr>
        <w:t xml:space="preserve">(4) Ako je zbog prirode i opsega nastale štete potrebno žurno postupanje radi ograničavanja ili sprječavanja daljnje štete u okolišu ili zbog opasnosti za život i zdralje ljudi, tijelo nadležno za inspekcijske poslove može odmah, </w:t>
      </w:r>
      <w:r>
        <w:rPr>
          <w:rFonts w:ascii="Arial" w:eastAsia="Arial" w:hAnsi="Arial" w:cs="Arial"/>
          <w:color w:val="000000"/>
        </w:rPr>
        <w:t xml:space="preserve">i prije provedbe procjene iz stavka 2. ovoga članka,</w:t>
      </w:r>
      <w:r>
        <w:rPr>
          <w:rFonts w:ascii="Arial" w:eastAsia="Arial" w:hAnsi="Arial" w:cs="Arial"/>
        </w:rPr>
        <w:t xml:space="preserve"> usmenim rješenjem narediti operateru poduzimanje radnji iz članka 255. stavka 1. podstavka 2. ovoga Zakona.</w:t>
      </w:r>
    </w:p>
    <w:p>
      <w:pPr>
        <w:pBdr/>
        <w:pStyle w:val="Normal"/>
        <w:spacing/>
        <w:ind/>
        <w:rPr>
          <w:rFonts w:ascii="Arial" w:eastAsia="Arial" w:hAnsi="Arial" w:cs="Arial"/>
          <w:color w:val="000000"/>
        </w:rPr>
      </w:pPr>
      <w:r>
        <w:rPr>
          <w:rFonts w:ascii="Arial" w:eastAsia="Arial" w:hAnsi="Arial" w:cs="Arial"/>
        </w:rPr>
        <w:t xml:space="preserve">(5) Obveza izvršenja usmenog rješenja iz stavka 4. ovoga članka počinje teći danom njegova priopćenja stranci, pri čemu se usmeno rješenje dostavlja stranci, odnosno </w:t>
      </w:r>
      <w:r>
        <w:rPr>
          <w:rFonts w:ascii="Arial" w:eastAsia="Arial" w:hAnsi="Arial" w:cs="Arial"/>
        </w:rPr>
        <w:t xml:space="preserve">operateru, i u pisanom </w:t>
      </w:r>
      <w:r>
        <w:rPr>
          <w:rFonts w:ascii="Arial" w:eastAsia="Arial" w:hAnsi="Arial" w:cs="Arial"/>
          <w:color w:val="000000"/>
        </w:rPr>
        <w:t xml:space="preserve">obliku odmah, a najkasnije u roku od osam dana od dana njegova donošenja.</w:t>
      </w:r>
    </w:p>
    <w:p>
      <w:pPr>
        <w:pBdr/>
        <w:pStyle w:val="Normal"/>
        <w:spacing/>
        <w:ind/>
        <w:rPr>
          <w:rFonts w:ascii="Arial" w:eastAsia="Arial" w:hAnsi="Arial" w:cs="Arial"/>
          <w:color w:val="000000"/>
        </w:rPr>
      </w:pPr>
      <w:r>
        <w:rPr>
          <w:rFonts w:ascii="Arial" w:eastAsia="Arial" w:hAnsi="Arial" w:cs="Arial"/>
          <w:color w:val="000000"/>
        </w:rPr>
        <w:t xml:space="preserve">(6) Protiv rješenja iz stavka 4. ovoga članka žalba nije dopuštena, ali se može pokrenuti upravni spor.</w:t>
      </w:r>
    </w:p>
    <w:p>
      <w:pPr>
        <w:pBdr/>
        <w:pStyle w:val="Normal"/>
        <w:spacing/>
        <w:ind/>
        <w:rPr>
          <w:rFonts w:ascii="Arial" w:eastAsia="Arial" w:hAnsi="Arial" w:cs="Arial"/>
          <w:color w:val="000000"/>
        </w:rPr>
      </w:pPr>
    </w:p>
    <w:p>
      <w:pPr>
        <w:pBdr/>
        <w:pStyle w:val="Heading 2"/>
        <w:spacing/>
        <w:ind/>
        <w:rPr/>
      </w:pPr>
      <w:r>
        <w:rPr/>
        <w:t xml:space="preserve">Žurni postupci</w:t>
      </w:r>
    </w:p>
    <w:p>
      <w:pPr>
        <w:pBdr/>
        <w:pStyle w:val="Heading 2"/>
        <w:spacing/>
        <w:ind/>
        <w:rPr/>
      </w:pPr>
      <w:r>
        <w:rPr/>
        <w:t xml:space="preserve">Članak 257.</w:t>
      </w:r>
    </w:p>
    <w:p>
      <w:pPr>
        <w:pBdr/>
        <w:pStyle w:val="Normal"/>
        <w:spacing/>
        <w:ind/>
        <w:rPr>
          <w:rFonts w:ascii="Arial" w:eastAsia="Arial" w:hAnsi="Arial" w:cs="Arial"/>
          <w:color w:val="000000"/>
        </w:rPr>
      </w:pPr>
      <w:r>
        <w:rPr>
          <w:rFonts w:ascii="Arial" w:eastAsia="Arial" w:hAnsi="Arial" w:cs="Arial"/>
        </w:rPr>
        <w:t xml:space="preserve">(1) Ako operater ne može bez odgađanja provesti mjere sprječavanja iz članka 253. stavka 1. ovoga Zakona ili mjere ograničavanja štete u okolišu iz članka 255. stavka 1. podstavka 2. ovoga Zakona, nadležna tijela iz članka 253. stavka 4. i članka 255. stavka 2. ovoga Zakona mogu osigurati provedbu potrebnih mjera putem treće osobe, na trošak i odgovornost operatera. </w:t>
      </w:r>
    </w:p>
    <w:p>
      <w:pPr>
        <w:pBdr/>
        <w:pStyle w:val="Normal"/>
        <w:spacing/>
        <w:ind/>
        <w:rPr>
          <w:rFonts w:ascii="Arial" w:eastAsia="Arial" w:hAnsi="Arial" w:cs="Arial"/>
          <w:color w:val="000000"/>
        </w:rPr>
      </w:pPr>
      <w:r>
        <w:rPr>
          <w:rFonts w:ascii="Arial" w:eastAsia="Arial" w:hAnsi="Arial" w:cs="Arial"/>
        </w:rPr>
        <w:t xml:space="preserve">(2) Nadležna tijela iz članka 253. stavka 4. i članka 255. stavka 2. ovoga Zakona mogu osigurati provedbu potrebnih mjera putem treće osobe i ako operater ne postupi u određenom roku ili se operater ne može utvrditi. </w:t>
      </w:r>
    </w:p>
    <w:p>
      <w:pPr>
        <w:pBdr/>
        <w:pStyle w:val="Normal"/>
        <w:spacing/>
        <w:ind/>
        <w:rPr>
          <w:rFonts w:ascii="Arial" w:eastAsia="Arial" w:hAnsi="Arial" w:cs="Arial"/>
          <w:color w:val="000000"/>
        </w:rPr>
      </w:pPr>
      <w:r>
        <w:rPr>
          <w:rFonts w:ascii="Arial" w:eastAsia="Arial" w:hAnsi="Arial" w:cs="Arial"/>
        </w:rPr>
        <w:t xml:space="preserve">(3) Radi provedbe mjera iz stavaka 1. i 2. ovoga članka nadležna tijela iz članka 253. stavka 4. i članka 255. stavka 2. ovoga Zakona mogu privremeno ograničiti rad operatera ili, ako je to nužno, zaustaviti njegov rad.</w:t>
      </w:r>
    </w:p>
    <w:p>
      <w:pPr>
        <w:pBdr/>
        <w:pStyle w:val="Normal"/>
        <w:spacing/>
        <w:ind/>
        <w:rPr>
          <w:rFonts w:ascii="Arial" w:eastAsia="Arial" w:hAnsi="Arial" w:cs="Arial"/>
          <w:color w:val="000000"/>
          <w:highlight w:val="yellow"/>
        </w:rPr>
      </w:pPr>
      <w:r>
        <w:rPr>
          <w:rFonts w:ascii="Arial" w:eastAsia="Arial" w:hAnsi="Arial" w:cs="Arial"/>
        </w:rPr>
        <w:t xml:space="preserve">(4) Troškovi provedbe mjera iz stavaka 1. i 2. ovoga članka namiruju se iz državnog proračuna odnosno proračuna jedinice lokalne ili područne (regionalne) samouprave do njihove naplate od operatera koji je prema  ovom Zakonu bio dužan provesti te mjere.</w:t>
      </w:r>
    </w:p>
    <w:p>
      <w:pPr>
        <w:pBdr/>
        <w:pStyle w:val="Normal"/>
        <w:spacing/>
        <w:ind/>
        <w:rPr>
          <w:rFonts w:ascii="Arial" w:eastAsia="Arial" w:hAnsi="Arial" w:cs="Arial"/>
          <w:i/>
          <w:iCs/>
        </w:rPr>
      </w:pPr>
    </w:p>
    <w:p>
      <w:pPr>
        <w:pBdr/>
        <w:pStyle w:val="Heading 2"/>
        <w:spacing/>
        <w:ind/>
        <w:rPr/>
      </w:pPr>
      <w:r>
        <w:rPr/>
        <w:t xml:space="preserve">Utvrđivanje operatera i procjena prijeteće opasnosti od štete i štete u okolišu</w:t>
      </w:r>
    </w:p>
    <w:p>
      <w:pPr>
        <w:pBdr/>
        <w:pStyle w:val="Heading 2"/>
        <w:spacing/>
        <w:ind/>
        <w:rPr/>
      </w:pPr>
      <w:r>
        <w:rPr/>
        <w:t xml:space="preserve">Članak 258.</w:t>
      </w:r>
    </w:p>
    <w:p>
      <w:pPr>
        <w:pBdr/>
        <w:pStyle w:val="Normal"/>
        <w:spacing/>
        <w:ind/>
        <w:rPr>
          <w:rFonts w:ascii="Arial" w:eastAsia="Arial" w:hAnsi="Arial" w:cs="Arial"/>
        </w:rPr>
      </w:pPr>
      <w:r>
        <w:rPr>
          <w:rFonts w:ascii="Arial" w:eastAsia="Arial" w:hAnsi="Arial" w:cs="Arial"/>
        </w:rPr>
        <w:t xml:space="preserve">(1) Tijelo nadležno za inspekcijske poslove u području zaštite okoliša, zaštite prirode, vodnoga gospodarstva i, prema potrebi, zaštite morskih voda, na temelju obavljenog očevida utvrđuju operatera koji je prouzročio štetu u okolišu ili prijeteću opasnost od štete.</w:t>
      </w:r>
    </w:p>
    <w:p>
      <w:pPr>
        <w:pBdr/>
        <w:pStyle w:val="Normal"/>
        <w:spacing/>
        <w:ind/>
        <w:rPr>
          <w:rFonts w:ascii="Arial" w:eastAsia="Arial" w:hAnsi="Arial" w:cs="Arial"/>
          <w:color w:val="000000"/>
        </w:rPr>
      </w:pPr>
      <w:r>
        <w:rPr>
          <w:rFonts w:ascii="Arial" w:eastAsia="Arial" w:hAnsi="Arial" w:cs="Arial"/>
          <w:color w:val="000000"/>
        </w:rPr>
        <w:t xml:space="preserve">(2)</w:t>
      </w:r>
      <w:r>
        <w:rPr>
          <w:rFonts w:ascii="Arial" w:eastAsia="Arial" w:hAnsi="Arial" w:cs="Arial"/>
        </w:rPr>
        <w:t xml:space="preserve"> </w:t>
      </w:r>
      <w:r>
        <w:rPr>
          <w:rFonts w:ascii="Arial" w:eastAsia="Arial" w:hAnsi="Arial" w:cs="Arial"/>
          <w:color w:val="000000"/>
        </w:rPr>
        <w:t xml:space="preserve">Tijelo nadležno za inspekcijske poslove iz stavka 1. ovoga članka procjenjuje značaj štete u okolišu odnosno prijeteće opasnosti od štete na obrascu propisanom uredbom iz članka </w:t>
      </w:r>
      <w:r>
        <w:rPr>
          <w:rFonts w:ascii="Arial" w:eastAsia="Arial" w:hAnsi="Arial" w:cs="Arial"/>
        </w:rPr>
        <w:t xml:space="preserve">250. stavka </w:t>
      </w:r>
      <w:r>
        <w:rPr>
          <w:rFonts w:ascii="Arial" w:eastAsia="Arial" w:hAnsi="Arial" w:cs="Arial"/>
          <w:color w:val="000000"/>
        </w:rPr>
        <w:t xml:space="preserve">5. ovoga Zakona, u suradnji s:</w:t>
      </w:r>
    </w:p>
    <w:p>
      <w:pPr>
        <w:pBdr/>
        <w:pStyle w:val="Normal"/>
        <w:spacing/>
        <w:ind/>
        <w:rPr>
          <w:rFonts w:ascii="Arial" w:eastAsia="Arial" w:hAnsi="Arial" w:cs="Arial"/>
          <w:color w:val="000000"/>
        </w:rPr>
      </w:pPr>
      <w:r>
        <w:rPr>
          <w:rFonts w:ascii="Arial" w:eastAsia="Arial" w:hAnsi="Arial" w:cs="Arial"/>
          <w:color w:val="000000"/>
        </w:rPr>
        <w:t xml:space="preserve">- pravnom osobom za upravljanje vodama za vode, za štetu na vodama</w:t>
      </w:r>
    </w:p>
    <w:p>
      <w:pPr>
        <w:pBdr/>
        <w:pStyle w:val="Normal"/>
        <w:spacing/>
        <w:ind/>
        <w:rPr>
          <w:rFonts w:ascii="Arial" w:eastAsia="Arial" w:hAnsi="Arial" w:cs="Arial"/>
          <w:color w:val="000000"/>
        </w:rPr>
      </w:pPr>
      <w:r>
        <w:rPr>
          <w:rFonts w:ascii="Arial" w:eastAsia="Arial" w:hAnsi="Arial" w:cs="Arial"/>
          <w:color w:val="000000"/>
        </w:rPr>
        <w:t xml:space="preserve">- Ministarstvom odnosno Zavodom, za štetu na zaštićenim vrstama i prirodnim staništima</w:t>
      </w:r>
    </w:p>
    <w:p>
      <w:pPr>
        <w:pBdr/>
        <w:pStyle w:val="Normal"/>
        <w:spacing/>
        <w:ind/>
        <w:rPr>
          <w:rFonts w:ascii="Arial" w:eastAsia="Arial" w:hAnsi="Arial" w:cs="Arial"/>
          <w:color w:val="000000"/>
        </w:rPr>
      </w:pPr>
      <w:r>
        <w:rPr>
          <w:rFonts w:ascii="Arial" w:eastAsia="Arial" w:hAnsi="Arial" w:cs="Arial"/>
          <w:color w:val="000000"/>
        </w:rPr>
        <w:t xml:space="preserve">- Ministarstvom, za štetu na morskom vodama </w:t>
      </w:r>
    </w:p>
    <w:p>
      <w:pPr>
        <w:pBdr/>
        <w:pStyle w:val="Normal"/>
        <w:spacing/>
        <w:ind/>
        <w:rPr>
          <w:rFonts w:ascii="Arial" w:eastAsia="Arial" w:hAnsi="Arial" w:cs="Arial"/>
          <w:color w:val="000000"/>
        </w:rPr>
      </w:pPr>
      <w:r>
        <w:rPr>
          <w:rFonts w:ascii="Arial" w:eastAsia="Arial" w:hAnsi="Arial" w:cs="Arial"/>
          <w:color w:val="000000"/>
        </w:rPr>
        <w:t xml:space="preserve">- Ministarstvom i javnom ustanovom za javnozdravstvenu zaštitu iz područja zdravstvene ekologije, za štetu na zemljištu koja predstavlja rizik za zdravlje ljudi. </w:t>
      </w:r>
    </w:p>
    <w:p>
      <w:pPr>
        <w:pBdr/>
        <w:pStyle w:val="Normal"/>
        <w:spacing/>
        <w:ind/>
        <w:rPr>
          <w:rFonts w:ascii="Arial" w:eastAsia="Arial" w:hAnsi="Arial" w:cs="Arial"/>
          <w:color w:val="000000"/>
        </w:rPr>
      </w:pPr>
      <w:r>
        <w:rPr>
          <w:rFonts w:ascii="Arial" w:eastAsia="Arial" w:hAnsi="Arial" w:cs="Arial"/>
          <w:color w:val="000000"/>
        </w:rPr>
        <w:t xml:space="preserve">(3) Ako tijelo nadležno za inspekcijske poslove iz stavka 1. ovoga članka ne može utvrditi operatera, o tome obavještava ministarstvo nadležno za unutarnje poslove radi poduzimanja radnji za njegovo utvrđivanje.</w:t>
      </w:r>
    </w:p>
    <w:p>
      <w:pPr>
        <w:pBdr/>
        <w:pStyle w:val="Normal"/>
        <w:spacing/>
        <w:ind/>
        <w:rPr>
          <w:rFonts w:ascii="Arial" w:eastAsia="Arial" w:hAnsi="Arial" w:cs="Arial"/>
          <w:color w:val="000000"/>
        </w:rPr>
      </w:pPr>
      <w:r>
        <w:rPr>
          <w:rFonts w:ascii="Arial" w:eastAsia="Arial" w:hAnsi="Arial" w:cs="Arial"/>
          <w:color w:val="000000"/>
        </w:rPr>
        <w:t xml:space="preserve">(4) Šteta u okolišu određuje se na temelju smjernica Europske komisije koje se objavljuju na mrežnim stranicama Ministarstva.</w:t>
      </w:r>
      <w:r>
        <w:rPr>
          <w:rFonts w:ascii="Arial" w:eastAsia="Arial" w:hAnsi="Arial" w:cs="Arial"/>
        </w:rPr>
        <w:t xml:space="preserve"> </w:t>
      </w:r>
    </w:p>
    <w:p>
      <w:pPr>
        <w:pBdr/>
        <w:pStyle w:val="Normal"/>
        <w:spacing/>
        <w:ind/>
        <w:rPr>
          <w:rFonts w:ascii="Arial" w:eastAsia="Arial" w:hAnsi="Arial" w:cs="Arial"/>
          <w:i/>
          <w:iCs/>
          <w:color w:val="000000"/>
        </w:rPr>
      </w:pPr>
    </w:p>
    <w:p>
      <w:pPr>
        <w:pBdr/>
        <w:pStyle w:val="Heading 2"/>
        <w:spacing/>
        <w:ind/>
        <w:rPr/>
      </w:pPr>
      <w:r>
        <w:rPr/>
        <w:t xml:space="preserve">Obveza izrade sanacijskog programa</w:t>
      </w:r>
    </w:p>
    <w:p>
      <w:pPr>
        <w:pBdr/>
        <w:pStyle w:val="Heading 2"/>
        <w:spacing/>
        <w:ind/>
        <w:rPr/>
      </w:pPr>
      <w:r>
        <w:rPr/>
        <w:t xml:space="preserve">Članak 259.</w:t>
      </w:r>
    </w:p>
    <w:p>
      <w:pPr>
        <w:pBdr/>
        <w:pStyle w:val="Normal"/>
        <w:spacing/>
        <w:ind/>
        <w:rPr>
          <w:rFonts w:ascii="Arial" w:eastAsia="Arial" w:hAnsi="Arial" w:cs="Arial"/>
        </w:rPr>
      </w:pPr>
      <w:r>
        <w:rPr>
          <w:rFonts w:ascii="Arial" w:eastAsia="Arial" w:hAnsi="Arial" w:cs="Arial"/>
        </w:rPr>
        <w:t xml:space="preserve">(1) Na temelju procjene značaja štete u okolišu iz članka 258.</w:t>
      </w:r>
      <w:r>
        <w:rPr>
          <w:rFonts w:ascii="Arial" w:eastAsia="Arial" w:hAnsi="Arial" w:cs="Arial"/>
          <w:color w:val="FF0000"/>
        </w:rPr>
        <w:t xml:space="preserve"> </w:t>
      </w:r>
      <w:r>
        <w:rPr>
          <w:rFonts w:ascii="Arial" w:eastAsia="Arial" w:hAnsi="Arial" w:cs="Arial"/>
        </w:rPr>
        <w:t xml:space="preserve">stavka 2. ovoga Zakona tijelo nadležno za inspekcijske poslove rješenjem naređuje operateru da u određenom roku izradi sanacijski program kojim se predlažu mjere i rokovi za otklanjanje štete u okolišu te program praćenja stanja okoliša nakon provedene sanacije, u skladu s uredbom iz članka 250. stavka 5. ovoga Zakona. </w:t>
      </w:r>
    </w:p>
    <w:p>
      <w:pPr>
        <w:pBdr/>
        <w:pStyle w:val="Normal"/>
        <w:spacing/>
        <w:ind/>
        <w:rPr>
          <w:rFonts w:ascii="Arial" w:eastAsia="Arial" w:hAnsi="Arial" w:cs="Arial"/>
        </w:rPr>
      </w:pPr>
      <w:r>
        <w:rPr>
          <w:rFonts w:ascii="Arial" w:eastAsia="Arial" w:hAnsi="Arial" w:cs="Arial"/>
        </w:rPr>
        <w:t xml:space="preserve">(2) Ako operater ne izradi sanacijski program u roku određenom rješenjem iz stavka 1. ovoga članka ili se operater ne može utvrditi, izradu sanacijskog programa osigurava Fond za zaštitu okoliša i energetsku učinkovitost, drugo nadležno tijelo za pojedine sastavnice okoliša ili jedinica lokalne i područne (regionalne) samouprave, na trošak poznatog operatera. </w:t>
      </w:r>
    </w:p>
    <w:p>
      <w:pPr>
        <w:pBdr/>
        <w:pStyle w:val="Normal"/>
        <w:spacing/>
        <w:ind/>
        <w:rPr>
          <w:rFonts w:ascii="Arial" w:eastAsia="Arial" w:hAnsi="Arial" w:cs="Arial"/>
        </w:rPr>
      </w:pPr>
      <w:r>
        <w:rPr>
          <w:rFonts w:ascii="Arial" w:eastAsia="Arial" w:hAnsi="Arial" w:cs="Arial"/>
        </w:rPr>
        <w:t xml:space="preserve">(3) Ako je šteta u okolišu nastala na više sastavnica okoliša, rješenje iz stavka 1. ovoga članka donosi tijelo nadležno za inspekcijske poslove u području zaštite okoliša.</w:t>
      </w:r>
    </w:p>
    <w:p>
      <w:pPr>
        <w:pBdr/>
        <w:pStyle w:val="Normal"/>
        <w:spacing/>
        <w:ind/>
        <w:rPr>
          <w:rFonts w:ascii="Arial" w:eastAsia="Arial" w:hAnsi="Arial" w:cs="Arial"/>
          <w:color w:val="000000"/>
        </w:rPr>
      </w:pPr>
      <w:r>
        <w:rPr>
          <w:rFonts w:ascii="Arial" w:eastAsia="Arial" w:hAnsi="Arial" w:cs="Arial"/>
          <w:color w:val="000000"/>
        </w:rPr>
        <w:t xml:space="preserve">(4) Protiv rješenja iz </w:t>
      </w:r>
      <w:r>
        <w:rPr>
          <w:rFonts w:ascii="Arial" w:eastAsia="Arial" w:hAnsi="Arial" w:cs="Arial"/>
        </w:rPr>
        <w:t xml:space="preserve">sta</w:t>
      </w:r>
      <w:r>
        <w:rPr>
          <w:rFonts w:ascii="Arial" w:eastAsia="Arial" w:hAnsi="Arial" w:cs="Arial"/>
          <w:color w:val="000000"/>
        </w:rPr>
        <w:t xml:space="preserve">vka 1. ovoga članka žalba nije dopuštena, ali se može pokrenuti upravni spor.</w:t>
      </w:r>
    </w:p>
    <w:p>
      <w:pPr>
        <w:pBdr/>
        <w:pStyle w:val="Normal"/>
        <w:spacing/>
        <w:ind/>
        <w:rPr>
          <w:rFonts w:ascii="Arial" w:eastAsia="Arial" w:hAnsi="Arial" w:cs="Arial"/>
          <w:color w:val="000000"/>
        </w:rPr>
      </w:pPr>
    </w:p>
    <w:p>
      <w:pPr>
        <w:pBdr/>
        <w:pStyle w:val="Heading 2"/>
        <w:spacing/>
        <w:ind/>
        <w:rPr/>
      </w:pPr>
      <w:r>
        <w:rPr/>
        <w:t xml:space="preserve">Zahtjev za suglasnost na sanacijski program</w:t>
      </w:r>
    </w:p>
    <w:p>
      <w:pPr>
        <w:pBdr/>
        <w:pStyle w:val="Heading 2"/>
        <w:spacing/>
        <w:ind/>
        <w:rPr/>
      </w:pPr>
      <w:r>
        <w:rPr/>
        <w:t xml:space="preserve">Članak 260.</w:t>
      </w:r>
    </w:p>
    <w:p>
      <w:pPr>
        <w:pBdr/>
        <w:pStyle w:val="Normal"/>
        <w:spacing/>
        <w:ind/>
        <w:rPr>
          <w:rFonts w:ascii="Arial" w:eastAsia="Arial" w:hAnsi="Arial" w:cs="Arial"/>
        </w:rPr>
      </w:pPr>
      <w:r>
        <w:rPr>
          <w:rFonts w:ascii="Arial" w:eastAsia="Arial" w:hAnsi="Arial" w:cs="Arial"/>
          <w:color w:val="000000"/>
        </w:rPr>
        <w:t xml:space="preserve">(1) Zahtjev za davanje suglasnosti na sanacijski program iz članka </w:t>
      </w:r>
      <w:r>
        <w:rPr>
          <w:rFonts w:ascii="Arial" w:eastAsia="Arial" w:hAnsi="Arial" w:cs="Arial"/>
        </w:rPr>
        <w:t xml:space="preserve">259. stavka 1. ovoga Zakona podnosi se Ministarstvu u pisanom obliku do uspostave elektroničkog sustava za provedbu postupaka u zaštiti okoliša.</w:t>
      </w:r>
    </w:p>
    <w:p>
      <w:pPr>
        <w:pBdr/>
        <w:pStyle w:val="Normal"/>
        <w:spacing/>
        <w:ind/>
        <w:rPr>
          <w:rFonts w:ascii="Arial" w:eastAsia="Arial" w:hAnsi="Arial" w:cs="Arial"/>
        </w:rPr>
      </w:pPr>
      <w:r>
        <w:rPr>
          <w:rFonts w:ascii="Arial" w:eastAsia="Arial" w:hAnsi="Arial" w:cs="Arial"/>
        </w:rPr>
        <w:t xml:space="preserve">(2) Zahtjevu iz stavka 1. ovoga članka prilažu se:</w:t>
      </w:r>
    </w:p>
    <w:p>
      <w:pPr>
        <w:pBdr/>
        <w:pStyle w:val="Normal"/>
        <w:spacing/>
        <w:ind/>
        <w:rPr>
          <w:rFonts w:ascii="Arial" w:eastAsia="Arial" w:hAnsi="Arial" w:cs="Arial"/>
        </w:rPr>
      </w:pPr>
      <w:r>
        <w:rPr>
          <w:rFonts w:ascii="Arial" w:eastAsia="Arial" w:hAnsi="Arial" w:cs="Arial"/>
        </w:rPr>
        <w:t xml:space="preserve">1. sanacijski program u pisanom i elektroničkom obliku</w:t>
      </w:r>
    </w:p>
    <w:p>
      <w:pPr>
        <w:pBdr/>
        <w:pStyle w:val="Normal"/>
        <w:spacing/>
        <w:ind/>
        <w:rPr>
          <w:rFonts w:ascii="Arial" w:eastAsia="Arial" w:hAnsi="Arial" w:cs="Arial"/>
        </w:rPr>
      </w:pPr>
      <w:r>
        <w:rPr>
          <w:rFonts w:ascii="Arial" w:eastAsia="Arial" w:hAnsi="Arial" w:cs="Arial"/>
        </w:rPr>
        <w:t xml:space="preserve">2. podaci o nositelju izrade sanacijskog programa:</w:t>
      </w:r>
    </w:p>
    <w:p>
      <w:pPr>
        <w:pBdr/>
        <w:pStyle w:val="Normal"/>
        <w:spacing/>
        <w:ind/>
        <w:rPr>
          <w:rFonts w:ascii="Arial" w:eastAsia="Arial" w:hAnsi="Arial" w:cs="Arial"/>
        </w:rPr>
      </w:pPr>
      <w:r>
        <w:rPr>
          <w:rFonts w:ascii="Arial" w:eastAsia="Arial" w:hAnsi="Arial" w:cs="Arial"/>
        </w:rPr>
        <w:t xml:space="preserve">– za pravnu i fizičku osobu – obrtnika: naziv i adresa sjedišta tvrtke, OIB, ime osobe ovlaštene za zastupanje, broj telefona i adresa elektroničke pošte</w:t>
      </w:r>
    </w:p>
    <w:p>
      <w:pPr>
        <w:pBdr/>
        <w:pStyle w:val="Normal"/>
        <w:spacing/>
        <w:ind/>
        <w:rPr>
          <w:rFonts w:ascii="Arial" w:eastAsia="Arial" w:hAnsi="Arial" w:cs="Arial"/>
        </w:rPr>
      </w:pPr>
      <w:r>
        <w:rPr>
          <w:rFonts w:ascii="Arial" w:eastAsia="Arial" w:hAnsi="Arial" w:cs="Arial"/>
        </w:rPr>
        <w:t xml:space="preserve">– za nadležno tijelo iz članka 259. stavka 2. ovoga Zakona: naziv i adresa nadležnog tijela, broj telefona i adresa elektroničke pošte osobe za kontakt</w:t>
      </w:r>
    </w:p>
    <w:p>
      <w:pPr>
        <w:pBdr/>
        <w:pStyle w:val="Normal"/>
        <w:spacing/>
        <w:ind/>
        <w:rPr>
          <w:rFonts w:ascii="Arial" w:eastAsia="Arial" w:hAnsi="Arial" w:cs="Arial"/>
          <w:color w:val="000000"/>
        </w:rPr>
      </w:pPr>
      <w:r>
        <w:rPr>
          <w:rFonts w:ascii="Arial" w:eastAsia="Arial" w:hAnsi="Arial" w:cs="Arial"/>
          <w:color w:val="000000"/>
        </w:rPr>
        <w:t xml:space="preserve">3. podatci o lokaciji na kojoj je nastala šteta u okolišu za koju se izrađuje sanacijski program:</w:t>
      </w:r>
    </w:p>
    <w:p>
      <w:pPr>
        <w:pBdr/>
        <w:pStyle w:val="Normal"/>
        <w:spacing/>
        <w:ind/>
        <w:rPr>
          <w:rFonts w:ascii="Arial" w:eastAsia="Arial" w:hAnsi="Arial" w:cs="Arial"/>
          <w:color w:val="000000"/>
        </w:rPr>
      </w:pPr>
      <w:r>
        <w:rPr>
          <w:rFonts w:ascii="Arial" w:eastAsia="Arial" w:hAnsi="Arial" w:cs="Arial"/>
          <w:color w:val="000000"/>
        </w:rPr>
        <w:t xml:space="preserve">– naziv jedinice lokalne i područne (regionalne) samouprave, katastarska općina i broj svih katastarskih čestica na kojima je nastala šteta. </w:t>
      </w:r>
    </w:p>
    <w:p>
      <w:pPr>
        <w:pBdr/>
        <w:pStyle w:val="Normal"/>
        <w:spacing/>
        <w:ind/>
        <w:rPr>
          <w:rFonts w:ascii="Arial" w:eastAsia="Arial" w:hAnsi="Arial" w:cs="Arial"/>
          <w:color w:val="000000"/>
        </w:rPr>
      </w:pPr>
      <w:r>
        <w:rPr>
          <w:rFonts w:ascii="Arial" w:eastAsia="Arial" w:hAnsi="Arial" w:cs="Arial"/>
          <w:color w:val="000000"/>
        </w:rPr>
        <w:t xml:space="preserve">(3) Ako Ministarstvo utvrdi da zahtjev iz stavka 1. ovoga članka nije na zakonu osnovan, rješenjem će odbiti zahtjev.</w:t>
      </w:r>
    </w:p>
    <w:p>
      <w:pPr>
        <w:pBdr/>
        <w:pStyle w:val="Normal"/>
        <w:spacing/>
        <w:ind/>
        <w:rPr>
          <w:rFonts w:ascii="Arial" w:eastAsia="Arial" w:hAnsi="Arial" w:cs="Arial"/>
          <w:color w:val="000000"/>
        </w:rPr>
      </w:pPr>
      <w:r>
        <w:rPr>
          <w:rFonts w:ascii="Arial" w:eastAsia="Arial" w:hAnsi="Arial" w:cs="Arial"/>
          <w:color w:val="000000"/>
        </w:rPr>
        <w:t xml:space="preserve">(4) Protiv rješenja iz stavka 3. ovoga članka nije dopuštena žalba, ali se može pokrenuti upravni spor.</w:t>
      </w:r>
    </w:p>
    <w:p>
      <w:pPr>
        <w:pBdr/>
        <w:pStyle w:val="Normal"/>
        <w:spacing/>
        <w:ind/>
        <w:rPr>
          <w:rFonts w:ascii="Arial" w:eastAsia="Arial" w:hAnsi="Arial" w:cs="Arial"/>
          <w:color w:val="000000"/>
        </w:rPr>
      </w:pPr>
    </w:p>
    <w:p>
      <w:pPr>
        <w:pBdr/>
        <w:pStyle w:val="Heading 2"/>
        <w:spacing/>
        <w:ind/>
        <w:rPr/>
      </w:pPr>
      <w:r>
        <w:rPr/>
        <w:t xml:space="preserve">Postupak davanja suglasnosti</w:t>
      </w:r>
    </w:p>
    <w:p>
      <w:pPr>
        <w:pBdr/>
        <w:pStyle w:val="Heading 2"/>
        <w:spacing/>
        <w:ind/>
        <w:rPr/>
      </w:pPr>
      <w:r>
        <w:rPr/>
        <w:t xml:space="preserve">Članak 261.</w:t>
      </w:r>
    </w:p>
    <w:p>
      <w:pPr>
        <w:pBdr/>
        <w:pStyle w:val="Normal"/>
        <w:spacing/>
        <w:ind/>
        <w:rPr>
          <w:rFonts w:ascii="Arial" w:eastAsia="Arial" w:hAnsi="Arial" w:cs="Arial"/>
        </w:rPr>
      </w:pPr>
      <w:r>
        <w:rPr>
          <w:rFonts w:ascii="Arial" w:eastAsia="Arial" w:hAnsi="Arial" w:cs="Arial"/>
        </w:rPr>
        <w:t xml:space="preserve">(1) Za sanacijski program iz članka 259. stavka 1. ovoga Zakona operater odnosno tijelo iz članka 259. stavka 2. ovoga Zakona dužno je ishoditi suglasnost Ministarstva.</w:t>
      </w:r>
    </w:p>
    <w:p>
      <w:pPr>
        <w:pBdr/>
        <w:pStyle w:val="Normal"/>
        <w:spacing/>
        <w:ind/>
        <w:rPr>
          <w:rFonts w:ascii="Arial" w:eastAsia="Arial" w:hAnsi="Arial" w:cs="Arial"/>
        </w:rPr>
      </w:pPr>
      <w:r>
        <w:rPr>
          <w:rFonts w:ascii="Arial" w:eastAsia="Arial" w:hAnsi="Arial" w:cs="Arial"/>
        </w:rPr>
        <w:t xml:space="preserve">(2) U postupku davanja suglasnosti Ministarstvo pribavlja mišljenja tijela iz članka 258. stavka 2. ovoga Zakona koja su sudjelovala u procjeni  značaja štete u okolišu te tijela iz </w:t>
      </w:r>
      <w:r>
        <w:rPr>
          <w:rFonts w:ascii="Arial" w:eastAsia="Arial" w:hAnsi="Arial" w:cs="Arial"/>
        </w:rPr>
        <w:t xml:space="preserve">članka 259. stavka 2. ovoga Zakona, koja su dužna dostaviti mišljenje u roku od 30 dana od zaprimanja zahtjeva za davanjem mišljenja. </w:t>
      </w:r>
    </w:p>
    <w:p>
      <w:pPr>
        <w:pBdr/>
        <w:pStyle w:val="Normal"/>
        <w:spacing/>
        <w:ind/>
        <w:rPr>
          <w:rFonts w:ascii="Arial" w:eastAsia="Arial" w:hAnsi="Arial" w:cs="Arial"/>
        </w:rPr>
      </w:pPr>
      <w:r>
        <w:rPr>
          <w:rFonts w:ascii="Arial" w:eastAsia="Arial" w:hAnsi="Arial" w:cs="Arial"/>
        </w:rPr>
        <w:t xml:space="preserve">(3) Prije davanja suglasnosti Ministarstvo omogućuje osobama iz članka 263. stavka 1. ovoga Zakona te osobama iz članka 267. ovoga Zakona na čijem će se zemljištu provoditi mjere otklanjanja da iznesu primjedbe na predložene mjere otklanjanja te ih uzima u obzir pri odlučivanju o davanju suglasnosti.</w:t>
      </w:r>
    </w:p>
    <w:p>
      <w:pPr>
        <w:pBdr/>
        <w:pStyle w:val="Normal"/>
        <w:spacing/>
        <w:ind/>
        <w:rPr>
          <w:rFonts w:ascii="Arial" w:eastAsia="Arial" w:hAnsi="Arial" w:cs="Arial"/>
        </w:rPr>
      </w:pPr>
      <w:r>
        <w:rPr>
          <w:rFonts w:ascii="Arial" w:eastAsia="Arial" w:hAnsi="Arial" w:cs="Arial"/>
        </w:rPr>
        <w:t xml:space="preserve">(4) Suglasnost iz stavka 1. ovoga članka je upravni akt protiv kojeg žalba nije dopuštena, ali se može pokrenuti upravni spor.</w:t>
      </w:r>
    </w:p>
    <w:p>
      <w:pPr>
        <w:pBdr/>
        <w:pStyle w:val="Normal"/>
        <w:spacing/>
        <w:ind/>
        <w:rPr>
          <w:rFonts w:ascii="Arial" w:eastAsia="Arial" w:hAnsi="Arial" w:cs="Arial"/>
        </w:rPr>
      </w:pPr>
      <w:r>
        <w:rPr>
          <w:rFonts w:ascii="Arial" w:eastAsia="Arial" w:hAnsi="Arial" w:cs="Arial"/>
        </w:rPr>
        <w:t xml:space="preserve">(5) Ministarstvo o izdanoj suglasnosti na sanacijski program informira javnost sukladno odredbama ovoga Zakona. </w:t>
      </w:r>
    </w:p>
    <w:p>
      <w:pPr>
        <w:pBdr/>
        <w:pStyle w:val="Normal"/>
        <w:spacing/>
        <w:ind/>
        <w:rPr>
          <w:rFonts w:ascii="Arial" w:eastAsia="Arial" w:hAnsi="Arial" w:cs="Arial"/>
          <w:color w:val="000000"/>
        </w:rPr>
      </w:pPr>
    </w:p>
    <w:p>
      <w:pPr>
        <w:pBdr/>
        <w:pStyle w:val="Heading 2"/>
        <w:spacing/>
        <w:ind/>
        <w:rPr/>
      </w:pPr>
      <w:r>
        <w:rPr/>
        <w:t xml:space="preserve">Provedba sanacije</w:t>
      </w:r>
    </w:p>
    <w:p>
      <w:pPr>
        <w:pBdr/>
        <w:pStyle w:val="Heading 2"/>
        <w:spacing/>
        <w:ind/>
        <w:rPr/>
      </w:pPr>
      <w:r>
        <w:rPr/>
        <w:t xml:space="preserve">Članak 262.</w:t>
      </w:r>
    </w:p>
    <w:p>
      <w:pPr>
        <w:pBdr/>
        <w:pStyle w:val="Normal"/>
        <w:spacing/>
        <w:ind/>
        <w:rPr>
          <w:rFonts w:ascii="Arial" w:eastAsia="Arial" w:hAnsi="Arial" w:cs="Arial"/>
        </w:rPr>
      </w:pPr>
      <w:r>
        <w:rPr>
          <w:rFonts w:ascii="Arial" w:eastAsia="Arial" w:hAnsi="Arial" w:cs="Arial"/>
        </w:rPr>
        <w:t xml:space="preserve">(1) Sanacija štete u okolišu provodi se u skladu sa sanacijskim programom na koji je Ministarstvo dalo suglasnost, u rokovima i na način utvrđen tim programom. </w:t>
      </w:r>
    </w:p>
    <w:p>
      <w:pPr>
        <w:pBdr/>
        <w:pStyle w:val="Normal"/>
        <w:spacing/>
        <w:ind/>
        <w:rPr>
          <w:rFonts w:ascii="Arial" w:eastAsia="Arial" w:hAnsi="Arial" w:cs="Arial"/>
        </w:rPr>
      </w:pPr>
      <w:r>
        <w:rPr>
          <w:rFonts w:ascii="Arial" w:eastAsia="Arial" w:hAnsi="Arial" w:cs="Arial"/>
        </w:rPr>
        <w:t xml:space="preserve">(2) Nadzor nad provedbom sanacijskog programa i sanacijom štete u okolišu provodi tijelo nadležno za inspekcijske poslove. </w:t>
      </w:r>
    </w:p>
    <w:p>
      <w:pPr>
        <w:pBdr/>
        <w:pStyle w:val="Normal"/>
        <w:spacing/>
        <w:ind/>
        <w:rPr>
          <w:rFonts w:ascii="Arial" w:eastAsia="Arial" w:hAnsi="Arial" w:cs="Arial"/>
        </w:rPr>
      </w:pPr>
    </w:p>
    <w:p>
      <w:pPr>
        <w:pBdr/>
        <w:pStyle w:val="Heading 2"/>
        <w:spacing/>
        <w:ind/>
        <w:rPr/>
      </w:pPr>
      <w:r>
        <w:rPr/>
        <w:t xml:space="preserve">Zahtjev za djelovanje</w:t>
      </w:r>
    </w:p>
    <w:p>
      <w:pPr>
        <w:pBdr/>
        <w:pStyle w:val="Heading 2"/>
        <w:spacing/>
        <w:ind/>
        <w:rPr/>
      </w:pPr>
      <w:r>
        <w:rPr/>
        <w:t xml:space="preserve">Članak 263.</w:t>
      </w:r>
    </w:p>
    <w:p>
      <w:pPr>
        <w:pBdr/>
        <w:pStyle w:val="Normal"/>
        <w:spacing/>
        <w:ind/>
        <w:rPr>
          <w:rFonts w:ascii="Arial" w:eastAsia="Arial" w:hAnsi="Arial" w:cs="Arial"/>
        </w:rPr>
      </w:pPr>
      <w:r>
        <w:rPr>
          <w:rFonts w:ascii="Arial" w:eastAsia="Arial" w:hAnsi="Arial" w:cs="Arial"/>
        </w:rPr>
        <w:t xml:space="preserve">(1) Javnost pogođena štetom u okolišu, uključujući zainteresiranu javnost, može tijelu nadležnom za inspekcijske poslove u području zaštite okoliša podnijeti zahtjev za djelovanje u vezi sa štetom u okolišu. </w:t>
      </w:r>
    </w:p>
    <w:p>
      <w:pPr>
        <w:pBdr/>
        <w:pStyle w:val="Normal"/>
        <w:spacing/>
        <w:ind/>
        <w:rPr>
          <w:rFonts w:ascii="Arial" w:eastAsia="Arial" w:hAnsi="Arial" w:cs="Arial"/>
        </w:rPr>
      </w:pPr>
      <w:r>
        <w:rPr>
          <w:rFonts w:ascii="Arial" w:eastAsia="Arial" w:hAnsi="Arial" w:cs="Arial"/>
        </w:rPr>
        <w:t xml:space="preserve">(2) Uz zahtjev iz stavka 1. ovoga članka prilažu se informacije i podaci kojima se potkrepljuju navodi o postojanju štete u okolišu. </w:t>
      </w:r>
    </w:p>
    <w:p>
      <w:pPr>
        <w:pBdr/>
        <w:pStyle w:val="Normal"/>
        <w:spacing/>
        <w:ind/>
        <w:rPr>
          <w:rFonts w:ascii="Arial" w:eastAsia="Arial" w:hAnsi="Arial" w:cs="Arial"/>
        </w:rPr>
      </w:pPr>
      <w:r>
        <w:rPr>
          <w:rFonts w:ascii="Arial" w:eastAsia="Arial" w:hAnsi="Arial" w:cs="Arial"/>
        </w:rPr>
        <w:t xml:space="preserve">(3) Ako zahtjev iz stavka 1. ovoga članka te priložene informacije i podaci vjerodostojno upućuju na postojanje štete u okolišu, tijelo nadležno za inspekcijske poslove u području zaštite okoliša koordinira postupanje po zahtjevu i omogućuje operateru da se o zahtjevu i priloženim informacijama i podacima očituje u roku od osam dana od dana zaprimanja poziva.</w:t>
      </w:r>
    </w:p>
    <w:p>
      <w:pPr>
        <w:pBdr/>
        <w:pStyle w:val="Normal"/>
        <w:spacing/>
        <w:ind/>
        <w:rPr>
          <w:rFonts w:ascii="Arial" w:eastAsia="Arial" w:hAnsi="Arial" w:cs="Arial"/>
        </w:rPr>
      </w:pPr>
      <w:r>
        <w:rPr>
          <w:rFonts w:ascii="Arial" w:eastAsia="Arial" w:hAnsi="Arial" w:cs="Arial"/>
        </w:rPr>
        <w:t xml:space="preserve">(4) Nakon razmatranja zahtjeva, priloženih informacija i podataka te očitovanja operatera, ako je dostavljeno, provodi se procjena značaja štete u okolišu u skladu sa člankom 258. stavkom 2. ovoga Zakona.</w:t>
      </w:r>
    </w:p>
    <w:p>
      <w:pPr>
        <w:pBdr/>
        <w:pStyle w:val="Normal"/>
        <w:spacing/>
        <w:ind/>
        <w:rPr>
          <w:rFonts w:ascii="Arial" w:eastAsia="Arial" w:hAnsi="Arial" w:cs="Arial"/>
        </w:rPr>
      </w:pPr>
      <w:r>
        <w:rPr>
          <w:rFonts w:ascii="Arial" w:eastAsia="Arial" w:hAnsi="Arial" w:cs="Arial"/>
        </w:rPr>
        <w:t xml:space="preserve">(5) O zahtjevu iz stavka 1. ovoga članka tijelo nadležno za inspekcijske poslove u području zaštite okoliša odlučuje rješenjem, a ako je utvrđeno postojanje štete u okolišu, nadležna tijela postupaju u skladu sa člancima 256. do 262. ovoga Zakona.</w:t>
      </w:r>
    </w:p>
    <w:p>
      <w:pPr>
        <w:pBdr/>
        <w:pStyle w:val="Normal"/>
        <w:spacing/>
        <w:ind/>
        <w:rPr>
          <w:rFonts w:ascii="Arial" w:eastAsia="Arial" w:hAnsi="Arial" w:cs="Arial"/>
        </w:rPr>
      </w:pPr>
      <w:r>
        <w:rPr>
          <w:rFonts w:ascii="Arial" w:eastAsia="Arial" w:hAnsi="Arial" w:cs="Arial"/>
        </w:rPr>
        <w:t xml:space="preserve">(6) Protiv rješenja iz stavka 5. ovoga članka žalba nije dopuštena, ali se može pokrenuti upravni spor.</w:t>
      </w:r>
    </w:p>
    <w:p>
      <w:pPr>
        <w:pBdr/>
        <w:pStyle w:val="Normal"/>
        <w:spacing/>
        <w:ind/>
        <w:rPr>
          <w:rFonts w:ascii="Arial" w:eastAsia="Arial" w:hAnsi="Arial" w:cs="Arial"/>
        </w:rPr>
      </w:pPr>
    </w:p>
    <w:p>
      <w:pPr>
        <w:pBdr/>
        <w:pStyle w:val="Heading 2"/>
        <w:spacing/>
        <w:ind/>
        <w:rPr/>
      </w:pPr>
      <w:r>
        <w:rPr/>
        <w:t xml:space="preserve">Obveza naknade troškova i štete</w:t>
      </w:r>
    </w:p>
    <w:p>
      <w:pPr>
        <w:pBdr/>
        <w:pStyle w:val="Heading 2"/>
        <w:spacing/>
        <w:ind/>
        <w:rPr/>
      </w:pPr>
      <w:r>
        <w:rPr/>
        <w:t xml:space="preserve">Članak 264.</w:t>
      </w:r>
    </w:p>
    <w:p>
      <w:pPr>
        <w:pBdr/>
        <w:pStyle w:val="Normal"/>
        <w:spacing w:before="72" w:after="72" w:line="276" w:lineRule="auto"/>
        <w:ind/>
        <w:rPr>
          <w:rFonts w:ascii="Arial" w:eastAsia="Arial" w:hAnsi="Arial" w:cs="Arial"/>
        </w:rPr>
      </w:pPr>
      <w:r>
        <w:rPr>
          <w:rFonts w:ascii="Arial" w:eastAsia="Arial" w:hAnsi="Arial" w:cs="Arial"/>
        </w:rPr>
        <w:t xml:space="preserve">(1) Operater odgovoran za štetu u okolišu ili prijeteću opasnost od štete dužan je snositi sve troškove nastale u vezi s utvrđivanjem i otklanjanjem štete u okolišu odnosno prijeteće opasnosti od štete, uključujući troškove: </w:t>
      </w:r>
    </w:p>
    <w:p>
      <w:pPr>
        <w:pBdr/>
        <w:pStyle w:val="Normal"/>
        <w:spacing/>
        <w:ind/>
        <w:rPr>
          <w:rFonts w:ascii="Arial" w:eastAsia="Arial" w:hAnsi="Arial" w:cs="Arial"/>
        </w:rPr>
      </w:pPr>
      <w:r>
        <w:rPr>
          <w:rFonts w:ascii="Arial" w:eastAsia="Arial" w:hAnsi="Arial" w:cs="Arial"/>
        </w:rPr>
        <w:t xml:space="preserve">- procjene štete i prijeteće opasnosti od štete</w:t>
      </w:r>
    </w:p>
    <w:p>
      <w:pPr>
        <w:pBdr/>
        <w:pStyle w:val="Normal"/>
        <w:spacing/>
        <w:ind/>
        <w:rPr>
          <w:rFonts w:ascii="Arial" w:eastAsia="Arial" w:hAnsi="Arial" w:cs="Arial"/>
        </w:rPr>
      </w:pPr>
      <w:r>
        <w:rPr>
          <w:rFonts w:ascii="Arial" w:eastAsia="Arial" w:hAnsi="Arial" w:cs="Arial"/>
        </w:rPr>
        <w:t xml:space="preserve">- prikupljanja podataka</w:t>
      </w:r>
    </w:p>
    <w:p>
      <w:pPr>
        <w:pBdr/>
        <w:pStyle w:val="Normal"/>
        <w:spacing/>
        <w:ind/>
        <w:rPr>
          <w:rFonts w:ascii="Arial" w:eastAsia="Arial" w:hAnsi="Arial" w:cs="Arial"/>
        </w:rPr>
      </w:pPr>
      <w:r>
        <w:rPr>
          <w:rFonts w:ascii="Arial" w:eastAsia="Arial" w:hAnsi="Arial" w:cs="Arial"/>
        </w:rPr>
        <w:t xml:space="preserve">- izrade sanacijskog programa i davanja suglasnosti na sanacijski program</w:t>
      </w:r>
    </w:p>
    <w:p>
      <w:pPr>
        <w:pBdr/>
        <w:pStyle w:val="Normal"/>
        <w:spacing/>
        <w:ind/>
        <w:rPr>
          <w:rFonts w:ascii="Arial" w:eastAsia="Arial" w:hAnsi="Arial" w:cs="Arial"/>
        </w:rPr>
      </w:pPr>
      <w:r>
        <w:rPr>
          <w:rFonts w:ascii="Arial" w:eastAsia="Arial" w:hAnsi="Arial" w:cs="Arial"/>
        </w:rPr>
        <w:t xml:space="preserve">- provedbe mjera sprječavanja</w:t>
      </w:r>
    </w:p>
    <w:p>
      <w:pPr>
        <w:pBdr/>
        <w:pStyle w:val="Normal"/>
        <w:spacing/>
        <w:ind/>
        <w:rPr>
          <w:rFonts w:ascii="Arial" w:eastAsia="Arial" w:hAnsi="Arial" w:cs="Arial"/>
        </w:rPr>
      </w:pPr>
      <w:r>
        <w:rPr>
          <w:rFonts w:ascii="Arial" w:eastAsia="Arial" w:hAnsi="Arial" w:cs="Arial"/>
        </w:rPr>
        <w:t xml:space="preserve">- provedbe mjera otklanjanja </w:t>
      </w:r>
    </w:p>
    <w:p>
      <w:pPr>
        <w:pBdr/>
        <w:pStyle w:val="Normal"/>
        <w:spacing/>
        <w:ind/>
        <w:rPr>
          <w:rFonts w:ascii="Arial" w:eastAsia="Arial" w:hAnsi="Arial" w:cs="Arial"/>
        </w:rPr>
      </w:pPr>
      <w:r>
        <w:rPr>
          <w:rFonts w:ascii="Arial" w:eastAsia="Arial" w:hAnsi="Arial" w:cs="Arial"/>
        </w:rPr>
        <w:t xml:space="preserve">- programa praćenja stanja okoliša nakon provedene sanacije</w:t>
      </w:r>
    </w:p>
    <w:p>
      <w:pPr>
        <w:pBdr/>
        <w:pStyle w:val="Normal"/>
        <w:spacing/>
        <w:ind/>
        <w:rPr>
          <w:rFonts w:ascii="Arial" w:eastAsia="Arial" w:hAnsi="Arial" w:cs="Arial"/>
        </w:rPr>
      </w:pPr>
      <w:r>
        <w:rPr>
          <w:rFonts w:ascii="Arial" w:eastAsia="Arial" w:hAnsi="Arial" w:cs="Arial"/>
        </w:rPr>
        <w:t xml:space="preserve">- nadzora nad provedbom mjera i programa praćenja.</w:t>
      </w:r>
    </w:p>
    <w:p>
      <w:pPr>
        <w:pBdr/>
        <w:pStyle w:val="Normal"/>
        <w:spacing w:before="72" w:after="72" w:line="276" w:lineRule="auto"/>
        <w:ind/>
        <w:rPr>
          <w:rFonts w:ascii="Arial" w:eastAsia="Arial" w:hAnsi="Arial" w:cs="Arial"/>
        </w:rPr>
      </w:pPr>
      <w:r>
        <w:rPr>
          <w:rFonts w:ascii="Arial" w:eastAsia="Arial" w:hAnsi="Arial" w:cs="Arial"/>
        </w:rPr>
        <w:t xml:space="preserve">(3) Ako se šteta u okolišu ne može otkloniti odgovarajućim mjerama, operater koji je prouzročio štetu dužan je nadoknaditi vrijednost uništenog prirodnog dobra.</w:t>
      </w:r>
    </w:p>
    <w:p>
      <w:pPr>
        <w:pBdr/>
        <w:pStyle w:val="Normal"/>
        <w:spacing w:before="72" w:after="72" w:line="276" w:lineRule="auto"/>
        <w:ind/>
        <w:rPr>
          <w:rFonts w:ascii="Arial" w:eastAsia="Arial" w:hAnsi="Arial" w:cs="Arial"/>
        </w:rPr>
      </w:pPr>
      <w:r>
        <w:rPr>
          <w:rFonts w:ascii="Arial" w:eastAsia="Arial" w:hAnsi="Arial" w:cs="Arial"/>
        </w:rPr>
        <w:t xml:space="preserve">(4) Visina naknade iz stavka 3. ovoga članka utvrđuje se prema približnoj ekonomskoj i ekološkoj vrijednosti uništenog prirodnog dobra.</w:t>
      </w:r>
    </w:p>
    <w:p>
      <w:pPr>
        <w:pBdr/>
        <w:pStyle w:val="Normal"/>
        <w:spacing w:before="72" w:after="72" w:line="276" w:lineRule="auto"/>
        <w:ind/>
        <w:rPr>
          <w:rFonts w:ascii="Arial" w:eastAsia="Arial" w:hAnsi="Arial" w:cs="Arial"/>
        </w:rPr>
      </w:pPr>
      <w:r>
        <w:rPr>
          <w:rFonts w:ascii="Arial" w:eastAsia="Arial" w:hAnsi="Arial" w:cs="Arial"/>
        </w:rPr>
        <w:t xml:space="preserve">(5) Ako se vrijednost iz stavka 3. ovoga članka ne može utvrditi primjenom odgovarajućih ekonomskih metoda, utvrđuje je nadležni sud uzimajući u obzir troškove potrebne za sanaciju, rizik koji djelatnost predstavlja za okoliš, stupanj odgovornosti operatera i korist ostvarenu nanošenjem štete u okolišu.</w:t>
      </w:r>
    </w:p>
    <w:p>
      <w:pPr>
        <w:pBdr/>
        <w:pStyle w:val="Normal"/>
        <w:spacing w:before="72" w:after="72" w:line="276" w:lineRule="auto"/>
        <w:ind/>
        <w:rPr>
          <w:rFonts w:ascii="Arial" w:eastAsia="Arial" w:hAnsi="Arial" w:cs="Arial"/>
        </w:rPr>
      </w:pPr>
    </w:p>
    <w:p>
      <w:pPr>
        <w:pBdr/>
        <w:pStyle w:val="Heading 2"/>
        <w:spacing/>
        <w:ind/>
        <w:rPr/>
      </w:pPr>
      <w:r>
        <w:rPr/>
        <w:t xml:space="preserve">Izuzeća od obveze naknade troškova</w:t>
      </w:r>
    </w:p>
    <w:p>
      <w:pPr>
        <w:pBdr/>
        <w:pStyle w:val="Heading 2"/>
        <w:spacing/>
        <w:ind/>
        <w:rPr/>
      </w:pPr>
      <w:r>
        <w:rPr/>
        <w:t xml:space="preserve">Članak 265.</w:t>
      </w:r>
    </w:p>
    <w:p>
      <w:pPr>
        <w:pBdr/>
        <w:pStyle w:val="Normal"/>
        <w:spacing/>
        <w:ind/>
        <w:rPr>
          <w:rFonts w:ascii="Arial" w:eastAsia="Arial" w:hAnsi="Arial" w:cs="Arial"/>
        </w:rPr>
      </w:pPr>
      <w:r>
        <w:rPr>
          <w:rFonts w:ascii="Arial" w:eastAsia="Arial" w:hAnsi="Arial" w:cs="Arial"/>
        </w:rPr>
        <w:t xml:space="preserve">(1) Operater nije dužan snositi troškove mjera sprječavanja ili otklanjanja štete u okolišu ako dokaže da je šteta u okolišu ili prijeteća opasnost od štete nastala:</w:t>
      </w:r>
    </w:p>
    <w:p>
      <w:pPr>
        <w:pBdr/>
        <w:pStyle w:val="Normal"/>
        <w:spacing/>
        <w:ind/>
        <w:rPr>
          <w:rFonts w:ascii="Arial" w:eastAsia="Arial" w:hAnsi="Arial" w:cs="Arial"/>
        </w:rPr>
      </w:pPr>
      <w:r>
        <w:rPr>
          <w:rFonts w:ascii="Arial" w:eastAsia="Arial" w:hAnsi="Arial" w:cs="Arial"/>
        </w:rPr>
        <w:t xml:space="preserve">– djelovanjem treće osobe unatoč tome što je poduzeo primjerene mjere sigurnosti</w:t>
      </w:r>
    </w:p>
    <w:p>
      <w:pPr>
        <w:pBdr/>
        <w:pStyle w:val="Normal"/>
        <w:spacing/>
        <w:ind/>
        <w:rPr>
          <w:rFonts w:ascii="Arial" w:eastAsia="Arial" w:hAnsi="Arial" w:cs="Arial"/>
        </w:rPr>
      </w:pPr>
      <w:r>
        <w:rPr>
          <w:rFonts w:ascii="Arial" w:eastAsia="Arial" w:hAnsi="Arial" w:cs="Arial"/>
        </w:rPr>
        <w:t xml:space="preserve">– postupanjem u skladu s obveznom odlukom ili uputom nadležnog tijela iz članka 253. stavka 4. ili članka 255. stavka 2. ovoga Zakona, osim odluke ili upute dane nakon emisije ili iznenadnog događaja prouzročenog vlastitom djelatnošću operatera.</w:t>
      </w:r>
    </w:p>
    <w:p>
      <w:pPr>
        <w:pBdr/>
        <w:pStyle w:val="Normal"/>
        <w:spacing/>
        <w:ind/>
        <w:rPr>
          <w:rFonts w:ascii="Arial" w:eastAsia="Arial" w:hAnsi="Arial" w:cs="Arial"/>
        </w:rPr>
      </w:pPr>
      <w:r>
        <w:rPr>
          <w:rFonts w:ascii="Arial" w:eastAsia="Arial" w:hAnsi="Arial" w:cs="Arial"/>
        </w:rPr>
        <w:t xml:space="preserve">(2) Operater nije dužan snositi troškove mjera otklanjanja štete u okolišu ako dokaže da nije postupao namjerno ili iz nepažnje te da je šteta nastala:</w:t>
      </w:r>
    </w:p>
    <w:p>
      <w:pPr>
        <w:pBdr/>
        <w:pStyle w:val="Normal"/>
        <w:spacing/>
        <w:ind/>
        <w:rPr>
          <w:rFonts w:ascii="Arial" w:eastAsia="Arial" w:hAnsi="Arial" w:cs="Arial"/>
        </w:rPr>
      </w:pPr>
      <w:r>
        <w:rPr>
          <w:rFonts w:ascii="Arial" w:eastAsia="Arial" w:hAnsi="Arial" w:cs="Arial"/>
        </w:rPr>
        <w:t xml:space="preserve">– emisijom ili događajem koji je izrijekom dopušten aktom izdanim na temelju propisa kojima se uređuje djelatnost iz uredbe iz članka 250. stavka 5. ovoga Zakona i koji je u cijelosti u skladu s uvjetima utvrđenima tim aktom</w:t>
      </w:r>
    </w:p>
    <w:p>
      <w:pPr>
        <w:pBdr/>
        <w:pStyle w:val="Normal"/>
        <w:spacing/>
        <w:ind/>
        <w:rPr>
          <w:rFonts w:ascii="Arial" w:eastAsia="Arial" w:hAnsi="Arial" w:cs="Arial"/>
        </w:rPr>
      </w:pPr>
      <w:r>
        <w:rPr>
          <w:rFonts w:ascii="Arial" w:eastAsia="Arial" w:hAnsi="Arial" w:cs="Arial"/>
        </w:rPr>
        <w:t xml:space="preserve">– emisijom, djelatnošću ili načinom korištenja proizvoda tijekom obavljanja djelatnosti za koje se, prema stanju znanstvenih i tehničkih saznanja u trenutku nastanka štete, nije smatralo vjerojatnim da će prouzročiti štetu u okolišu.</w:t>
      </w:r>
    </w:p>
    <w:p>
      <w:pPr>
        <w:pBdr/>
        <w:pStyle w:val="Normal"/>
        <w:spacing/>
        <w:ind/>
        <w:rPr>
          <w:rFonts w:ascii="Arial" w:eastAsia="Arial" w:hAnsi="Arial" w:cs="Arial"/>
        </w:rPr>
      </w:pPr>
      <w:r>
        <w:rPr>
          <w:rFonts w:ascii="Arial" w:eastAsia="Arial" w:hAnsi="Arial" w:cs="Arial"/>
        </w:rPr>
        <w:t xml:space="preserve">(3) U slučaju iz stavka 1. ovoga članka operater ima pravo na povrat troškova koje je snosio od treće osobe čijim je djelovanjem prouzročena šteta u okolišu odnosno od nadležnog tijela koje je donijelo obveznu odluku ili dalo uputu.</w:t>
      </w:r>
    </w:p>
    <w:p>
      <w:pPr>
        <w:pBdr/>
        <w:pStyle w:val="Normal"/>
        <w:spacing/>
        <w:ind/>
        <w:rPr>
          <w:rFonts w:ascii="Arial" w:eastAsia="Arial" w:hAnsi="Arial" w:cs="Arial"/>
        </w:rPr>
      </w:pPr>
      <w:r>
        <w:rPr>
          <w:rFonts w:ascii="Arial" w:eastAsia="Arial" w:hAnsi="Arial" w:cs="Arial"/>
        </w:rPr>
        <w:t xml:space="preserve">(4) Poduzimanje mjera sprječavanja ili mjere otklanjanja štete u okolišu od strane nadležnog tijela u skladu sa člancima 254. i 256. ovoga Zakona ne utječe na odgovornost operatera za prijeteću opasnost od štete ili štetu u okolišu.</w:t>
      </w:r>
    </w:p>
    <w:p>
      <w:pPr>
        <w:pBdr/>
        <w:pStyle w:val="Normal"/>
        <w:spacing/>
        <w:ind/>
        <w:rPr>
          <w:rFonts w:ascii="Arial" w:eastAsia="Arial" w:hAnsi="Arial" w:cs="Arial"/>
          <w:color w:val="000000"/>
        </w:rPr>
      </w:pPr>
    </w:p>
    <w:p>
      <w:pPr>
        <w:pBdr/>
        <w:pStyle w:val="Heading 2"/>
        <w:spacing/>
        <w:ind/>
        <w:rPr/>
      </w:pPr>
      <w:r>
        <w:rPr/>
        <w:t xml:space="preserve">Redoslijed otklanjanja šteta u okolišu</w:t>
      </w:r>
    </w:p>
    <w:p>
      <w:pPr>
        <w:pBdr/>
        <w:pStyle w:val="Heading 2"/>
        <w:spacing/>
        <w:ind/>
        <w:rPr/>
      </w:pPr>
      <w:r>
        <w:rPr/>
        <w:t xml:space="preserve">Članak 266.</w:t>
      </w:r>
    </w:p>
    <w:p>
      <w:pPr>
        <w:pBdr/>
        <w:pStyle w:val="Normal"/>
        <w:spacing/>
        <w:ind/>
        <w:rPr>
          <w:rFonts w:ascii="Arial" w:eastAsia="Arial" w:hAnsi="Arial" w:cs="Arial"/>
        </w:rPr>
      </w:pPr>
      <w:r>
        <w:rPr>
          <w:rFonts w:ascii="Arial" w:eastAsia="Arial" w:hAnsi="Arial" w:cs="Arial"/>
        </w:rPr>
        <w:t xml:space="preserve">(1) Ako se dogodi više šteta u okolišu okolišu, a nije moguće istodobno poduzeti potrebne mjere otklanjanja, Vlada odlukom utvrđuje redoslijed njihova otklanjanja. </w:t>
      </w:r>
    </w:p>
    <w:p>
      <w:pPr>
        <w:pBdr/>
        <w:pStyle w:val="Normal"/>
        <w:spacing/>
        <w:ind/>
        <w:rPr>
          <w:rFonts w:ascii="Arial" w:eastAsia="Arial" w:hAnsi="Arial" w:cs="Arial"/>
        </w:rPr>
      </w:pPr>
      <w:r>
        <w:rPr>
          <w:rFonts w:ascii="Arial" w:eastAsia="Arial" w:hAnsi="Arial" w:cs="Arial"/>
        </w:rPr>
        <w:t xml:space="preserve">(2) Pri utvrđivanju redoslijeda iz stavka 1. ovoga članka Vlada osobito uzima u obzir prirodu, opseg i značaj štete u okolišu, mogućnost prirodnog oporavka te rizik za zdravlje ljudi.</w:t>
      </w:r>
    </w:p>
    <w:p>
      <w:pPr>
        <w:pBdr/>
        <w:pStyle w:val="Normal"/>
        <w:spacing/>
        <w:ind/>
        <w:rPr>
          <w:rFonts w:ascii="Arial" w:eastAsia="Arial" w:hAnsi="Arial" w:cs="Arial"/>
          <w:i/>
          <w:iCs/>
          <w:color w:val="000000"/>
        </w:rPr>
      </w:pPr>
    </w:p>
    <w:p>
      <w:pPr>
        <w:pBdr/>
        <w:pStyle w:val="Heading 2"/>
        <w:spacing/>
        <w:ind/>
        <w:rPr/>
      </w:pPr>
      <w:r>
        <w:rPr/>
        <w:t xml:space="preserve">Obveze vlasnika i drugih posjednika zemljišta</w:t>
      </w:r>
    </w:p>
    <w:p>
      <w:pPr>
        <w:pBdr/>
        <w:pStyle w:val="Heading 2"/>
        <w:spacing/>
        <w:ind/>
        <w:rPr/>
      </w:pPr>
      <w:r>
        <w:rPr/>
        <w:t xml:space="preserve">Članak 267.</w:t>
      </w:r>
    </w:p>
    <w:p>
      <w:pPr>
        <w:pBdr/>
        <w:pStyle w:val="Normal"/>
        <w:spacing/>
        <w:ind/>
        <w:rPr>
          <w:rFonts w:ascii="Arial" w:eastAsia="Arial" w:hAnsi="Arial" w:cs="Arial"/>
        </w:rPr>
      </w:pPr>
      <w:r>
        <w:rPr>
          <w:rFonts w:ascii="Arial" w:eastAsia="Arial" w:hAnsi="Arial" w:cs="Arial"/>
        </w:rPr>
        <w:t xml:space="preserve">Vlasnik ili drugi posjednik zemljišta na kojemu prijeti opasnost od štete ili je nastala šteta u okolišu, kao i vlasnik ili drugi posjednik zemljišta koje je potrebno za provedbu mjera iz članaka 253., 254., 255., 256. i 222. ovoga Zakona, dužan je omogućiti provedbu tih mjera. </w:t>
      </w:r>
    </w:p>
    <w:p>
      <w:pPr>
        <w:pBdr/>
        <w:pStyle w:val="Normal"/>
        <w:spacing/>
        <w:ind/>
        <w:rPr>
          <w:rFonts w:ascii="Arial" w:eastAsia="Arial" w:hAnsi="Arial" w:cs="Arial"/>
        </w:rPr>
      </w:pPr>
    </w:p>
    <w:p>
      <w:pPr>
        <w:pBdr/>
        <w:pStyle w:val="Heading 2"/>
        <w:spacing/>
        <w:ind/>
        <w:rPr/>
      </w:pPr>
      <w:r>
        <w:rPr/>
        <w:t xml:space="preserve">Provedba sanacijskog programa putem treće osobe</w:t>
      </w:r>
    </w:p>
    <w:p>
      <w:pPr>
        <w:pBdr/>
        <w:pStyle w:val="Heading 2"/>
        <w:spacing/>
        <w:ind/>
        <w:rPr/>
      </w:pPr>
      <w:r>
        <w:rPr/>
        <w:t xml:space="preserve">Članak 268.</w:t>
      </w:r>
    </w:p>
    <w:p>
      <w:pPr>
        <w:pBdr/>
        <w:pStyle w:val="Normal"/>
        <w:spacing/>
        <w:ind/>
        <w:rPr>
          <w:rFonts w:ascii="Arial" w:eastAsia="Arial" w:hAnsi="Arial" w:cs="Arial"/>
          <w:color w:val="000000"/>
        </w:rPr>
      </w:pPr>
      <w:r>
        <w:rPr>
          <w:rFonts w:ascii="Arial" w:eastAsia="Arial" w:hAnsi="Arial" w:cs="Arial"/>
        </w:rPr>
        <w:t xml:space="preserve">(1) Ako operater ne provede sanaciju štete u okolišu u skladu sa  sanacijskim programom na koji je Ministarstvo dalo suglasnost, Fond za zaštitu okoliša i energetsku učinkovitost osigurava provedbu sanacijskog programa putem treće osobe, na trošak operatera. </w:t>
      </w:r>
    </w:p>
    <w:p>
      <w:pPr>
        <w:pBdr/>
        <w:pStyle w:val="Normal"/>
        <w:spacing/>
        <w:ind/>
        <w:rPr>
          <w:rFonts w:ascii="Arial" w:eastAsia="Arial" w:hAnsi="Arial" w:cs="Arial"/>
          <w:color w:val="000000"/>
        </w:rPr>
      </w:pPr>
      <w:r>
        <w:rPr>
          <w:rFonts w:ascii="Arial" w:eastAsia="Arial" w:hAnsi="Arial" w:cs="Arial"/>
        </w:rPr>
        <w:t xml:space="preserve">(2) U slučaju iz stavka 1. ovoga članka Republika Hrvatska ima pravo na naknadu svih troškova provedene sanacijskog programa te radi osiguranja njihove naplate stječe zakonsko založno pravo na nekretninama i pokretninama operatera. </w:t>
      </w:r>
    </w:p>
    <w:p>
      <w:pPr>
        <w:pBdr/>
        <w:pStyle w:val="Normal"/>
        <w:spacing/>
        <w:ind/>
        <w:rPr>
          <w:rFonts w:ascii="Arial" w:eastAsia="Arial" w:hAnsi="Arial" w:cs="Arial"/>
          <w:color w:val="000000"/>
        </w:rPr>
      </w:pPr>
      <w:r>
        <w:rPr>
          <w:rFonts w:ascii="Arial" w:eastAsia="Arial" w:hAnsi="Arial" w:cs="Arial"/>
        </w:rPr>
        <w:t xml:space="preserve">(3) Nadležni zemljišnoknjižni sud provest će u korist Republike Hrvatske uknjižbu založnog prava na nekretninama iz stavka 2. ovoga članka.</w:t>
      </w:r>
    </w:p>
    <w:p>
      <w:pPr>
        <w:pBdr/>
        <w:pStyle w:val="Normal"/>
        <w:spacing/>
        <w:ind/>
        <w:rPr>
          <w:rFonts w:ascii="Arial" w:eastAsia="Arial" w:hAnsi="Arial" w:cs="Arial"/>
        </w:rPr>
      </w:pPr>
      <w:r>
        <w:rPr>
          <w:rFonts w:ascii="Arial" w:eastAsia="Arial" w:hAnsi="Arial" w:cs="Arial"/>
        </w:rPr>
        <w:t xml:space="preserve">(4) Odredbe ovoga članka primjenjuju se i na operatera nad kojim se provodi stečajni postupak ili postupak likvidacije, a troškovi provedbe sanacije smatraju se troškovima stečajnog postupka. </w:t>
      </w:r>
    </w:p>
    <w:p>
      <w:pPr>
        <w:pBdr/>
        <w:pStyle w:val="Normal"/>
        <w:spacing/>
        <w:ind/>
        <w:rPr>
          <w:rFonts w:ascii="Arial" w:eastAsia="Arial" w:hAnsi="Arial" w:cs="Arial"/>
          <w:color w:val="000000"/>
        </w:rPr>
      </w:pPr>
      <w:r>
        <w:rPr>
          <w:rFonts w:ascii="Arial" w:eastAsia="Arial" w:hAnsi="Arial" w:cs="Arial"/>
        </w:rPr>
        <w:t xml:space="preserve">(5) Ako se operater koji je prouzročio štetu u okolišu ne može utvrditi, provedbu odobrenog sanacijskog programa putem treće osobe osigurava tijelo koje je sukladno članku 259. stavku 2. ovoga Zakona osiguralo njegovu izradu.</w:t>
      </w:r>
    </w:p>
    <w:p>
      <w:pPr>
        <w:pBdr/>
        <w:pStyle w:val="Normal"/>
        <w:spacing/>
        <w:ind/>
        <w:rPr>
          <w:rFonts w:ascii="Arial" w:eastAsia="Arial" w:hAnsi="Arial" w:cs="Arial"/>
          <w:color w:val="000000"/>
        </w:rPr>
      </w:pPr>
    </w:p>
    <w:p>
      <w:pPr>
        <w:pBdr/>
        <w:pStyle w:val="Heading 2"/>
        <w:spacing/>
        <w:ind/>
        <w:rPr/>
      </w:pPr>
      <w:r>
        <w:rPr/>
        <w:t xml:space="preserve">Tužba za naknadu troškova i štete</w:t>
      </w:r>
    </w:p>
    <w:p>
      <w:pPr>
        <w:pBdr/>
        <w:pStyle w:val="Heading 2"/>
        <w:spacing/>
        <w:ind/>
        <w:rPr/>
      </w:pPr>
      <w:r>
        <w:rPr/>
        <w:t xml:space="preserve">Članak 269.</w:t>
      </w:r>
    </w:p>
    <w:p>
      <w:pPr>
        <w:pBdr/>
        <w:pStyle w:val="Normal"/>
        <w:spacing/>
        <w:ind/>
        <w:rPr>
          <w:rFonts w:ascii="Arial" w:eastAsia="Arial" w:hAnsi="Arial" w:cs="Arial"/>
          <w:color w:val="000000"/>
        </w:rPr>
      </w:pPr>
      <w:r>
        <w:rPr>
          <w:rFonts w:ascii="Arial" w:eastAsia="Arial" w:hAnsi="Arial" w:cs="Arial"/>
        </w:rPr>
        <w:t xml:space="preserve">Tužbu za naknadu troškova nastalih u vezi s poduzimanjem mjera sprječavanja i otklanjanja štete u okolišu u skladu s ovim Zakonom podnosi Republika Hrvatska nadležnom sudu.</w:t>
      </w:r>
    </w:p>
    <w:p>
      <w:pPr>
        <w:pBdr/>
        <w:pStyle w:val="Normal"/>
        <w:spacing/>
        <w:ind/>
        <w:rPr>
          <w:rFonts w:ascii="Arial" w:eastAsia="Arial" w:hAnsi="Arial" w:cs="Arial"/>
          <w:color w:val="000000"/>
        </w:rPr>
      </w:pPr>
    </w:p>
    <w:p>
      <w:pPr>
        <w:pBdr/>
        <w:pStyle w:val="Heading 2"/>
        <w:spacing/>
        <w:ind/>
        <w:rPr/>
      </w:pPr>
      <w:r>
        <w:rPr/>
        <w:t xml:space="preserve">Naknada štete fizičkim i pravnim osobama</w:t>
      </w:r>
    </w:p>
    <w:p>
      <w:pPr>
        <w:pBdr/>
        <w:pStyle w:val="Heading 2"/>
        <w:spacing/>
        <w:ind/>
        <w:rPr/>
      </w:pPr>
      <w:r>
        <w:rPr/>
        <w:t xml:space="preserve">Članak 270.</w:t>
      </w:r>
    </w:p>
    <w:p>
      <w:pPr>
        <w:pBdr/>
        <w:pStyle w:val="Normal"/>
        <w:spacing w:before="72" w:after="72" w:line="276" w:lineRule="auto"/>
        <w:ind/>
        <w:rPr>
          <w:rFonts w:ascii="Arial" w:eastAsia="Arial" w:hAnsi="Arial" w:cs="Arial"/>
          <w:color w:val="000000"/>
        </w:rPr>
      </w:pPr>
      <w:r>
        <w:rPr>
          <w:rFonts w:ascii="Arial" w:eastAsia="Arial" w:hAnsi="Arial" w:cs="Arial"/>
          <w:color w:val="000000"/>
        </w:rPr>
        <w:t xml:space="preserve">Naknada štete koju fizičke ili pravne osobe pretrpe zbog štete u okolišu, uključujući štetu na njihovoj imovini i gospodarski gubitak, ostvaruje se u skladu s propisom kojim se uređuju obvezni odnosi. </w:t>
      </w:r>
    </w:p>
    <w:p>
      <w:pPr>
        <w:pBdr/>
        <w:pStyle w:val="Normal"/>
        <w:spacing w:before="72" w:after="72"/>
        <w:ind/>
        <w:rPr>
          <w:rFonts w:ascii="Arial" w:eastAsia="Arial" w:hAnsi="Arial" w:cs="Arial"/>
          <w:color w:val="000000"/>
        </w:rPr>
      </w:pPr>
    </w:p>
    <w:p>
      <w:pPr>
        <w:pBdr/>
        <w:pStyle w:val="Heading 2"/>
        <w:spacing/>
        <w:ind/>
        <w:rPr/>
      </w:pPr>
      <w:r>
        <w:rPr/>
        <w:t xml:space="preserve">Rok za naplatu troškova</w:t>
      </w:r>
    </w:p>
    <w:p>
      <w:pPr>
        <w:pBdr/>
        <w:pStyle w:val="Heading 2"/>
        <w:spacing/>
        <w:ind/>
        <w:rPr/>
      </w:pPr>
      <w:r>
        <w:rPr/>
        <w:t xml:space="preserve">Članak 271.</w:t>
      </w:r>
    </w:p>
    <w:p>
      <w:pPr>
        <w:pBdr/>
        <w:pStyle w:val="Normal"/>
        <w:spacing/>
        <w:ind/>
        <w:rPr>
          <w:rFonts w:ascii="Arial" w:eastAsia="Arial" w:hAnsi="Arial" w:cs="Arial"/>
          <w:color w:val="000000"/>
        </w:rPr>
      </w:pPr>
      <w:r>
        <w:rPr>
          <w:rFonts w:ascii="Arial" w:eastAsia="Arial" w:hAnsi="Arial" w:cs="Arial"/>
        </w:rPr>
        <w:t xml:space="preserve">Nadležno tijelo može pokrenuti postupak za naplatu troškova mjera poduzetih na temelju ovoga Zakona od operatera ili treće osobe koja je prouzročila štetu u okolišu ili prijeteću opasnost od štete u roku pet godina od dana kada su te mjere provedene ili je utvrđen odgovorni operater odnosno treća osoba, ovisno o tome što nastupi kasnije.  </w:t>
      </w:r>
    </w:p>
    <w:p>
      <w:pPr>
        <w:pBdr/>
        <w:pStyle w:val="Normal"/>
        <w:spacing/>
        <w:ind/>
        <w:rPr>
          <w:rFonts w:ascii="Arial" w:eastAsia="Arial" w:hAnsi="Arial" w:cs="Arial"/>
          <w:i/>
          <w:iCs/>
        </w:rPr>
      </w:pPr>
    </w:p>
    <w:p>
      <w:pPr>
        <w:pBdr/>
        <w:pStyle w:val="Heading 2"/>
        <w:spacing/>
        <w:ind/>
        <w:rPr/>
      </w:pPr>
      <w:r>
        <w:rPr/>
        <w:t xml:space="preserve">Osiguranje sredstava za naknadu troškova štete</w:t>
      </w:r>
    </w:p>
    <w:p>
      <w:pPr>
        <w:pBdr/>
        <w:pStyle w:val="Heading 2"/>
        <w:spacing/>
        <w:ind/>
        <w:rPr/>
      </w:pPr>
      <w:r>
        <w:rPr/>
        <w:t xml:space="preserve">Članak 272.</w:t>
      </w:r>
    </w:p>
    <w:p>
      <w:pPr>
        <w:pBdr/>
        <w:pStyle w:val="Normal"/>
        <w:spacing/>
        <w:ind/>
        <w:rPr>
          <w:rFonts w:ascii="Arial" w:eastAsia="Arial" w:hAnsi="Arial" w:cs="Arial"/>
        </w:rPr>
      </w:pPr>
      <w:r>
        <w:rPr>
          <w:rFonts w:ascii="Arial" w:eastAsia="Arial" w:hAnsi="Arial" w:cs="Arial"/>
        </w:rPr>
        <w:t xml:space="preserve">(1) Operater je je dužan osiguranjem kod osiguravatelja ili na drugi primjeren način u skladu sa zakonom osigurati sredstva za naknadu troškova nastalih u vezi poduzimanja mjera sprječavanja i otklanjanja  štete u okolišu. </w:t>
      </w:r>
    </w:p>
    <w:p>
      <w:pPr>
        <w:pBdr/>
        <w:pStyle w:val="Normal"/>
        <w:spacing/>
        <w:ind/>
        <w:rPr>
          <w:rFonts w:ascii="Arial" w:eastAsia="Arial" w:hAnsi="Arial" w:cs="Arial"/>
          <w:color w:val="231F20"/>
        </w:rPr>
      </w:pPr>
      <w:r>
        <w:rPr>
          <w:rFonts w:ascii="Arial" w:eastAsia="Arial" w:hAnsi="Arial" w:cs="Arial"/>
        </w:rPr>
        <w:t xml:space="preserve">(2) Ako operater nije osigurao sredstva za podmirenje troškova iz stavka 1. ovoga članka, </w:t>
      </w:r>
      <w:r>
        <w:rPr>
          <w:rFonts w:ascii="Arial" w:eastAsia="Arial" w:hAnsi="Arial" w:cs="Arial"/>
          <w:color w:val="231F20"/>
        </w:rPr>
        <w:t xml:space="preserve">tijelo nadležno za određivanje mjera sprječavanja i/ili otklanjanja štete u okolišu može rješenjem naložiti operateru davanje odgovarajućeg osiguranja za naknadu nastalih troškova.  </w:t>
      </w:r>
    </w:p>
    <w:p>
      <w:pPr>
        <w:pBdr/>
        <w:pStyle w:val="Normal"/>
        <w:spacing/>
        <w:ind/>
        <w:rPr>
          <w:rFonts w:ascii="Arial" w:eastAsia="Arial" w:hAnsi="Arial" w:cs="Arial"/>
          <w:color w:val="000000"/>
        </w:rPr>
      </w:pPr>
      <w:r>
        <w:rPr>
          <w:rFonts w:ascii="Arial" w:eastAsia="Arial" w:hAnsi="Arial" w:cs="Arial"/>
          <w:color w:val="231F20"/>
        </w:rPr>
        <w:t xml:space="preserve">(3) Tijelo iz stavka 2. ovoga članka može djelomično ili u cijelosti odustati od naplate troškova ako bi troškovi njihove naplate bili veći od iznosa koji se može naplatiti ili ako se operater ne može utvrditi. </w:t>
      </w:r>
    </w:p>
    <w:p>
      <w:pPr>
        <w:pBdr/>
        <w:pStyle w:val="Normal"/>
        <w:spacing/>
        <w:ind/>
        <w:rPr>
          <w:rFonts w:ascii="Arial" w:eastAsia="Arial" w:hAnsi="Arial" w:cs="Arial"/>
          <w:color w:val="231F20"/>
        </w:rPr>
      </w:pPr>
      <w:r>
        <w:rPr>
          <w:rFonts w:ascii="Arial" w:eastAsia="Arial" w:hAnsi="Arial" w:cs="Arial"/>
          <w:color w:val="231F20"/>
        </w:rPr>
        <w:t xml:space="preserve">(4) Posebnim propisima kojima se uređuju pojedine djelatnosti mogu se propisati dodatni oblici osiguranja od odgovornosti za štetu u okolišu. </w:t>
      </w:r>
    </w:p>
    <w:p>
      <w:pPr>
        <w:pBdr/>
        <w:pStyle w:val="Normal"/>
        <w:spacing/>
        <w:ind/>
        <w:rPr>
          <w:rFonts w:ascii="Arial" w:eastAsia="Arial" w:hAnsi="Arial" w:cs="Arial"/>
          <w:i/>
          <w:iCs/>
          <w:color w:val="000000"/>
        </w:rPr>
      </w:pPr>
    </w:p>
    <w:p>
      <w:pPr>
        <w:pBdr/>
        <w:pStyle w:val="Heading 2"/>
        <w:spacing/>
        <w:ind/>
        <w:rPr/>
      </w:pPr>
      <w:r>
        <w:rPr/>
        <w:t xml:space="preserve">Suradnja s drugim državama članicama Europske unije</w:t>
      </w:r>
    </w:p>
    <w:p>
      <w:pPr>
        <w:pBdr/>
        <w:pStyle w:val="Heading 2"/>
        <w:spacing/>
        <w:ind/>
        <w:rPr/>
      </w:pPr>
      <w:r>
        <w:rPr/>
        <w:t xml:space="preserve">Članak 273.</w:t>
      </w:r>
    </w:p>
    <w:p>
      <w:pPr>
        <w:pBdr/>
        <w:pStyle w:val="Normal"/>
        <w:spacing/>
        <w:ind/>
        <w:rPr>
          <w:rFonts w:ascii="Arial" w:eastAsia="Arial" w:hAnsi="Arial" w:cs="Arial"/>
          <w:color w:val="000000"/>
        </w:rPr>
      </w:pPr>
      <w:r>
        <w:rPr>
          <w:rFonts w:ascii="Arial" w:eastAsia="Arial" w:hAnsi="Arial" w:cs="Arial"/>
        </w:rPr>
        <w:t xml:space="preserve">(1) Ako je štetom u okolišu pogođeno ili bi moglo biti pogođeno područje Republike Hrvatske i jedne ili više država članica Europske unije, Ministarstvo surađuje s nadležnim tijelima tih država članica, uključujući odgovarajuću razmjenu informacija, radi osiguranja poduzimanja potrebnih mjera sprječavanja i, prema potrebi, mjera otklanjanja štete u okolišu.</w:t>
      </w:r>
    </w:p>
    <w:p>
      <w:pPr>
        <w:pBdr/>
        <w:pStyle w:val="Normal"/>
        <w:spacing/>
        <w:ind/>
        <w:rPr>
          <w:rFonts w:ascii="Arial" w:eastAsia="Arial" w:hAnsi="Arial" w:cs="Arial"/>
          <w:b/>
        </w:rPr>
      </w:pPr>
      <w:r>
        <w:rPr>
          <w:rFonts w:ascii="Arial" w:eastAsia="Arial" w:hAnsi="Arial" w:cs="Arial"/>
          <w:color w:val="000000"/>
        </w:rPr>
        <w:t xml:space="preserve">(2) Ako šteta u okolišu nastala na području Republike Hrvatske može prouzročiti štetu u okolišu u drugoj državi članici Europske unije, Ministarstvo putem tijela nadležnog za vanjske i europske poslove osigurava dostavu potrebnih informacija </w:t>
      </w:r>
      <w:r>
        <w:rPr>
          <w:rFonts w:ascii="Arial" w:eastAsia="Arial" w:hAnsi="Arial" w:cs="Arial"/>
        </w:rPr>
        <w:t xml:space="preserve">državama članicama koje bi mogle biti pogođene</w:t>
      </w:r>
      <w:r>
        <w:rPr>
          <w:rFonts w:ascii="Arial" w:eastAsia="Arial" w:hAnsi="Arial" w:cs="Arial"/>
          <w:color w:val="000000"/>
        </w:rPr>
        <w:t xml:space="preserve">.</w:t>
      </w:r>
    </w:p>
    <w:p>
      <w:pPr>
        <w:pBdr/>
        <w:pStyle w:val="Normal"/>
        <w:spacing/>
        <w:ind/>
        <w:rPr>
          <w:rFonts w:ascii="Arial" w:eastAsia="Arial" w:hAnsi="Arial" w:cs="Arial"/>
        </w:rPr>
      </w:pPr>
      <w:r>
        <w:rPr>
          <w:rFonts w:ascii="Arial" w:eastAsia="Arial" w:hAnsi="Arial" w:cs="Arial"/>
          <w:color w:val="000000"/>
        </w:rPr>
        <w:t xml:space="preserve">(3) Ako se na području Republike Hrvatske utvrdi šteta u okolišu čiji se uzrok nalazi izvan njezina područja, Ministarstvo putem tijela nadležnog za vanjske i europske poslove o tome obavještava Europsku komisiju i zainteresirane države članice Europske unije. </w:t>
      </w:r>
    </w:p>
    <w:p>
      <w:pPr>
        <w:pBdr/>
        <w:pStyle w:val="Normal"/>
        <w:spacing/>
        <w:ind/>
        <w:rPr>
          <w:rFonts w:ascii="Arial" w:eastAsia="Arial" w:hAnsi="Arial" w:cs="Arial"/>
          <w:color w:val="000000"/>
        </w:rPr>
      </w:pPr>
      <w:r>
        <w:rPr>
          <w:rFonts w:ascii="Arial" w:eastAsia="Arial" w:hAnsi="Arial" w:cs="Arial"/>
          <w:color w:val="000000"/>
        </w:rPr>
        <w:t xml:space="preserve">(4) U slučaju iz stavka 3. ovoga članka, Ministarstvo odnosno drugo nadležno tijelo za pojedine sastavnice okoliša može nadležnom tijelu države članice na čijem se području nalazi uzrok štete dati preporuke za poduzimanje mjera sprječavanja ili otklanjanje štete te zatražiti naknadu troškova nastalih u vezi s poduzimanjem tih mjera. </w:t>
      </w:r>
      <w:r>
        <w:rPr>
          <w:rFonts w:ascii="Arial" w:eastAsia="Arial" w:hAnsi="Arial" w:cs="Arial"/>
          <w:b/>
          <w:bCs/>
        </w:rPr>
        <w:t xml:space="preserve"> </w:t>
      </w:r>
    </w:p>
    <w:p>
      <w:pPr>
        <w:pBdr/>
        <w:pStyle w:val="Normal"/>
        <w:spacing/>
        <w:ind/>
        <w:rPr>
          <w:rFonts w:ascii="Arial" w:eastAsia="Arial" w:hAnsi="Arial" w:cs="Arial"/>
          <w:color w:val="414145"/>
          <w:highlight w:val="red"/>
        </w:rPr>
      </w:pPr>
    </w:p>
    <w:p>
      <w:pPr>
        <w:pBdr/>
        <w:pStyle w:val="Heading 2"/>
        <w:spacing/>
        <w:ind/>
        <w:rPr/>
      </w:pPr>
      <w:r>
        <w:rPr/>
        <w:t xml:space="preserve">Podaci o šteti u okolišu</w:t>
      </w:r>
    </w:p>
    <w:p>
      <w:pPr>
        <w:pBdr/>
        <w:pStyle w:val="Heading 2"/>
        <w:spacing/>
        <w:ind/>
        <w:rPr/>
      </w:pPr>
      <w:r>
        <w:rPr/>
        <w:t xml:space="preserve">Članak 274.</w:t>
      </w:r>
    </w:p>
    <w:p>
      <w:pPr>
        <w:pBdr/>
        <w:pStyle w:val="Normal"/>
        <w:spacing/>
        <w:ind/>
        <w:rPr>
          <w:rFonts w:ascii="Arial" w:eastAsia="Arial" w:hAnsi="Arial" w:cs="Arial"/>
        </w:rPr>
      </w:pPr>
      <w:r>
        <w:rPr>
          <w:rFonts w:ascii="Arial" w:eastAsia="Arial" w:hAnsi="Arial" w:cs="Arial"/>
        </w:rPr>
        <w:t xml:space="preserve">Ministarstvo prikuplja podatke o slučajevima štete u okolišu na način propisan uredbom iz članka 250. stavka 5. ovoga Zakona.  </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DIO DVANAESTI FINANCIRANJE ZAŠTITE OKOLIŠA</w:t>
      </w:r>
    </w:p>
    <w:p>
      <w:pPr>
        <w:pBdr/>
        <w:pStyle w:val="Heading 2"/>
        <w:spacing/>
        <w:ind/>
        <w:rPr/>
      </w:pPr>
      <w:r>
        <w:rPr/>
        <w:t xml:space="preserve">Članak 275.</w:t>
      </w:r>
    </w:p>
    <w:p>
      <w:pPr>
        <w:pBdr/>
        <w:pStyle w:val="Normal"/>
        <w:spacing/>
        <w:ind/>
        <w:rPr>
          <w:rFonts w:ascii="Arial" w:eastAsia="Arial" w:hAnsi="Arial" w:cs="Arial"/>
          <w:highlight w:val="yellow"/>
        </w:rPr>
      </w:pPr>
      <w:r>
        <w:rPr>
          <w:rFonts w:ascii="Arial" w:eastAsia="Arial" w:hAnsi="Arial" w:cs="Arial"/>
        </w:rPr>
        <w:t xml:space="preserve">(1) Sredstva za financiranje zaštite okoliša osiguravaju se u državnom proračunu, proračunima jedinice lokalne samouprave i jedinice područne (regionalne) samouprave, Fondu za zaštitu okoliša i energetsku učinkovitost te iz drugih izvora sukladno odredbama ovoga Zakona.</w:t>
      </w:r>
    </w:p>
    <w:p>
      <w:pPr>
        <w:pBdr/>
        <w:pStyle w:val="Normal"/>
        <w:spacing/>
        <w:ind/>
        <w:rPr>
          <w:rFonts w:ascii="Arial" w:eastAsia="Arial" w:hAnsi="Arial" w:cs="Arial"/>
        </w:rPr>
      </w:pPr>
      <w:r>
        <w:rPr>
          <w:rFonts w:ascii="Arial" w:eastAsia="Arial" w:hAnsi="Arial" w:cs="Arial"/>
        </w:rPr>
        <w:t xml:space="preserve">(2) Sredstva za financiranje zaštite okoliša mogu se osigurati i iz privatnih izvora putem koncesija, javno-</w:t>
      </w:r>
      <w:r>
        <w:rPr>
          <w:rFonts w:ascii="Arial" w:eastAsia="Arial" w:hAnsi="Arial" w:cs="Arial"/>
        </w:rPr>
        <w:t xml:space="preserve">privatnog partnerstva i drugih odgovarajućih modela financiranja sukladno posebnim propisima kojima se uređuju koncesije, javno-</w:t>
      </w:r>
      <w:r>
        <w:rPr>
          <w:rFonts w:ascii="Arial" w:eastAsia="Arial" w:hAnsi="Arial" w:cs="Arial"/>
        </w:rPr>
        <w:t xml:space="preserve">privatno partnerstvo te tržište financijskih usluga.</w:t>
      </w:r>
    </w:p>
    <w:p>
      <w:pPr>
        <w:pBdr/>
        <w:pStyle w:val="Normal"/>
        <w:spacing/>
        <w:ind/>
        <w:rPr>
          <w:rFonts w:ascii="Arial" w:eastAsia="Arial" w:hAnsi="Arial" w:cs="Arial"/>
        </w:rPr>
      </w:pPr>
      <w:r>
        <w:rPr>
          <w:rFonts w:ascii="Arial" w:eastAsia="Arial" w:hAnsi="Arial" w:cs="Arial"/>
        </w:rPr>
        <w:t xml:space="preserve">(3) Programi zaštite okoliša mogu se financirati i donacijama, kreditima, sredstvima međunarodne pomoći, sredstvima stranih ulaganja namijenjenih zaštiti okoliša, drugim sredstvima osiguranim sukladno posebnim propisima kojima se uređuje financijsko poslovanje te sredstvima iz instrumenata, programa i fondova Europske unije, Ujedinjenih naroda i međunarodnih organizacija.</w:t>
      </w:r>
    </w:p>
    <w:p>
      <w:pPr>
        <w:pBdr/>
        <w:pStyle w:val="Normal"/>
        <w:spacing/>
        <w:ind/>
        <w:rPr>
          <w:rFonts w:ascii="Arial" w:eastAsia="Arial" w:hAnsi="Arial" w:cs="Arial"/>
        </w:rPr>
      </w:pPr>
      <w:r>
        <w:rPr>
          <w:rFonts w:ascii="Arial" w:eastAsia="Arial" w:hAnsi="Arial" w:cs="Arial"/>
        </w:rPr>
        <w:t xml:space="preserve">(4) Sredstva za financiranje zaštite okoliša koriste se za očuvanje, zaštitu i unapređenje stanja okoliša u skladu sa strategijama i programima.</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DIO TRINAESTI ELEMENTI OPĆE POLITIKE ZAŠTITE OKOLIŠA</w:t>
      </w:r>
    </w:p>
    <w:p>
      <w:pPr>
        <w:pBdr/>
        <w:pStyle w:val="Heading 1"/>
        <w:spacing/>
        <w:ind/>
        <w:rPr>
          <w:rFonts w:ascii="Arial" w:eastAsia="Arial" w:hAnsi="Arial" w:cs="Arial"/>
          <w:szCs w:val="24"/>
        </w:rPr>
      </w:pPr>
      <w:r>
        <w:rPr>
          <w:rFonts w:ascii="Arial" w:eastAsia="Arial" w:hAnsi="Arial" w:cs="Arial"/>
          <w:szCs w:val="24"/>
        </w:rPr>
        <w:t xml:space="preserve">GLAVA I. </w:t>
      </w:r>
      <w:bookmarkStart w:name="_Toc425679441" w:id="21"/>
      <w:bookmarkStart w:name="_Toc237275926" w:id="22"/>
      <w:r>
        <w:rPr>
          <w:rFonts w:ascii="Arial" w:eastAsia="Arial" w:hAnsi="Arial" w:cs="Arial"/>
          <w:szCs w:val="24"/>
        </w:rPr>
        <w:t xml:space="preserve">EMAS</w:t>
      </w:r>
      <w:bookmarkEnd w:id="21"/>
      <w:bookmarkEnd w:id="22"/>
    </w:p>
    <w:p>
      <w:pPr>
        <w:pBdr/>
        <w:pStyle w:val="Normal"/>
        <w:spacing/>
        <w:ind/>
        <w:rPr>
          <w:rFonts w:ascii="Arial" w:eastAsia="Arial" w:hAnsi="Arial" w:cs="Arial"/>
        </w:rPr>
      </w:pPr>
    </w:p>
    <w:p>
      <w:pPr>
        <w:pBdr/>
        <w:pStyle w:val="Heading 2"/>
        <w:spacing/>
        <w:ind/>
        <w:rPr/>
      </w:pPr>
      <w:r>
        <w:rPr/>
        <w:t xml:space="preserve">Članak 276.</w:t>
      </w:r>
    </w:p>
    <w:p>
      <w:pPr>
        <w:pBdr/>
        <w:pStyle w:val="Normal"/>
        <w:spacing/>
        <w:ind/>
        <w:rPr>
          <w:rFonts w:ascii="Arial" w:eastAsia="Arial" w:hAnsi="Arial" w:cs="Arial"/>
        </w:rPr>
      </w:pPr>
      <w:r>
        <w:rPr>
          <w:rFonts w:ascii="Arial" w:eastAsia="Arial" w:hAnsi="Arial" w:cs="Arial"/>
        </w:rPr>
        <w:t xml:space="preserve">(1) Pravne i fizičke osobe – obrtnici mogu se u skladu s odredbama ovoga Zakona uključiti u dobrovoljni sustav Zajednice za ekološko upravljanje i neovisno ocjenjivanje.</w:t>
      </w:r>
    </w:p>
    <w:p>
      <w:pPr>
        <w:pBdr/>
        <w:pStyle w:val="Normal"/>
        <w:spacing/>
        <w:ind/>
        <w:rPr>
          <w:rFonts w:ascii="Arial" w:eastAsia="Arial" w:hAnsi="Arial" w:cs="Arial"/>
        </w:rPr>
      </w:pPr>
      <w:r>
        <w:rPr>
          <w:rFonts w:ascii="Arial" w:eastAsia="Arial" w:hAnsi="Arial" w:cs="Arial"/>
        </w:rPr>
        <w:t xml:space="preserve">(2) Ovim Zakonom utvrđuju se nadležna tijela i njihove zadaće za provedbu Uredbe (EZ) broj 1221/2009 Europskoga parlamenta i Vijeća od 25. studenoga 2009. o dobrovoljnom sudjelovanju organizacija u sustavu upravljanja okolišem i neovisnog ocjenjivanja Zajednice (EMAS) te stavljanju izvan snage Uredbe (EZ) broj 761/2001 i odluka Komisije 2001/681/EZ i 2006/193/EZ (u daljnjem tekstu: Uredba 1221/2009.).</w:t>
      </w:r>
    </w:p>
    <w:p>
      <w:pPr>
        <w:pBdr/>
        <w:pStyle w:val="Normal"/>
        <w:spacing/>
        <w:ind/>
        <w:rPr>
          <w:rFonts w:ascii="Arial" w:eastAsia="Arial" w:hAnsi="Arial" w:cs="Arial"/>
        </w:rPr>
      </w:pPr>
      <w:r>
        <w:rPr>
          <w:rFonts w:ascii="Arial" w:eastAsia="Arial" w:hAnsi="Arial" w:cs="Arial"/>
        </w:rPr>
        <w:t xml:space="preserve">(3) Pojmovi korišteni u odredbama ovoga Zakona kojima se uređuje sustav EMAS imaju značenje utvrđeno Uredbom 1221/2009.</w:t>
      </w:r>
    </w:p>
    <w:p>
      <w:pPr>
        <w:pBdr/>
        <w:pStyle w:val="Normal"/>
        <w:spacing/>
        <w:ind/>
        <w:rPr>
          <w:rFonts w:ascii="Arial" w:eastAsia="Arial" w:hAnsi="Arial" w:cs="Arial"/>
        </w:rPr>
      </w:pPr>
    </w:p>
    <w:p>
      <w:pPr>
        <w:pBdr/>
        <w:pStyle w:val="Heading 2"/>
        <w:spacing/>
        <w:ind/>
        <w:rPr/>
      </w:pPr>
      <w:r>
        <w:rPr/>
        <w:t xml:space="preserve">Nadležna tijela i njihove nadležnosti</w:t>
      </w:r>
    </w:p>
    <w:p>
      <w:pPr>
        <w:pBdr/>
        <w:pStyle w:val="Heading 2"/>
        <w:spacing/>
        <w:ind/>
        <w:rPr/>
      </w:pPr>
      <w:r>
        <w:rPr/>
        <w:t xml:space="preserve">Članak 277.</w:t>
      </w:r>
    </w:p>
    <w:p>
      <w:pPr>
        <w:pBdr/>
        <w:pStyle w:val="Normal"/>
        <w:spacing/>
        <w:ind/>
        <w:rPr>
          <w:rFonts w:ascii="Arial" w:eastAsia="Arial" w:hAnsi="Arial" w:cs="Arial"/>
        </w:rPr>
      </w:pPr>
      <w:r>
        <w:rPr>
          <w:rFonts w:ascii="Arial" w:eastAsia="Arial" w:hAnsi="Arial" w:cs="Arial"/>
          <w:color w:val="000000"/>
        </w:rPr>
        <w:t xml:space="preserve">(1) </w:t>
      </w:r>
      <w:r>
        <w:rPr>
          <w:rFonts w:ascii="Arial" w:eastAsia="Arial" w:hAnsi="Arial" w:cs="Arial"/>
        </w:rPr>
        <w:t xml:space="preserve">Inspekcija zaštite okoliša nadležna je za provedbu inspekcijskog nadzora nad provedbom Uredbe 1221/2009.</w:t>
      </w:r>
    </w:p>
    <w:p>
      <w:pPr>
        <w:pBdr/>
        <w:pStyle w:val="Normal"/>
        <w:spacing/>
        <w:ind/>
        <w:rPr>
          <w:rFonts w:ascii="Arial" w:eastAsia="Arial" w:hAnsi="Arial" w:cs="Arial"/>
        </w:rPr>
      </w:pPr>
      <w:r>
        <w:rPr>
          <w:rFonts w:ascii="Arial" w:eastAsia="Arial" w:hAnsi="Arial" w:cs="Arial"/>
        </w:rPr>
        <w:t xml:space="preserve">(2) Za provedbu Uredbe 1221/2009. Ministarstvo je nadležno za:</w:t>
      </w:r>
    </w:p>
    <w:p>
      <w:pPr>
        <w:pBdr/>
        <w:pStyle w:val="Normal"/>
        <w:spacing/>
        <w:ind/>
        <w:rPr>
          <w:rFonts w:ascii="Arial" w:eastAsia="Arial" w:hAnsi="Arial" w:cs="Arial"/>
        </w:rPr>
      </w:pPr>
      <w:r>
        <w:rPr>
          <w:rFonts w:ascii="Arial" w:eastAsia="Arial" w:hAnsi="Arial" w:cs="Arial"/>
        </w:rPr>
        <w:t xml:space="preserve">- provedbu upravnog nadzora</w:t>
      </w:r>
    </w:p>
    <w:p>
      <w:pPr>
        <w:pBdr/>
        <w:pStyle w:val="Normal"/>
        <w:spacing/>
        <w:ind/>
        <w:rPr>
          <w:rFonts w:ascii="Arial" w:eastAsia="Arial" w:hAnsi="Arial" w:cs="Arial"/>
        </w:rPr>
      </w:pPr>
      <w:r>
        <w:rPr>
          <w:rFonts w:ascii="Arial" w:eastAsia="Arial" w:hAnsi="Arial" w:cs="Arial"/>
        </w:rPr>
        <w:t xml:space="preserve">- vođenje nacionalnog registra EMAS u skladu s Uredbom 1221/2009.</w:t>
      </w:r>
    </w:p>
    <w:p>
      <w:pPr>
        <w:pBdr/>
        <w:pStyle w:val="Normal"/>
        <w:spacing/>
        <w:ind/>
        <w:rPr>
          <w:rFonts w:ascii="Arial" w:eastAsia="Arial" w:hAnsi="Arial" w:cs="Arial"/>
        </w:rPr>
      </w:pPr>
      <w:r>
        <w:rPr>
          <w:rFonts w:ascii="Arial" w:eastAsia="Arial" w:hAnsi="Arial" w:cs="Arial"/>
        </w:rPr>
        <w:t xml:space="preserve">- zaprimanje zahtjeva za registraciju u sustav EMAS i provjeru zaprimljenih prijava</w:t>
      </w:r>
    </w:p>
    <w:p>
      <w:pPr>
        <w:pBdr/>
        <w:pStyle w:val="Normal"/>
        <w:spacing/>
        <w:ind/>
        <w:rPr>
          <w:rFonts w:ascii="Arial" w:eastAsia="Arial" w:hAnsi="Arial" w:cs="Arial"/>
        </w:rPr>
      </w:pPr>
      <w:r>
        <w:rPr>
          <w:rFonts w:ascii="Arial" w:eastAsia="Arial" w:hAnsi="Arial" w:cs="Arial"/>
        </w:rPr>
        <w:t xml:space="preserve">- upis organizacija u registar EMAS i izdavanje potvrda o upisu </w:t>
      </w:r>
    </w:p>
    <w:p>
      <w:pPr>
        <w:pBdr/>
        <w:pStyle w:val="Normal"/>
        <w:spacing/>
        <w:ind/>
        <w:rPr>
          <w:rFonts w:ascii="Arial" w:eastAsia="Arial" w:hAnsi="Arial" w:cs="Arial"/>
        </w:rPr>
      </w:pPr>
      <w:r>
        <w:rPr>
          <w:rFonts w:ascii="Arial" w:eastAsia="Arial" w:hAnsi="Arial" w:cs="Arial"/>
        </w:rPr>
        <w:t xml:space="preserve">- suspenziju i brisanje organizacija iz registra EMAS.</w:t>
      </w:r>
    </w:p>
    <w:p>
      <w:pPr>
        <w:pBdr/>
        <w:pStyle w:val="Normal"/>
        <w:spacing/>
        <w:ind/>
        <w:rPr>
          <w:rFonts w:ascii="Arial" w:eastAsia="Arial" w:hAnsi="Arial" w:cs="Arial"/>
        </w:rPr>
      </w:pPr>
      <w:r>
        <w:rPr>
          <w:rFonts w:ascii="Arial" w:eastAsia="Arial" w:hAnsi="Arial" w:cs="Arial"/>
        </w:rPr>
        <w:t xml:space="preserve">(3) Za provedbu Uredbe 1221/2009. Hrvatska akreditacijska agencija nadležna je za:</w:t>
      </w:r>
    </w:p>
    <w:p>
      <w:pPr>
        <w:pBdr/>
        <w:pStyle w:val="Normal"/>
        <w:spacing/>
        <w:ind/>
        <w:rPr>
          <w:rFonts w:ascii="Arial" w:eastAsia="Arial" w:hAnsi="Arial" w:cs="Arial"/>
        </w:rPr>
      </w:pPr>
      <w:r>
        <w:rPr>
          <w:rFonts w:ascii="Arial" w:eastAsia="Arial" w:hAnsi="Arial" w:cs="Arial"/>
        </w:rPr>
        <w:t xml:space="preserve"> - akreditiranje verifikatora i</w:t>
      </w:r>
    </w:p>
    <w:p>
      <w:pPr>
        <w:pBdr/>
        <w:pStyle w:val="Normal"/>
        <w:spacing/>
        <w:ind/>
        <w:rPr>
          <w:rFonts w:ascii="Arial" w:eastAsia="Arial" w:hAnsi="Arial" w:cs="Arial"/>
          <w:color w:val="000000"/>
        </w:rPr>
      </w:pPr>
      <w:r>
        <w:rPr>
          <w:rFonts w:ascii="Arial" w:eastAsia="Arial" w:hAnsi="Arial" w:cs="Arial"/>
        </w:rPr>
        <w:t xml:space="preserve">- stručni nadzor nad njihovim radom</w:t>
      </w:r>
      <w:r>
        <w:rPr>
          <w:rFonts w:ascii="Arial" w:eastAsia="Arial" w:hAnsi="Arial" w:cs="Arial"/>
          <w:color w:val="000000"/>
        </w:rPr>
        <w:t xml:space="preserve">.</w:t>
      </w:r>
    </w:p>
    <w:p>
      <w:pPr>
        <w:pBdr/>
        <w:pStyle w:val="Normal"/>
        <w:spacing/>
        <w:ind/>
        <w:rPr>
          <w:rFonts w:ascii="Arial" w:eastAsia="Arial" w:hAnsi="Arial" w:cs="Arial"/>
          <w:color w:val="000000"/>
        </w:rPr>
      </w:pPr>
      <w:r>
        <w:rPr>
          <w:rFonts w:ascii="Arial" w:eastAsia="Arial" w:hAnsi="Arial" w:cs="Arial"/>
          <w:color w:val="000000"/>
        </w:rPr>
        <w:t xml:space="preserve">(4) U postupcima registracije organizacije u sustav EMAS te suspenzije i brisanja organizacije iz registra EMAS primjenjuju se odredbe zakona kojim se uređuje opći upravni postupak, ako Uredbom 1221/2009. ili ovim Zakonom nije drukčije propisano.</w:t>
      </w:r>
    </w:p>
    <w:p>
      <w:pPr>
        <w:pBdr/>
        <w:pStyle w:val="Normal"/>
        <w:spacing/>
        <w:ind/>
        <w:rPr>
          <w:rFonts w:ascii="Arial" w:eastAsia="Arial" w:hAnsi="Arial" w:cs="Arial"/>
          <w:color w:val="000000"/>
        </w:rPr>
      </w:pPr>
    </w:p>
    <w:p>
      <w:pPr>
        <w:pBdr/>
        <w:pStyle w:val="Heading 2"/>
        <w:spacing/>
        <w:ind/>
        <w:rPr/>
      </w:pPr>
      <w:r>
        <w:rPr/>
        <w:t xml:space="preserve">Članak 278.</w:t>
      </w:r>
    </w:p>
    <w:p>
      <w:pPr>
        <w:pBdr/>
        <w:pStyle w:val="Normal"/>
        <w:spacing/>
        <w:ind/>
        <w:rPr>
          <w:rFonts w:ascii="Arial" w:eastAsia="Arial" w:hAnsi="Arial" w:cs="Arial"/>
        </w:rPr>
      </w:pPr>
      <w:r>
        <w:rPr>
          <w:rFonts w:ascii="Arial" w:eastAsia="Arial" w:hAnsi="Arial" w:cs="Arial"/>
        </w:rPr>
        <w:t xml:space="preserve">(1) Pravna i fizička osoba – obrtnik dužna je koristiti logotip EMAS sukladno Uredbi 1221/</w:t>
      </w:r>
      <w:r>
        <w:rPr>
          <w:rFonts w:ascii="Arial" w:eastAsia="Arial" w:hAnsi="Arial" w:cs="Arial"/>
        </w:rPr>
        <w:t xml:space="preserve">2009.</w:t>
      </w:r>
    </w:p>
    <w:p>
      <w:pPr>
        <w:pBdr/>
        <w:pStyle w:val="Normal"/>
        <w:spacing/>
        <w:ind/>
        <w:rPr>
          <w:rFonts w:ascii="Arial" w:eastAsia="Arial" w:hAnsi="Arial" w:cs="Arial"/>
        </w:rPr>
      </w:pPr>
      <w:r>
        <w:rPr>
          <w:rFonts w:ascii="Arial" w:eastAsia="Arial" w:hAnsi="Arial" w:cs="Arial"/>
        </w:rPr>
        <w:t xml:space="preserve">(2) Ministarstvo o zahtjevu za registraciju organizacije u sustav EMAS odlučuje rješenjem te, ako organizacija ispunjava uvjete za registraciju propisane Uredbom 1221/2009., upisuje je u registar EMAS i izdaje potvrdu o upisu.</w:t>
      </w:r>
    </w:p>
    <w:p>
      <w:pPr>
        <w:pBdr/>
        <w:pStyle w:val="Normal"/>
        <w:spacing/>
        <w:ind/>
        <w:rPr>
          <w:rFonts w:ascii="Arial" w:eastAsia="Arial" w:hAnsi="Arial" w:cs="Arial"/>
        </w:rPr>
      </w:pPr>
      <w:r>
        <w:rPr>
          <w:rFonts w:ascii="Arial" w:eastAsia="Arial" w:hAnsi="Arial" w:cs="Arial"/>
        </w:rPr>
        <w:t xml:space="preserve">(3) Ministarstvo donosi rješenje o suspenziji ili brisanju organizacije iz registra EMAS u slučajevima propisanim Uredbom 1221/2009.</w:t>
      </w:r>
    </w:p>
    <w:p>
      <w:pPr>
        <w:pBdr/>
        <w:pStyle w:val="Normal"/>
        <w:spacing/>
        <w:ind/>
        <w:rPr>
          <w:rFonts w:ascii="Arial" w:eastAsia="Arial" w:hAnsi="Arial" w:cs="Arial"/>
        </w:rPr>
      </w:pPr>
      <w:r>
        <w:rPr>
          <w:rFonts w:ascii="Arial" w:eastAsia="Arial" w:hAnsi="Arial" w:cs="Arial"/>
        </w:rPr>
        <w:t xml:space="preserve">(4) Ministar odlukom imenuje Povjerenstvo za EMAS za obavljanje savjetodavnih poslova u provedbi sustava EMAS te pravilnikom pobliže propisuje njegov sastav i način rada. </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397071805" w:id="23"/>
      <w:bookmarkStart w:name="_Toc425679442" w:id="24"/>
      <w:bookmarkStart w:name="_Toc237275927" w:id="25"/>
      <w:r>
        <w:rPr>
          <w:rFonts w:ascii="Arial" w:eastAsia="Arial" w:hAnsi="Arial" w:cs="Arial"/>
          <w:szCs w:val="24"/>
        </w:rPr>
        <w:t xml:space="preserve">GLAVA II. ZNAK ZAŠTITE OKOLIŠA</w:t>
      </w:r>
      <w:bookmarkEnd w:id="23"/>
      <w:bookmarkEnd w:id="24"/>
      <w:bookmarkEnd w:id="25"/>
    </w:p>
    <w:p>
      <w:pPr>
        <w:pBdr/>
        <w:pStyle w:val="Heading 2"/>
        <w:spacing/>
        <w:ind/>
        <w:rPr/>
      </w:pPr>
      <w:r>
        <w:rPr/>
        <w:t xml:space="preserve">Znak zaštite okoliša Europske unije – EU Ecolabel</w:t>
      </w:r>
    </w:p>
    <w:p>
      <w:pPr>
        <w:pBdr/>
        <w:pStyle w:val="Heading 2"/>
        <w:spacing/>
        <w:ind/>
        <w:rPr/>
      </w:pPr>
      <w:r>
        <w:rPr/>
        <w:t xml:space="preserve">Članak 279.</w:t>
      </w:r>
    </w:p>
    <w:p>
      <w:pPr>
        <w:pBdr/>
        <w:pStyle w:val="Normal"/>
        <w:spacing/>
        <w:ind/>
        <w:rPr>
          <w:rFonts w:ascii="Arial" w:eastAsia="Arial" w:hAnsi="Arial" w:cs="Arial"/>
          <w:color w:val="000000"/>
        </w:rPr>
      </w:pPr>
      <w:r>
        <w:rPr>
          <w:rFonts w:ascii="Arial" w:eastAsia="Arial" w:hAnsi="Arial" w:cs="Arial"/>
        </w:rPr>
        <w:t xml:space="preserve">(1) Pravnim i fizičkim osobama koje stavljaju na tržište određene proizvode ili pružaju usluge (proizvođač, distributer, uvoznik, pružatelj usluga, trgovac na veliko ili malo), može se u svrhu promicanja proizvoda ili obavljanja usluga koje imaju manje negativan utjecaj na okoliš tijekom cijelog životnog ciklusa i pružanja informacija potrošačima o utjecaju proizvoda na okoliš, sukladno odredbama ovoga Zakona dodijeliti znak EU Ecolabel.</w:t>
      </w:r>
    </w:p>
    <w:p>
      <w:pPr>
        <w:pBdr/>
        <w:pStyle w:val="Normal"/>
        <w:spacing/>
        <w:ind/>
        <w:rPr>
          <w:rFonts w:ascii="Arial" w:eastAsia="Arial" w:hAnsi="Arial" w:cs="Arial"/>
          <w:color w:val="000000"/>
        </w:rPr>
      </w:pPr>
      <w:r>
        <w:rPr>
          <w:rFonts w:ascii="Arial" w:eastAsia="Arial" w:hAnsi="Arial" w:cs="Arial"/>
        </w:rPr>
        <w:t xml:space="preserve">(2) Znak EU Ecolabel ne dodjeljuje se za:</w:t>
      </w:r>
    </w:p>
    <w:p>
      <w:pPr>
        <w:pBdr/>
        <w:pStyle w:val="Normal"/>
        <w:spacing/>
        <w:ind/>
        <w:rPr>
          <w:rFonts w:ascii="Arial" w:eastAsia="Arial" w:hAnsi="Arial" w:cs="Arial"/>
          <w:color w:val="000000"/>
        </w:rPr>
      </w:pPr>
      <w:r>
        <w:rPr>
          <w:rFonts w:ascii="Arial" w:eastAsia="Arial" w:hAnsi="Arial" w:cs="Arial"/>
        </w:rPr>
        <w:t xml:space="preserve">- medicinske proizvode za ljudsku uporabu</w:t>
      </w:r>
    </w:p>
    <w:p>
      <w:pPr>
        <w:pBdr/>
        <w:pStyle w:val="Normal"/>
        <w:spacing/>
        <w:ind/>
        <w:rPr>
          <w:rFonts w:ascii="Arial" w:eastAsia="Arial" w:hAnsi="Arial" w:cs="Arial"/>
          <w:color w:val="000000"/>
        </w:rPr>
      </w:pPr>
      <w:r>
        <w:rPr>
          <w:rFonts w:ascii="Arial" w:eastAsia="Arial" w:hAnsi="Arial" w:cs="Arial"/>
        </w:rPr>
        <w:t xml:space="preserve">- medicinske proizvode u veterinarstvu</w:t>
      </w:r>
    </w:p>
    <w:p>
      <w:pPr>
        <w:pBdr/>
        <w:pStyle w:val="Normal"/>
        <w:spacing/>
        <w:ind/>
        <w:rPr>
          <w:rFonts w:ascii="Arial" w:eastAsia="Arial" w:hAnsi="Arial" w:cs="Arial"/>
          <w:color w:val="000000"/>
        </w:rPr>
      </w:pPr>
      <w:r>
        <w:rPr>
          <w:rFonts w:ascii="Arial" w:eastAsia="Arial" w:hAnsi="Arial" w:cs="Arial"/>
          <w:color w:val="000000"/>
        </w:rPr>
        <w:t xml:space="preserve">- medicinsku opremu.</w:t>
      </w:r>
    </w:p>
    <w:p>
      <w:pPr>
        <w:pBdr/>
        <w:pStyle w:val="Normal"/>
        <w:spacing/>
        <w:ind/>
        <w:rPr>
          <w:rFonts w:ascii="Arial" w:eastAsia="Arial" w:hAnsi="Arial" w:cs="Arial"/>
          <w:color w:val="000000"/>
        </w:rPr>
      </w:pPr>
      <w:r>
        <w:rPr>
          <w:rFonts w:ascii="Arial" w:eastAsia="Arial" w:hAnsi="Arial" w:cs="Arial"/>
          <w:color w:val="000000"/>
        </w:rPr>
        <w:t xml:space="preserve">(3) Ovim Zakonom utvrđuje se nadležno tijelo i zadaće nadležnoga tijela za provedbu Uredbe (EZ) broj 66/2010 Europskog parlamenta i Vijeća od 25. studenoga 2009. o znaku </w:t>
      </w:r>
      <w:r>
        <w:rPr>
          <w:rFonts w:ascii="Arial" w:eastAsia="Arial" w:hAnsi="Arial" w:cs="Arial"/>
          <w:color w:val="000000"/>
        </w:rPr>
        <w:t xml:space="preserve">za okoliš EU-</w:t>
      </w:r>
      <w:r>
        <w:rPr>
          <w:rFonts w:ascii="Arial" w:eastAsia="Arial" w:hAnsi="Arial" w:cs="Arial"/>
          <w:color w:val="000000"/>
        </w:rPr>
        <w:t xml:space="preserve">a (tekst značajan za EGP) (SL L 108, 29.4.2010., u daljnjem tekstu: Uredba 66/2010.)</w:t>
      </w:r>
    </w:p>
    <w:p>
      <w:pPr>
        <w:pBdr/>
        <w:pStyle w:val="Normal"/>
        <w:spacing/>
        <w:ind/>
        <w:rPr>
          <w:rFonts w:ascii="Arial" w:eastAsia="Arial" w:hAnsi="Arial" w:cs="Arial"/>
          <w:color w:val="000000"/>
        </w:rPr>
      </w:pPr>
      <w:r>
        <w:rPr>
          <w:rFonts w:ascii="Arial" w:eastAsia="Arial" w:hAnsi="Arial" w:cs="Arial"/>
          <w:color w:val="000000"/>
        </w:rPr>
        <w:t xml:space="preserve">(4) Pojmovi u smislu ove Glave Zakona imaju jednako značenje kao pojmovi upotrijebljeni u Uredbi 66/2010.</w:t>
      </w:r>
    </w:p>
    <w:p>
      <w:pPr>
        <w:pBdr/>
        <w:pStyle w:val="Normal"/>
        <w:spacing/>
        <w:ind/>
        <w:rPr>
          <w:rFonts w:ascii="Arial" w:eastAsia="Arial" w:hAnsi="Arial" w:cs="Arial"/>
          <w:color w:val="000000"/>
        </w:rPr>
      </w:pPr>
    </w:p>
    <w:p>
      <w:pPr>
        <w:pBdr/>
        <w:pStyle w:val="Heading 2"/>
        <w:spacing/>
        <w:ind/>
        <w:rPr/>
      </w:pPr>
      <w:r>
        <w:rPr/>
        <w:t xml:space="preserve">Članak 280.</w:t>
      </w:r>
    </w:p>
    <w:p>
      <w:pPr>
        <w:pBdr/>
        <w:pStyle w:val="Normal"/>
        <w:spacing w:before="72" w:after="72" w:line="276" w:lineRule="auto"/>
        <w:ind/>
        <w:rPr>
          <w:rFonts w:ascii="Arial" w:eastAsia="Arial" w:hAnsi="Arial" w:cs="Arial"/>
          <w:color w:val="231F20"/>
        </w:rPr>
      </w:pPr>
      <w:r>
        <w:rPr>
          <w:rFonts w:ascii="Arial" w:eastAsia="Arial" w:hAnsi="Arial" w:cs="Arial"/>
          <w:color w:val="231F20"/>
        </w:rPr>
        <w:t xml:space="preserve">U svrhu provedbe Uredbe 66/2010. Ministarstvo je nadležno za:</w:t>
      </w:r>
    </w:p>
    <w:p>
      <w:pPr>
        <w:pBdr/>
        <w:pStyle w:val="Normal"/>
        <w:spacing w:before="72" w:after="72" w:line="276" w:lineRule="auto"/>
        <w:ind/>
        <w:rPr>
          <w:rFonts w:ascii="Arial" w:eastAsia="Arial" w:hAnsi="Arial" w:cs="Arial"/>
          <w:color w:val="231F20"/>
        </w:rPr>
      </w:pPr>
      <w:r>
        <w:rPr>
          <w:rFonts w:ascii="Arial" w:eastAsia="Arial" w:hAnsi="Arial" w:cs="Arial"/>
          <w:color w:val="231F20"/>
        </w:rPr>
        <w:t xml:space="preserve">- dodjelu znaka EU Ecolabel</w:t>
      </w:r>
    </w:p>
    <w:p>
      <w:pPr>
        <w:pBdr/>
        <w:pStyle w:val="Normal"/>
        <w:spacing w:before="72" w:after="72" w:line="276" w:lineRule="auto"/>
        <w:ind/>
        <w:rPr>
          <w:rFonts w:ascii="Arial" w:eastAsia="Arial" w:hAnsi="Arial" w:cs="Arial"/>
          <w:color w:val="231F20"/>
        </w:rPr>
      </w:pPr>
      <w:r>
        <w:rPr>
          <w:rFonts w:ascii="Arial" w:eastAsia="Arial" w:hAnsi="Arial" w:cs="Arial"/>
          <w:color w:val="231F20"/>
        </w:rPr>
        <w:t xml:space="preserve">- provjeru sukladnosti proizvoda i usluga s mjerilima za dodjelu znaka EU Ecolabel</w:t>
      </w:r>
    </w:p>
    <w:p>
      <w:pPr>
        <w:pBdr/>
        <w:pStyle w:val="Normal"/>
        <w:spacing w:before="72" w:after="72" w:line="276" w:lineRule="auto"/>
        <w:ind/>
        <w:rPr>
          <w:rFonts w:ascii="Arial" w:eastAsia="Arial" w:hAnsi="Arial" w:cs="Arial"/>
          <w:color w:val="231F20"/>
        </w:rPr>
      </w:pPr>
      <w:r>
        <w:rPr>
          <w:rFonts w:ascii="Arial" w:eastAsia="Arial" w:hAnsi="Arial" w:cs="Arial"/>
          <w:color w:val="231F20"/>
        </w:rPr>
        <w:t xml:space="preserve">- provedbu nadzora i kontrole usklađenosti sa mjerilima za relevantnu skupinu proizvoda za koju je znak EU Ecolabel dodijeljen, uporabe sukladno odredbama Uredbe- 66/2010. </w:t>
      </w:r>
    </w:p>
    <w:p>
      <w:pPr>
        <w:pBdr/>
        <w:pStyle w:val="Normal"/>
        <w:spacing w:before="72" w:after="72" w:line="276" w:lineRule="auto"/>
        <w:ind/>
        <w:rPr>
          <w:rFonts w:ascii="Arial" w:eastAsia="Arial" w:hAnsi="Arial" w:cs="Arial"/>
          <w:color w:val="231F20"/>
        </w:rPr>
      </w:pPr>
      <w:r>
        <w:rPr>
          <w:rFonts w:ascii="Arial" w:eastAsia="Arial" w:hAnsi="Arial" w:cs="Arial"/>
          <w:color w:val="231F20"/>
        </w:rPr>
        <w:t xml:space="preserve">- zabranu uporabe znaka EU Ecolabel</w:t>
      </w:r>
    </w:p>
    <w:p>
      <w:pPr>
        <w:pBdr/>
        <w:pStyle w:val="Normal"/>
        <w:spacing w:before="72" w:after="72" w:line="276" w:lineRule="auto"/>
        <w:ind/>
        <w:rPr>
          <w:rFonts w:ascii="Arial" w:eastAsia="Arial" w:hAnsi="Arial" w:cs="Arial"/>
          <w:color w:val="000000"/>
        </w:rPr>
      </w:pPr>
      <w:r>
        <w:rPr>
          <w:rFonts w:ascii="Arial" w:eastAsia="Arial" w:hAnsi="Arial" w:cs="Arial"/>
          <w:color w:val="231F20"/>
        </w:rPr>
        <w:t xml:space="preserve">- vođenje baze podataka za znak EU Ecolabel</w:t>
      </w:r>
      <w:r>
        <w:rPr>
          <w:rFonts w:ascii="Arial" w:eastAsia="Arial" w:hAnsi="Arial" w:cs="Arial"/>
          <w:color w:val="000000"/>
        </w:rPr>
        <w:t xml:space="preserve">.</w:t>
      </w:r>
    </w:p>
    <w:p>
      <w:pPr>
        <w:pBdr/>
        <w:pStyle w:val="Normal"/>
        <w:spacing/>
        <w:ind/>
        <w:rPr>
          <w:rFonts w:ascii="Arial" w:eastAsia="Arial" w:hAnsi="Arial" w:cs="Arial"/>
        </w:rPr>
      </w:pPr>
    </w:p>
    <w:p>
      <w:pPr>
        <w:pBdr/>
        <w:pStyle w:val="Heading 2"/>
        <w:spacing/>
        <w:ind/>
        <w:rPr/>
      </w:pPr>
      <w:r>
        <w:rPr/>
        <w:t xml:space="preserve">Članak 281.</w:t>
      </w:r>
    </w:p>
    <w:p>
      <w:pPr>
        <w:pBdr/>
        <w:pStyle w:val="Normal"/>
        <w:spacing/>
        <w:ind/>
        <w:rPr>
          <w:rFonts w:ascii="Arial" w:eastAsia="Arial" w:hAnsi="Arial" w:cs="Arial"/>
        </w:rPr>
      </w:pPr>
      <w:r>
        <w:rPr>
          <w:rFonts w:ascii="Arial" w:eastAsia="Arial" w:hAnsi="Arial" w:cs="Arial"/>
        </w:rPr>
        <w:t xml:space="preserve">(1) Pravne i fizičke osobe moraju koristiti znak EU Ecolabel u skladu s Uredbom 66/2010.</w:t>
      </w:r>
    </w:p>
    <w:p>
      <w:pPr>
        <w:pBdr/>
        <w:pStyle w:val="Normal"/>
        <w:spacing/>
        <w:ind/>
        <w:rPr>
          <w:rFonts w:ascii="Arial" w:eastAsia="Arial" w:hAnsi="Arial" w:cs="Arial"/>
        </w:rPr>
      </w:pPr>
      <w:r>
        <w:rPr>
          <w:rFonts w:ascii="Arial" w:eastAsia="Arial" w:hAnsi="Arial" w:cs="Arial"/>
        </w:rPr>
        <w:t xml:space="preserve">(2) Odluku o dodjeli znaka EU Ecolabel donosi Savjetodavno stručno povjerenstvo koje svake godine odlukom imenuje ministar.</w:t>
      </w:r>
    </w:p>
    <w:p>
      <w:pPr>
        <w:pBdr/>
        <w:pStyle w:val="Normal"/>
        <w:spacing/>
        <w:ind/>
        <w:rPr>
          <w:rFonts w:ascii="Arial" w:eastAsia="Arial" w:hAnsi="Arial" w:cs="Arial"/>
          <w:color w:val="000000"/>
        </w:rPr>
      </w:pPr>
      <w:r>
        <w:rPr>
          <w:rFonts w:ascii="Arial" w:eastAsia="Arial" w:hAnsi="Arial" w:cs="Arial"/>
          <w:color w:val="000000"/>
        </w:rPr>
        <w:t xml:space="preserve">(3) Postupak dodjele znaka EU Ecolabel, visinu naknada, sastav i način rada Savjetodavnog stručnog povjerenstva, sudjelovanje pojedinaca, udruga i organizacija u postupku dodjele znaka EU Ecolabel,</w:t>
      </w:r>
      <w:r>
        <w:rPr>
          <w:rFonts w:ascii="Arial" w:eastAsia="Arial" w:hAnsi="Arial" w:cs="Arial"/>
        </w:rPr>
        <w:t xml:space="preserve"> </w:t>
      </w:r>
      <w:r>
        <w:rPr>
          <w:rFonts w:ascii="Arial" w:eastAsia="Arial" w:hAnsi="Arial" w:cs="Arial"/>
          <w:color w:val="000000"/>
        </w:rPr>
        <w:t xml:space="preserve">nadzor i kontrola usklađenosti s mjerilima za relevantnu skupinu proizvoda za koju je znak EU Ecolabel dodijeljen, te druga pitanja s tim u vezi, uređuje Vlada Uredbom.</w:t>
      </w:r>
    </w:p>
    <w:p>
      <w:pPr>
        <w:pBdr/>
        <w:pStyle w:val="Normal"/>
        <w:spacing/>
        <w:ind/>
        <w:rPr>
          <w:rFonts w:ascii="Arial" w:eastAsia="Arial" w:hAnsi="Arial" w:cs="Arial"/>
          <w:color w:val="000000"/>
        </w:rPr>
      </w:pPr>
    </w:p>
    <w:p>
      <w:pPr>
        <w:pBdr/>
        <w:pStyle w:val="Heading 1"/>
        <w:spacing/>
        <w:ind/>
        <w:rPr>
          <w:rFonts w:ascii="Arial" w:eastAsia="Arial" w:hAnsi="Arial" w:cs="Arial"/>
          <w:szCs w:val="24"/>
        </w:rPr>
      </w:pPr>
      <w:bookmarkStart w:name="_Toc397071806" w:id="26"/>
      <w:bookmarkStart w:name="_Toc425679443" w:id="27"/>
      <w:bookmarkStart w:name="_Toc237275928" w:id="28"/>
      <w:r>
        <w:rPr>
          <w:rFonts w:ascii="Arial" w:eastAsia="Arial" w:hAnsi="Arial" w:cs="Arial"/>
          <w:szCs w:val="24"/>
        </w:rPr>
        <w:t xml:space="preserve">GLAVA III. </w:t>
      </w:r>
      <w:bookmarkEnd w:id="26"/>
      <w:bookmarkEnd w:id="27"/>
      <w:bookmarkEnd w:id="28"/>
      <w:r>
        <w:rPr>
          <w:rFonts w:ascii="Arial" w:eastAsia="Arial" w:hAnsi="Arial" w:cs="Arial"/>
          <w:szCs w:val="24"/>
        </w:rPr>
        <w:t xml:space="preserve">PRIZNANJA I NAGRADE</w:t>
      </w:r>
    </w:p>
    <w:p>
      <w:pPr>
        <w:pBdr/>
        <w:pStyle w:val="Heading 2"/>
        <w:spacing/>
        <w:ind/>
        <w:rPr/>
      </w:pPr>
      <w:r>
        <w:rPr/>
        <w:t xml:space="preserve">Članak 282.</w:t>
      </w:r>
    </w:p>
    <w:p>
      <w:pPr>
        <w:pBdr/>
        <w:pStyle w:val="Normal"/>
        <w:spacing/>
        <w:ind/>
        <w:rPr>
          <w:rFonts w:ascii="Arial" w:eastAsia="Arial" w:hAnsi="Arial" w:cs="Arial"/>
        </w:rPr>
      </w:pPr>
      <w:r>
        <w:rPr>
          <w:rFonts w:ascii="Arial" w:eastAsia="Arial" w:hAnsi="Arial" w:cs="Arial"/>
        </w:rPr>
        <w:t xml:space="preserve">(1) Ministarstvo dodjeljuje priznanja i nagrade za dostignuća na području zaštite okoliša u obliku plakete i povelje pravnim i fizičkim osobama, s obzirom na mjerljive rezultate postignute u zaštiti okoliša i ispunjavanju uvjeta održivog razvitka, za:</w:t>
      </w:r>
    </w:p>
    <w:p>
      <w:pPr>
        <w:pBdr/>
        <w:pStyle w:val="Normal"/>
        <w:spacing/>
        <w:ind/>
        <w:rPr>
          <w:rFonts w:ascii="Arial" w:eastAsia="Arial" w:hAnsi="Arial" w:cs="Arial"/>
        </w:rPr>
      </w:pPr>
      <w:r>
        <w:rPr>
          <w:rFonts w:ascii="Arial" w:eastAsia="Arial" w:hAnsi="Arial" w:cs="Arial"/>
        </w:rPr>
        <w:t xml:space="preserve">- sprječavanje onečišćavanja okoliša</w:t>
      </w:r>
    </w:p>
    <w:p>
      <w:pPr>
        <w:pBdr/>
        <w:pStyle w:val="Normal"/>
        <w:spacing/>
        <w:ind/>
        <w:rPr>
          <w:rFonts w:ascii="Arial" w:eastAsia="Arial" w:hAnsi="Arial" w:cs="Arial"/>
        </w:rPr>
      </w:pPr>
      <w:r>
        <w:rPr>
          <w:rFonts w:ascii="Arial" w:eastAsia="Arial" w:hAnsi="Arial" w:cs="Arial"/>
        </w:rPr>
        <w:t xml:space="preserve">- najpovoljnija rješenja u proizvodnim postupcima u odnosu na okoliš</w:t>
      </w:r>
    </w:p>
    <w:p>
      <w:pPr>
        <w:pBdr/>
        <w:pStyle w:val="Normal"/>
        <w:spacing/>
        <w:ind/>
        <w:rPr>
          <w:rFonts w:ascii="Arial" w:eastAsia="Arial" w:hAnsi="Arial" w:cs="Arial"/>
        </w:rPr>
      </w:pPr>
      <w:r>
        <w:rPr>
          <w:rFonts w:ascii="Arial" w:eastAsia="Arial" w:hAnsi="Arial" w:cs="Arial"/>
        </w:rPr>
        <w:t xml:space="preserve">- razvojne i istraživačke projekte u zaštiti okoliša</w:t>
      </w:r>
    </w:p>
    <w:p>
      <w:pPr>
        <w:pBdr/>
        <w:pStyle w:val="Normal"/>
        <w:spacing/>
        <w:ind/>
        <w:rPr>
          <w:rFonts w:ascii="Arial" w:eastAsia="Arial" w:hAnsi="Arial" w:cs="Arial"/>
        </w:rPr>
      </w:pPr>
      <w:r>
        <w:rPr>
          <w:rFonts w:ascii="Arial" w:eastAsia="Arial" w:hAnsi="Arial" w:cs="Arial"/>
        </w:rPr>
        <w:t xml:space="preserve">- razvoj sustava i edukaciju o zaštiti okoliša u odgojno-</w:t>
      </w:r>
      <w:r>
        <w:rPr>
          <w:rFonts w:ascii="Arial" w:eastAsia="Arial" w:hAnsi="Arial" w:cs="Arial"/>
        </w:rPr>
        <w:t xml:space="preserve">obrazovnom procesu</w:t>
      </w:r>
    </w:p>
    <w:p>
      <w:pPr>
        <w:pBdr/>
        <w:pStyle w:val="Normal"/>
        <w:spacing/>
        <w:ind/>
        <w:rPr>
          <w:rFonts w:ascii="Arial" w:eastAsia="Arial" w:hAnsi="Arial" w:cs="Arial"/>
        </w:rPr>
      </w:pPr>
      <w:r>
        <w:rPr>
          <w:rFonts w:ascii="Arial" w:eastAsia="Arial" w:hAnsi="Arial" w:cs="Arial"/>
        </w:rPr>
        <w:t xml:space="preserve">- doprinos pojedinca u razvoju i unaprjeđenju zaštite okoliša ili za doprinos u međunarodnoj suradnji u zaštiti okoliša</w:t>
      </w:r>
    </w:p>
    <w:p>
      <w:pPr>
        <w:pBdr/>
        <w:pStyle w:val="Normal"/>
        <w:spacing/>
        <w:ind/>
        <w:rPr>
          <w:rFonts w:ascii="Arial" w:eastAsia="Arial" w:hAnsi="Arial" w:cs="Arial"/>
        </w:rPr>
      </w:pPr>
      <w:r>
        <w:rPr>
          <w:rFonts w:ascii="Arial" w:eastAsia="Arial" w:hAnsi="Arial" w:cs="Arial"/>
        </w:rPr>
        <w:t xml:space="preserve">- doprinose udruga na promicanju i unapređenju zaštite okoliša</w:t>
      </w:r>
    </w:p>
    <w:p>
      <w:pPr>
        <w:pBdr/>
        <w:pStyle w:val="Normal"/>
        <w:spacing/>
        <w:ind/>
        <w:rPr>
          <w:rFonts w:ascii="Arial" w:eastAsia="Arial" w:hAnsi="Arial" w:cs="Arial"/>
        </w:rPr>
      </w:pPr>
      <w:r>
        <w:rPr>
          <w:rFonts w:ascii="Arial" w:eastAsia="Arial" w:hAnsi="Arial" w:cs="Arial"/>
        </w:rPr>
        <w:t xml:space="preserve">- posebni doprinos zaštiti okoliša.</w:t>
      </w:r>
    </w:p>
    <w:p>
      <w:pPr>
        <w:pBdr/>
        <w:pStyle w:val="Normal"/>
        <w:spacing/>
        <w:ind/>
        <w:rPr>
          <w:rFonts w:ascii="Arial" w:eastAsia="Arial" w:hAnsi="Arial" w:cs="Arial"/>
        </w:rPr>
      </w:pPr>
      <w:r>
        <w:rPr>
          <w:rFonts w:ascii="Arial" w:eastAsia="Arial" w:hAnsi="Arial" w:cs="Arial"/>
        </w:rPr>
        <w:t xml:space="preserve">(2) Povjerenstvo za dodjelu priznanja i nagrada, koje ministar svake godine imenuje odlukom, utvrđuje prijedlog za dodjelu priznanja i nagrada i dostavlja ga Ministarstvu. </w:t>
      </w:r>
    </w:p>
    <w:p>
      <w:pPr>
        <w:pBdr/>
        <w:pStyle w:val="Normal"/>
        <w:spacing/>
        <w:ind/>
        <w:rPr>
          <w:rFonts w:ascii="Arial" w:eastAsia="Arial" w:hAnsi="Arial" w:cs="Arial"/>
        </w:rPr>
      </w:pPr>
      <w:r>
        <w:rPr>
          <w:rFonts w:ascii="Arial" w:eastAsia="Arial" w:hAnsi="Arial" w:cs="Arial"/>
        </w:rPr>
        <w:t xml:space="preserve">(3) Područja zaštite okoliša za koja se u tekućoj godini mogu dodijeliti priznanja i nagrade ministar svake godine određuje odlukom.</w:t>
      </w:r>
    </w:p>
    <w:p>
      <w:pPr>
        <w:pBdr/>
        <w:pStyle w:val="Normal"/>
        <w:spacing/>
        <w:ind/>
        <w:rPr>
          <w:rFonts w:ascii="Arial" w:eastAsia="Arial" w:hAnsi="Arial" w:cs="Arial"/>
        </w:rPr>
      </w:pPr>
      <w:r>
        <w:rPr>
          <w:rFonts w:ascii="Arial" w:eastAsia="Arial" w:hAnsi="Arial" w:cs="Arial"/>
        </w:rPr>
        <w:t xml:space="preserve">(4) Postupak, način i uvjete dodjele priznanja i nagrade, vrste priznanja i nagrada, način i rok podnošenja prijedloga te način rada Povjerenstva iz stavka 2. ovog članka ministar pobliže propisuje pravilnikom.</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397071807" w:id="29"/>
      <w:bookmarkStart w:name="_Toc425679444" w:id="30"/>
      <w:bookmarkStart w:name="_Toc237275929" w:id="31"/>
      <w:r>
        <w:rPr>
          <w:rFonts w:ascii="Arial" w:eastAsia="Arial" w:hAnsi="Arial" w:cs="Arial"/>
          <w:szCs w:val="24"/>
        </w:rPr>
        <w:t xml:space="preserve">GLAVA IV. </w:t>
      </w:r>
      <w:bookmarkEnd w:id="29"/>
      <w:bookmarkEnd w:id="30"/>
      <w:bookmarkEnd w:id="31"/>
      <w:r>
        <w:rPr>
          <w:rFonts w:ascii="Arial" w:eastAsia="Arial" w:hAnsi="Arial" w:cs="Arial"/>
          <w:szCs w:val="24"/>
        </w:rPr>
        <w:t xml:space="preserve">OBVEZE PROIZVOĐAČA VEZANO ZA OZNAČAVANJE PROIZVODA I AMBALAŽE, ZAŠTITA POTROŠAČA</w:t>
      </w:r>
    </w:p>
    <w:p>
      <w:pPr>
        <w:pBdr/>
        <w:pStyle w:val="Heading 2"/>
        <w:spacing/>
        <w:ind/>
        <w:rPr/>
      </w:pPr>
      <w:r>
        <w:rPr/>
        <w:t xml:space="preserve">Članak 283.</w:t>
      </w:r>
    </w:p>
    <w:p>
      <w:pPr>
        <w:pBdr/>
        <w:pStyle w:val="Normal"/>
        <w:spacing/>
        <w:ind/>
        <w:rPr>
          <w:rFonts w:ascii="Arial" w:eastAsia="Arial" w:hAnsi="Arial" w:cs="Arial"/>
        </w:rPr>
      </w:pPr>
      <w:r>
        <w:rPr>
          <w:rFonts w:ascii="Arial" w:eastAsia="Arial" w:hAnsi="Arial" w:cs="Arial"/>
        </w:rPr>
        <w:t xml:space="preserve">(1) Proizvođač odnosno osoba koja stavlja proizvod na tržište dužna je, kada je to propisano, prije stavljanja proizvoda na tržište na ambalažu proizvoda odnosno prateću tehničku dokumentaciju staviti uputu o utjecaju proizvoda i ambalaže na okoliš te načinu postupanja s proizvodom i ambalažom nakon  uporabe.</w:t>
      </w:r>
    </w:p>
    <w:p>
      <w:pPr>
        <w:pBdr/>
        <w:pStyle w:val="Normal"/>
        <w:spacing/>
        <w:ind/>
        <w:rPr>
          <w:rFonts w:ascii="Arial" w:eastAsia="Arial" w:hAnsi="Arial" w:cs="Arial"/>
          <w:color w:val="000000"/>
        </w:rPr>
      </w:pPr>
      <w:r>
        <w:rPr>
          <w:rFonts w:ascii="Arial" w:eastAsia="Arial" w:hAnsi="Arial" w:cs="Arial"/>
          <w:color w:val="000000"/>
        </w:rPr>
        <w:t xml:space="preserve">(2) Način primjene i sadržaj upute iz stavka 1. ovoga članka, način označavanja proizvoda i ambalaže te postupanje s proizvodom nakon uporabe odnosno s ambalažom nakon uporabe proizvoda ministar pobliže propisuje pravilnikom u suradnji s ministrima nadležnima za poslove gospodarstva, zaštite potrošača, poljoprivrede, šumarstva i zdravstva.</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397071808" w:id="32"/>
      <w:bookmarkStart w:name="_Toc425679445" w:id="33"/>
      <w:bookmarkStart w:name="_Toc237275930" w:id="34"/>
      <w:r>
        <w:rPr>
          <w:rFonts w:ascii="Arial" w:eastAsia="Arial" w:hAnsi="Arial" w:cs="Arial"/>
          <w:szCs w:val="24"/>
        </w:rPr>
        <w:t xml:space="preserve">GLAVA V. </w:t>
      </w:r>
      <w:bookmarkEnd w:id="32"/>
      <w:bookmarkEnd w:id="33"/>
      <w:bookmarkEnd w:id="34"/>
      <w:r>
        <w:rPr>
          <w:rFonts w:ascii="Arial" w:eastAsia="Arial" w:hAnsi="Arial" w:cs="Arial"/>
          <w:szCs w:val="24"/>
        </w:rPr>
        <w:t xml:space="preserve">ODGOJ I OBRAZOVANJE ZA ZAŠTITU OKOLIŠA I ODRŽIVI RAZVOJ</w:t>
      </w:r>
    </w:p>
    <w:p>
      <w:pPr>
        <w:pBdr/>
        <w:pStyle w:val="Heading 2"/>
        <w:spacing/>
        <w:ind/>
        <w:rPr/>
      </w:pPr>
      <w:r>
        <w:rPr/>
        <w:t xml:space="preserve">Članak 284.</w:t>
      </w:r>
    </w:p>
    <w:p>
      <w:pPr>
        <w:pBdr/>
        <w:pStyle w:val="Normal"/>
        <w:spacing/>
        <w:ind/>
        <w:rPr>
          <w:rFonts w:ascii="Arial" w:eastAsia="Arial" w:hAnsi="Arial" w:cs="Arial"/>
        </w:rPr>
      </w:pPr>
      <w:r>
        <w:rPr>
          <w:rFonts w:ascii="Arial" w:eastAsia="Arial" w:hAnsi="Arial" w:cs="Arial"/>
        </w:rPr>
        <w:t xml:space="preserve">(1) Država osigurava provedbu odgoja i obrazovanja za zaštitu okoliša i održivi razvoj u odgojno-obrazovnom sustavu te potiče razvoj sustava zaštite okoliša i unaprjeđenje zaštite okoliša.</w:t>
      </w:r>
    </w:p>
    <w:p>
      <w:pPr>
        <w:pBdr/>
        <w:pStyle w:val="Normal"/>
        <w:spacing/>
        <w:ind/>
        <w:rPr>
          <w:rFonts w:ascii="Arial" w:eastAsia="Arial" w:hAnsi="Arial" w:cs="Arial"/>
        </w:rPr>
      </w:pPr>
      <w:r>
        <w:rPr>
          <w:rFonts w:ascii="Arial" w:eastAsia="Arial" w:hAnsi="Arial" w:cs="Arial"/>
          <w:color w:val="000000"/>
        </w:rPr>
        <w:t xml:space="preserve">(2) Ministarstvo u suradnji s ministarstvom nadležnim za obrazovanje te u suradnji sa županijama i Gradom Zagrebom utvrđuje smjernice obrazovnog programa za zajedničku provedbu odgoja za održivi razvoj u skladu s Planom </w:t>
      </w:r>
      <w:r>
        <w:rPr>
          <w:rFonts w:ascii="Arial" w:eastAsia="Arial" w:hAnsi="Arial" w:cs="Arial"/>
        </w:rPr>
        <w:t xml:space="preserve">iz članka 17. ovoga </w:t>
      </w:r>
      <w:r>
        <w:rPr>
          <w:rFonts w:ascii="Arial" w:eastAsia="Arial" w:hAnsi="Arial" w:cs="Arial"/>
          <w:color w:val="000000"/>
        </w:rPr>
        <w:t xml:space="preserve">Zakona.</w:t>
      </w:r>
    </w:p>
    <w:p>
      <w:pPr>
        <w:pBdr/>
        <w:pStyle w:val="Normal"/>
        <w:spacing/>
        <w:ind/>
        <w:rPr>
          <w:rFonts w:ascii="Arial" w:eastAsia="Arial" w:hAnsi="Arial" w:cs="Arial"/>
        </w:rPr>
      </w:pPr>
      <w:r>
        <w:rPr>
          <w:rFonts w:ascii="Arial" w:eastAsia="Arial" w:hAnsi="Arial" w:cs="Arial"/>
        </w:rPr>
        <w:t xml:space="preserve">(3) Država osigurava poučavanje javnosti o načinima učinkovite zaštite okoliša, uključujući racionalnu uporabu raspoloživih dobara.</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397071809" w:id="35"/>
      <w:bookmarkStart w:name="_Toc425679446" w:id="36"/>
      <w:bookmarkStart w:name="_Toc237275931" w:id="37"/>
      <w:r>
        <w:rPr>
          <w:rFonts w:ascii="Arial" w:eastAsia="Arial" w:hAnsi="Arial" w:cs="Arial"/>
          <w:szCs w:val="24"/>
        </w:rPr>
        <w:t xml:space="preserve">GLAVA VI. </w:t>
      </w:r>
      <w:bookmarkEnd w:id="35"/>
      <w:bookmarkEnd w:id="36"/>
      <w:bookmarkEnd w:id="37"/>
      <w:r>
        <w:rPr>
          <w:rFonts w:ascii="Arial" w:eastAsia="Arial" w:hAnsi="Arial" w:cs="Arial"/>
          <w:szCs w:val="24"/>
        </w:rPr>
        <w:t xml:space="preserve">EKONOMSKI POTICAJI</w:t>
      </w:r>
    </w:p>
    <w:p>
      <w:pPr>
        <w:pBdr/>
        <w:pStyle w:val="Heading 2"/>
        <w:spacing/>
        <w:ind/>
        <w:rPr/>
      </w:pPr>
      <w:r>
        <w:rPr/>
        <w:t xml:space="preserve">Članak 285.</w:t>
      </w:r>
    </w:p>
    <w:p>
      <w:pPr>
        <w:pBdr/>
        <w:pStyle w:val="Normal"/>
        <w:spacing/>
        <w:ind/>
        <w:rPr>
          <w:rFonts w:ascii="Arial" w:eastAsia="Arial" w:hAnsi="Arial" w:cs="Arial"/>
        </w:rPr>
      </w:pPr>
      <w:r>
        <w:rPr>
          <w:rFonts w:ascii="Arial" w:eastAsia="Arial" w:hAnsi="Arial" w:cs="Arial"/>
        </w:rPr>
        <w:t xml:space="preserve">(1) Radi smanjenja opterećenja okoliša, posebnim propisima kojima se uređuju pojedine sastavnice okoliša i opterećenja okoliša mogu se propisati ekonomski instrumenti, osobito ekološke naknade, jamstva, polog, povratne i druge naknade.</w:t>
      </w:r>
    </w:p>
    <w:p>
      <w:pPr>
        <w:pBdr/>
        <w:pStyle w:val="Normal"/>
        <w:spacing/>
        <w:ind/>
        <w:rPr>
          <w:rFonts w:ascii="Arial" w:eastAsia="Arial" w:hAnsi="Arial" w:cs="Arial"/>
        </w:rPr>
      </w:pPr>
      <w:r>
        <w:rPr>
          <w:rFonts w:ascii="Arial" w:eastAsia="Arial" w:hAnsi="Arial" w:cs="Arial"/>
        </w:rPr>
        <w:t xml:space="preserve">(2) Posebnim propisima iz stavka 1. ovoga članka mogu se propisati olakšice za proizvode i usluge kojima se potiče povrat proizvoda ili ambalaže, ponovna uporaba, recikliranje ili drugi načini smanjenja negativnih utjecaja na okoliš.</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DIO ČETRNAESTI NADZOR</w:t>
      </w:r>
    </w:p>
    <w:p>
      <w:pPr>
        <w:pBdr/>
        <w:pStyle w:val="Heading 1"/>
        <w:spacing/>
        <w:ind/>
        <w:rPr>
          <w:rFonts w:ascii="Arial" w:eastAsia="Arial" w:hAnsi="Arial" w:cs="Arial"/>
          <w:szCs w:val="24"/>
        </w:rPr>
      </w:pPr>
      <w:r>
        <w:rPr>
          <w:rFonts w:ascii="Arial" w:eastAsia="Arial" w:hAnsi="Arial" w:cs="Arial"/>
          <w:szCs w:val="24"/>
        </w:rPr>
        <w:t xml:space="preserve">GLAVA I. </w:t>
      </w:r>
      <w:bookmarkStart w:name="_Toc397071811" w:id="38"/>
      <w:bookmarkStart w:name="_Toc425679448" w:id="39"/>
      <w:bookmarkStart w:name="_Toc237275933" w:id="40"/>
      <w:r>
        <w:rPr>
          <w:rFonts w:ascii="Arial" w:eastAsia="Arial" w:hAnsi="Arial" w:cs="Arial"/>
          <w:szCs w:val="24"/>
        </w:rPr>
        <w:t xml:space="preserve">UPRAVNI NADZOR</w:t>
      </w:r>
      <w:bookmarkEnd w:id="38"/>
      <w:bookmarkEnd w:id="39"/>
      <w:bookmarkEnd w:id="40"/>
    </w:p>
    <w:p>
      <w:pPr>
        <w:pBdr/>
        <w:pStyle w:val="Heading 2"/>
        <w:spacing/>
        <w:ind/>
        <w:rPr/>
      </w:pPr>
      <w:r>
        <w:rPr/>
        <w:t xml:space="preserve">Članak 286.</w:t>
      </w:r>
    </w:p>
    <w:p>
      <w:pPr>
        <w:pBdr/>
        <w:pStyle w:val="Normal"/>
        <w:spacing/>
        <w:ind/>
        <w:rPr>
          <w:rFonts w:ascii="Arial" w:eastAsia="Arial" w:hAnsi="Arial" w:cs="Arial"/>
        </w:rPr>
      </w:pPr>
      <w:r>
        <w:rPr>
          <w:rFonts w:ascii="Arial" w:eastAsia="Arial" w:hAnsi="Arial" w:cs="Arial"/>
        </w:rPr>
        <w:t xml:space="preserve">(1) Upravni nadzor nad poslovima povjerenima ovim Zakonom obavlja Ministarstvo.</w:t>
      </w:r>
    </w:p>
    <w:p>
      <w:pPr>
        <w:pBdr/>
        <w:pStyle w:val="Normal"/>
        <w:spacing/>
        <w:ind/>
        <w:rPr>
          <w:rFonts w:ascii="Arial" w:eastAsia="Arial" w:hAnsi="Arial" w:cs="Arial"/>
        </w:rPr>
      </w:pPr>
      <w:r>
        <w:rPr>
          <w:rFonts w:ascii="Arial" w:eastAsia="Arial" w:hAnsi="Arial" w:cs="Arial"/>
        </w:rPr>
        <w:t xml:space="preserve">(2) Upravni nadzor provode službenici Ministarstva koje ovlasti ministar.</w:t>
      </w:r>
    </w:p>
    <w:p>
      <w:pPr>
        <w:pBdr/>
        <w:pStyle w:val="Normal"/>
        <w:spacing/>
        <w:ind/>
        <w:rPr>
          <w:rFonts w:ascii="Arial" w:eastAsia="Arial" w:hAnsi="Arial" w:cs="Arial"/>
          <w:b/>
          <w:bCs/>
        </w:rPr>
      </w:pPr>
    </w:p>
    <w:p>
      <w:pPr>
        <w:pBdr/>
        <w:pStyle w:val="Heading 2"/>
        <w:spacing/>
        <w:ind/>
        <w:rPr/>
      </w:pPr>
      <w:r>
        <w:rPr/>
        <w:t xml:space="preserve">Članak 287.</w:t>
      </w:r>
    </w:p>
    <w:p>
      <w:pPr>
        <w:pBdr/>
        <w:pStyle w:val="Normal"/>
        <w:spacing/>
        <w:ind/>
        <w:rPr>
          <w:rFonts w:ascii="Arial" w:eastAsia="Arial" w:hAnsi="Arial" w:cs="Arial"/>
          <w:color w:val="000000"/>
        </w:rPr>
      </w:pPr>
      <w:r>
        <w:rPr>
          <w:rFonts w:ascii="Arial" w:eastAsia="Arial" w:hAnsi="Arial" w:cs="Arial"/>
        </w:rPr>
        <w:t xml:space="preserve">Nadzor nad zakonitošću rada i općih akata referentnih centara u dijelu poslova za koje su ovlašteni odlukom Vlade obavlja Ministarstvo.</w:t>
      </w:r>
    </w:p>
    <w:p>
      <w:pPr>
        <w:pBdr/>
        <w:pStyle w:val="Normal"/>
        <w:spacing/>
        <w:ind/>
        <w:rPr>
          <w:rFonts w:ascii="Arial" w:eastAsia="Arial" w:hAnsi="Arial" w:cs="Arial"/>
          <w:color w:val="000000"/>
        </w:rPr>
      </w:pPr>
    </w:p>
    <w:p>
      <w:pPr>
        <w:pBdr/>
        <w:pStyle w:val="Heading 1"/>
        <w:spacing/>
        <w:ind/>
        <w:rPr>
          <w:rFonts w:ascii="Arial" w:eastAsia="Arial" w:hAnsi="Arial" w:cs="Arial"/>
          <w:szCs w:val="24"/>
        </w:rPr>
      </w:pPr>
      <w:bookmarkStart w:name="_Toc237275934" w:id="41"/>
      <w:bookmarkStart w:name="_Toc397071812" w:id="42"/>
      <w:bookmarkStart w:name="_Toc425679449" w:id="43"/>
      <w:r>
        <w:rPr>
          <w:rFonts w:ascii="Arial" w:eastAsia="Arial" w:hAnsi="Arial" w:cs="Arial"/>
          <w:szCs w:val="24"/>
        </w:rPr>
        <w:t xml:space="preserve">GLAVA II. </w:t>
      </w:r>
      <w:bookmarkEnd w:id="41"/>
      <w:bookmarkEnd w:id="42"/>
      <w:bookmarkEnd w:id="43"/>
      <w:r>
        <w:rPr>
          <w:rFonts w:ascii="Arial" w:eastAsia="Arial" w:hAnsi="Arial" w:cs="Arial"/>
          <w:szCs w:val="24"/>
        </w:rPr>
        <w:t xml:space="preserve">INSPEKCIJSKI NADZOR</w:t>
      </w:r>
    </w:p>
    <w:p>
      <w:pPr>
        <w:pBdr/>
        <w:pStyle w:val="Heading 2"/>
        <w:spacing/>
        <w:ind/>
        <w:rPr/>
      </w:pPr>
      <w:r>
        <w:rPr/>
        <w:t xml:space="preserve">Svrha i način provedbe inspekcijskog nadzora</w:t>
      </w:r>
    </w:p>
    <w:p>
      <w:pPr>
        <w:pBdr/>
        <w:pStyle w:val="Heading 2"/>
        <w:spacing/>
        <w:ind/>
        <w:rPr/>
      </w:pPr>
      <w:r>
        <w:rPr/>
        <w:t xml:space="preserve">Članak 288.</w:t>
      </w:r>
    </w:p>
    <w:p>
      <w:pPr>
        <w:pBdr/>
        <w:pStyle w:val="Normal"/>
        <w:spacing/>
        <w:ind/>
        <w:rPr>
          <w:rFonts w:ascii="Arial" w:eastAsia="Arial" w:hAnsi="Arial" w:cs="Arial"/>
        </w:rPr>
      </w:pPr>
      <w:r>
        <w:rPr>
          <w:rFonts w:ascii="Arial" w:eastAsia="Arial" w:hAnsi="Arial" w:cs="Arial"/>
        </w:rPr>
        <w:t xml:space="preserve">(1) Inspekcijski nadzor nad primjenom odredbi ovoga Zakona i propisa donesenih na temelju ovoga Zakona obavlja inspekcija zaštite okoliša, a nadzor pojedinih sastavnica okoliša i zaštite od utjecaja opterećenja na okoliš obavljaju i druge inspekcije u okviru nadležnosti utvrđenih posebnim propisima. </w:t>
      </w:r>
    </w:p>
    <w:p>
      <w:pPr>
        <w:pBdr/>
        <w:pStyle w:val="Normal"/>
        <w:spacing/>
        <w:ind/>
        <w:rPr>
          <w:rFonts w:ascii="Arial" w:eastAsia="Arial" w:hAnsi="Arial" w:cs="Arial"/>
        </w:rPr>
      </w:pPr>
      <w:r>
        <w:rPr>
          <w:rFonts w:ascii="Arial" w:eastAsia="Arial" w:hAnsi="Arial" w:cs="Arial"/>
        </w:rPr>
        <w:t xml:space="preserve">(2) U slučajevima propisanim ovim Zakonom inspekcija zaštite okoliša i druge inspekcije nadležne prema posebnim propisima provode zajednički inspekcijski nadzor u području okoliša (u daljnjem tekstu: koordinirani inspekcijski nadzor), koji koordinira inspekcija zaštite okoliša.</w:t>
      </w:r>
    </w:p>
    <w:p>
      <w:pPr>
        <w:pBdr/>
        <w:pStyle w:val="Normal"/>
        <w:spacing/>
        <w:ind/>
        <w:rPr>
          <w:rFonts w:ascii="Arial" w:eastAsia="Arial" w:hAnsi="Arial" w:cs="Arial"/>
        </w:rPr>
      </w:pPr>
      <w:r>
        <w:rPr>
          <w:rFonts w:ascii="Arial" w:eastAsia="Arial" w:hAnsi="Arial" w:cs="Arial"/>
        </w:rPr>
        <w:t xml:space="preserve">(3) Koordinirani inspekcijski nadzor postrojenja za koja je propisana obveza ishođenja okolišne dozvole i postrojenja za uzgoj životinja iz članka 155. ovoga Zakona obuhvaća osobito očevide na lokaciji, praćenje emisija, provjeru internih izvješća i prateće dokumentacije, provjeru samopraćenja, korištenih tehnika i prikladnosti upravljanja okolišem u postrojenju te druge potrebne radnje radi provjere i unaprjeđenja usklađenosti rada postrojenja sa zahtjevima ovoga Zakona i propisa donesenih na temelju ovoga Zakona te, prema potrebi, praćenja učinka rada postrojenja na okoliš.</w:t>
      </w:r>
    </w:p>
    <w:p>
      <w:pPr>
        <w:pBdr/>
        <w:pStyle w:val="Normal"/>
        <w:spacing/>
        <w:ind/>
        <w:rPr>
          <w:rFonts w:ascii="Arial" w:eastAsia="Arial" w:hAnsi="Arial" w:cs="Arial"/>
        </w:rPr>
      </w:pPr>
      <w:r>
        <w:rPr>
          <w:rFonts w:ascii="Arial" w:eastAsia="Arial" w:hAnsi="Arial" w:cs="Arial"/>
        </w:rPr>
        <w:t xml:space="preserve">(4) U koordiniranom inspekcijskom nadzoru postrojenja za koja je propisana obveza ishođenja okolišne dozvole sudjeluju inspekcije nadležne prema posebnim propisima za pojedine sastavnice okoliša i zaštitu od utjecaja opterećenja na okoliš te se osobito provjerava usklađenost rada postrojenja s uvjetima okolišne dozvole.</w:t>
      </w:r>
    </w:p>
    <w:p>
      <w:pPr>
        <w:pBdr/>
        <w:pStyle w:val="Normal"/>
        <w:spacing/>
        <w:ind/>
        <w:rPr>
          <w:rFonts w:ascii="Arial" w:eastAsia="Arial" w:hAnsi="Arial" w:cs="Arial"/>
        </w:rPr>
      </w:pPr>
      <w:r>
        <w:rPr>
          <w:rFonts w:ascii="Arial" w:eastAsia="Arial" w:hAnsi="Arial" w:cs="Arial"/>
        </w:rPr>
        <w:t xml:space="preserve">(5) U koordiniranom inspekcijskom nadzoru postrojenja za uzgoj životinja iz članka 155. ovoga Zakona, neovisno o tome je li djelatnost uzgoja životinja obuhvaćena rješenjem o registraciji ili okolišnom dozvolom u skladu sa člankom 157. ovoga Zakona, sudjeluju </w:t>
      </w:r>
      <w:r>
        <w:rPr>
          <w:rFonts w:ascii="Arial" w:eastAsia="Arial" w:hAnsi="Arial" w:cs="Arial"/>
        </w:rPr>
        <w:t xml:space="preserve">inspekcije nadležne prema posebnim propisima za pojedine sastavnice okoliša i zaštitu od utjecaja opterećenja na okoliš te se provjerava ispunjavanje obveza propisanih ovim Zakonom, operativnih pravila propisanih pravilnikom iz članka 163. stavka 1. ovoga Zakona i zahtjeva propisanih posebnim propisima.</w:t>
      </w:r>
    </w:p>
    <w:p>
      <w:pPr>
        <w:pBdr/>
        <w:pStyle w:val="Normal"/>
        <w:spacing/>
        <w:ind/>
        <w:rPr>
          <w:rFonts w:ascii="Arial" w:eastAsia="Arial" w:hAnsi="Arial" w:cs="Arial"/>
        </w:rPr>
      </w:pPr>
      <w:r>
        <w:rPr>
          <w:rFonts w:ascii="Arial" w:eastAsia="Arial" w:hAnsi="Arial" w:cs="Arial"/>
        </w:rPr>
        <w:t xml:space="preserve">(6) Koordinirani inspekcijski nadzor područja postrojenja u kojima su prisutne opasne tvari (u daljnjem tekstu: koordinirani Seveso nadzor) provodi se neovisno o primitku izvješća o sigurnosti ili drugog podnesenog izvješća, uz sudjelovanje inspekcija nadležnih prema posebnim propisima za poslove zaštite od požara i eksplozivnih tvari, civilne zaštite, zaštite na radu, opasnih kemikalija, rudarstva, opreme pod tlakom, elektroenergetike te vodnoga gospodarstva i, prema potrebi, morskih voda, radi ispitivanja mjera, tehničkih i organizacijskih sustava odnosno sustava upravljanja u području postrojenja i provjere usklađenosti područja postrojenja sa zahtjevima ovoga Zakona i posebnih propisa iz navedenih područja.</w:t>
      </w:r>
    </w:p>
    <w:p>
      <w:pPr>
        <w:pBdr/>
        <w:pStyle w:val="Normal"/>
        <w:spacing/>
        <w:ind/>
        <w:rPr>
          <w:rFonts w:ascii="Arial" w:eastAsia="Arial" w:hAnsi="Arial" w:cs="Arial"/>
        </w:rPr>
      </w:pPr>
      <w:r>
        <w:rPr>
          <w:rFonts w:ascii="Arial" w:eastAsia="Arial" w:hAnsi="Arial" w:cs="Arial"/>
        </w:rPr>
        <w:t xml:space="preserve">(7) Inspekcijski nadzor nad ispunjavanjem obveza operatera propisanih Uredbom (EU) 2024/1244 provodi inspekcija zaštite okoliša.</w:t>
      </w:r>
    </w:p>
    <w:p>
      <w:pPr>
        <w:pBdr/>
        <w:pStyle w:val="Normal"/>
        <w:spacing/>
        <w:ind/>
        <w:rPr>
          <w:rFonts w:ascii="Arial" w:eastAsia="Arial" w:hAnsi="Arial" w:cs="Arial"/>
        </w:rPr>
      </w:pPr>
      <w:r>
        <w:rPr>
          <w:rFonts w:ascii="Arial" w:eastAsia="Arial" w:hAnsi="Arial" w:cs="Arial"/>
        </w:rPr>
        <w:t xml:space="preserve">(8) Nadzor proizvođača, odnosno osobe koja stavlja proizvod na tržište vezano za označavanje proizvoda i ambalaže iz članka 242. ovoga Zakona provode inspektori nadležni za označavanje proizvoda, svaki u svom djelokrugu određenom posebnim propisima. </w:t>
      </w:r>
    </w:p>
    <w:p>
      <w:pPr>
        <w:pBdr/>
        <w:pStyle w:val="Normal"/>
        <w:spacing/>
        <w:ind/>
        <w:rPr>
          <w:rFonts w:ascii="Arial" w:eastAsia="Arial" w:hAnsi="Arial" w:cs="Arial"/>
        </w:rPr>
      </w:pPr>
      <w:r>
        <w:rPr>
          <w:rFonts w:ascii="Arial" w:eastAsia="Arial" w:hAnsi="Arial" w:cs="Arial"/>
        </w:rPr>
        <w:t xml:space="preserve">(9) Svaka inspekcija postupa samostalno u okviru nadležnosti utvrđenih posebnim propisima, pri čemu samostalno postupanje ne zamjenjuje provedbu koordiniranog inspekcijskog nadzora kada je njegova provedba propisana ovim Zakonom.</w:t>
      </w:r>
    </w:p>
    <w:p>
      <w:pPr>
        <w:pBdr/>
        <w:pStyle w:val="Normal"/>
        <w:spacing/>
        <w:ind/>
        <w:rPr>
          <w:rFonts w:ascii="Arial" w:eastAsia="Arial" w:hAnsi="Arial" w:cs="Arial"/>
        </w:rPr>
      </w:pPr>
    </w:p>
    <w:p>
      <w:pPr>
        <w:pBdr/>
        <w:pStyle w:val="Heading 2"/>
        <w:spacing/>
        <w:ind/>
        <w:rPr/>
      </w:pPr>
      <w:r>
        <w:rPr/>
        <w:t xml:space="preserve">Planiranje inspekcijskog nadzora</w:t>
      </w:r>
    </w:p>
    <w:p>
      <w:pPr>
        <w:pBdr/>
        <w:pStyle w:val="Heading 2"/>
        <w:spacing/>
        <w:ind/>
        <w:rPr/>
      </w:pPr>
      <w:r>
        <w:rPr/>
        <w:t xml:space="preserve">Članak 289.</w:t>
      </w:r>
    </w:p>
    <w:p>
      <w:pPr>
        <w:pBdr/>
        <w:pStyle w:val="Normal"/>
        <w:spacing/>
        <w:ind/>
        <w:rPr>
          <w:rFonts w:ascii="Arial" w:eastAsia="Arial" w:hAnsi="Arial" w:cs="Arial"/>
        </w:rPr>
      </w:pPr>
      <w:r>
        <w:rPr>
          <w:rFonts w:ascii="Arial" w:eastAsia="Arial" w:hAnsi="Arial" w:cs="Arial"/>
        </w:rPr>
        <w:t xml:space="preserve">(1) Tijelo nadležno za inspekcijske poslove osigurava da plan rada inspekcije zaštite okoliša, izrađen u skladu s ovim Zakonom i posebnim propisima kojima se uređuju inspekcijski poslovi, obuhvaća sva postrojenja za koja je propisana obveza ishođenja okolišne dozvole, postrojenja za uzgoj životinja iz članka 155. ovoga Zakona i sva područja postrojenja u kojima su prisutne opasne tvari te da se redovito preispituje i ažurira. </w:t>
      </w:r>
    </w:p>
    <w:p>
      <w:pPr>
        <w:pBdr/>
        <w:pStyle w:val="Normal"/>
        <w:spacing/>
        <w:ind/>
        <w:rPr>
          <w:rFonts w:ascii="Arial" w:eastAsia="Arial" w:hAnsi="Arial" w:cs="Arial"/>
        </w:rPr>
      </w:pPr>
      <w:r>
        <w:rPr>
          <w:rFonts w:ascii="Arial" w:eastAsia="Arial" w:hAnsi="Arial" w:cs="Arial"/>
        </w:rPr>
        <w:t xml:space="preserve">(2) Plan rada inspekcije zaštite okoliša iz stavka 1. ovoga članka sadrži:</w:t>
      </w:r>
    </w:p>
    <w:p>
      <w:pPr>
        <w:pBdr/>
        <w:pStyle w:val="Normal"/>
        <w:spacing/>
        <w:ind/>
        <w:rPr>
          <w:rFonts w:ascii="Arial" w:eastAsia="Arial" w:hAnsi="Arial" w:cs="Arial"/>
        </w:rPr>
      </w:pPr>
      <w:r>
        <w:rPr>
          <w:rFonts w:ascii="Arial" w:eastAsia="Arial" w:hAnsi="Arial" w:cs="Arial"/>
        </w:rPr>
        <w:t xml:space="preserve">- opću procjenu značajnih pitanja zaštite okoliša za postrojenja te opću procjenu značajnih sigurnosnih pitanja za područja postrojenja</w:t>
      </w:r>
    </w:p>
    <w:p>
      <w:pPr>
        <w:pBdr/>
        <w:pStyle w:val="Normal"/>
        <w:spacing/>
        <w:ind/>
        <w:rPr>
          <w:rFonts w:ascii="Arial" w:eastAsia="Arial" w:hAnsi="Arial" w:cs="Arial"/>
        </w:rPr>
      </w:pPr>
      <w:r>
        <w:rPr>
          <w:rFonts w:ascii="Arial" w:eastAsia="Arial" w:hAnsi="Arial" w:cs="Arial"/>
        </w:rPr>
        <w:t xml:space="preserve">- geografsko područje obuhvaćeno planom </w:t>
      </w:r>
    </w:p>
    <w:p>
      <w:pPr>
        <w:pBdr/>
        <w:pStyle w:val="Normal"/>
        <w:spacing/>
        <w:ind/>
        <w:rPr>
          <w:rFonts w:ascii="Arial" w:eastAsia="Arial" w:hAnsi="Arial" w:cs="Arial"/>
        </w:rPr>
      </w:pPr>
      <w:r>
        <w:rPr>
          <w:rFonts w:ascii="Arial" w:eastAsia="Arial" w:hAnsi="Arial" w:cs="Arial"/>
        </w:rPr>
        <w:t xml:space="preserve">- registar postrojenja i popis područja postrojenja obuhvaćenih planom </w:t>
      </w:r>
    </w:p>
    <w:p>
      <w:pPr>
        <w:pBdr/>
        <w:pStyle w:val="Normal"/>
        <w:spacing/>
        <w:ind/>
        <w:rPr>
          <w:rFonts w:ascii="Arial" w:eastAsia="Arial" w:hAnsi="Arial" w:cs="Arial"/>
        </w:rPr>
      </w:pPr>
      <w:r>
        <w:rPr>
          <w:rFonts w:ascii="Arial" w:eastAsia="Arial" w:hAnsi="Arial" w:cs="Arial"/>
        </w:rPr>
        <w:t xml:space="preserve">- popis skupina područja postrojenja s mogućim domino efektom</w:t>
      </w:r>
    </w:p>
    <w:p>
      <w:pPr>
        <w:pBdr/>
        <w:pStyle w:val="Normal"/>
        <w:spacing/>
        <w:ind/>
        <w:rPr>
          <w:rFonts w:ascii="Arial" w:eastAsia="Arial" w:hAnsi="Arial" w:cs="Arial"/>
        </w:rPr>
      </w:pPr>
      <w:r>
        <w:rPr>
          <w:rFonts w:ascii="Arial" w:eastAsia="Arial" w:hAnsi="Arial" w:cs="Arial"/>
        </w:rPr>
        <w:t xml:space="preserve">- popis područja postrojenja u kojima bi posebni vanjski rizici ili izvori opasnosti mogli povećati rizik od velike nesreće ili njezine posljedice</w:t>
      </w:r>
    </w:p>
    <w:p>
      <w:pPr>
        <w:pBdr/>
        <w:pStyle w:val="Normal"/>
        <w:spacing/>
        <w:ind/>
        <w:rPr>
          <w:rFonts w:ascii="Arial" w:eastAsia="Arial" w:hAnsi="Arial" w:cs="Arial"/>
        </w:rPr>
      </w:pPr>
      <w:r>
        <w:rPr>
          <w:rFonts w:ascii="Arial" w:eastAsia="Arial" w:hAnsi="Arial" w:cs="Arial"/>
        </w:rPr>
        <w:t xml:space="preserve">- postupke za izradu programa redovnih inspekcijskih nadzora u skladu sa člankom 290. ovoga Zakona</w:t>
      </w:r>
    </w:p>
    <w:p>
      <w:pPr>
        <w:pBdr/>
        <w:pStyle w:val="Normal"/>
        <w:spacing/>
        <w:ind/>
        <w:rPr>
          <w:rFonts w:ascii="Arial" w:eastAsia="Arial" w:hAnsi="Arial" w:cs="Arial"/>
        </w:rPr>
      </w:pPr>
      <w:r>
        <w:rPr>
          <w:rFonts w:ascii="Arial" w:eastAsia="Arial" w:hAnsi="Arial" w:cs="Arial"/>
        </w:rPr>
        <w:t xml:space="preserve">- postupke za provedbu izvanrednih inspekcijskih nadzora u skladu sa člankom 292. ovoga Zakona</w:t>
      </w:r>
    </w:p>
    <w:p>
      <w:pPr>
        <w:pBdr/>
        <w:pStyle w:val="Normal"/>
        <w:spacing/>
        <w:ind/>
        <w:rPr>
          <w:rFonts w:ascii="Arial" w:eastAsia="Arial" w:hAnsi="Arial" w:cs="Arial"/>
          <w:color w:val="000000"/>
        </w:rPr>
      </w:pPr>
      <w:r>
        <w:rPr>
          <w:rFonts w:ascii="Arial" w:eastAsia="Arial" w:hAnsi="Arial" w:cs="Arial"/>
        </w:rPr>
        <w:t xml:space="preserve">- odredbe o suradnji između različitih inspekcijskih tijela, prema potrebi.</w:t>
      </w:r>
    </w:p>
    <w:p>
      <w:pPr>
        <w:pBdr/>
        <w:pStyle w:val="Normal"/>
        <w:spacing/>
        <w:ind/>
        <w:rPr>
          <w:rFonts w:ascii="Arial" w:eastAsia="Arial" w:hAnsi="Arial" w:cs="Arial"/>
          <w:color w:val="000000"/>
        </w:rPr>
      </w:pPr>
    </w:p>
    <w:p>
      <w:pPr>
        <w:pBdr/>
        <w:pStyle w:val="Heading 2"/>
        <w:spacing/>
        <w:ind/>
        <w:rPr/>
      </w:pPr>
      <w:r>
        <w:rPr/>
        <w:t xml:space="preserve">Učestalost koordiniranih inspekcijskih nadzora i procjena rizika</w:t>
      </w:r>
    </w:p>
    <w:p>
      <w:pPr>
        <w:pBdr/>
        <w:pStyle w:val="Heading 2"/>
        <w:spacing/>
        <w:ind/>
        <w:rPr/>
      </w:pPr>
      <w:r>
        <w:rPr/>
        <w:t xml:space="preserve">Članak 290.</w:t>
      </w:r>
    </w:p>
    <w:p>
      <w:pPr>
        <w:pBdr/>
        <w:pStyle w:val="Normal"/>
        <w:spacing/>
        <w:ind/>
        <w:rPr>
          <w:rFonts w:ascii="Arial" w:eastAsia="Arial" w:hAnsi="Arial" w:cs="Arial"/>
        </w:rPr>
      </w:pPr>
      <w:r>
        <w:rPr>
          <w:rFonts w:ascii="Arial" w:eastAsia="Arial" w:hAnsi="Arial" w:cs="Arial"/>
          <w:color w:val="000000"/>
        </w:rPr>
        <w:t xml:space="preserve">(1) Tijelo </w:t>
      </w:r>
      <w:r>
        <w:rPr>
          <w:rFonts w:ascii="Arial" w:eastAsia="Arial" w:hAnsi="Arial" w:cs="Arial"/>
        </w:rPr>
        <w:t xml:space="preserve">nadležno za inspekcijske poslove na temelju plana rada inspekcije zaštite okoliša iz članka 289. ovoga Zakona redovito izrađuje programe redovnih odnosno koordiniranih inspekcijskih nadzora za različite vrste postrojenja i sva područja postrojenja, kojima određuje učestalost očevida na lokacijama postrojenja za koje je propisana obveza ishođenja okolišne dozvole te obilazaka lokacija područja postrojenja. </w:t>
      </w:r>
    </w:p>
    <w:p>
      <w:pPr>
        <w:pBdr/>
        <w:pStyle w:val="Normal"/>
        <w:spacing/>
        <w:ind/>
        <w:rPr>
          <w:rFonts w:ascii="Arial" w:eastAsia="Arial" w:hAnsi="Arial" w:cs="Arial"/>
        </w:rPr>
      </w:pPr>
      <w:r>
        <w:rPr>
          <w:rFonts w:ascii="Arial" w:eastAsia="Arial" w:hAnsi="Arial" w:cs="Arial"/>
        </w:rPr>
        <w:t xml:space="preserve">(2) Razdoblje između dvaju uzastopnih očevida na lokaciji postrojenja za koje je propisana obveza okolišne dozvole određuje se na temelju sustavne procjene rizika koji postrojenje predstavlja za okoliš i ne smije biti dulje od jedne godine za postrojenja koja predstavljaju najveći rizik odnosno tri godine za postrojenja koja predstavljaju najmanji rizik. </w:t>
      </w:r>
    </w:p>
    <w:p>
      <w:pPr>
        <w:pBdr/>
        <w:pStyle w:val="Normal"/>
        <w:spacing/>
        <w:ind/>
        <w:rPr>
          <w:rFonts w:ascii="Arial" w:eastAsia="Arial" w:hAnsi="Arial" w:cs="Arial"/>
        </w:rPr>
      </w:pPr>
      <w:r>
        <w:rPr>
          <w:rFonts w:ascii="Arial" w:eastAsia="Arial" w:hAnsi="Arial" w:cs="Arial"/>
        </w:rPr>
        <w:t xml:space="preserve">(3) Sustavna procjena rizika za okoliš iz stavka 2. ovoga članka temelji se najmanje na sljedećim kriterijima:</w:t>
      </w:r>
    </w:p>
    <w:p>
      <w:pPr>
        <w:pBdr/>
        <w:pStyle w:val="Normal"/>
        <w:spacing/>
        <w:ind/>
        <w:rPr>
          <w:rFonts w:ascii="Arial" w:eastAsia="Arial" w:hAnsi="Arial" w:cs="Arial"/>
        </w:rPr>
      </w:pPr>
      <w:r>
        <w:rPr>
          <w:rFonts w:ascii="Arial" w:eastAsia="Arial" w:hAnsi="Arial" w:cs="Arial"/>
        </w:rPr>
        <w:t xml:space="preserve">1. mogućim i stvarnim učincima postrojenja na zdravlje ljudi i okoliš, uzimajući u obzir razine i vrste emisija, osjetljivost lokalnog okoliša i rizik od nesreća</w:t>
      </w:r>
    </w:p>
    <w:p>
      <w:pPr>
        <w:pBdr/>
        <w:pStyle w:val="Normal"/>
        <w:spacing/>
        <w:ind/>
        <w:rPr>
          <w:rFonts w:ascii="Arial" w:eastAsia="Arial" w:hAnsi="Arial" w:cs="Arial"/>
        </w:rPr>
      </w:pPr>
      <w:r>
        <w:rPr>
          <w:rFonts w:ascii="Arial" w:eastAsia="Arial" w:hAnsi="Arial" w:cs="Arial"/>
        </w:rPr>
        <w:t xml:space="preserve">2. podacima o ispunjavanju uvjeta okolišne dozvole</w:t>
      </w:r>
    </w:p>
    <w:p>
      <w:pPr>
        <w:pBdr/>
        <w:pStyle w:val="Normal"/>
        <w:spacing/>
        <w:ind/>
        <w:rPr>
          <w:rFonts w:ascii="Arial" w:eastAsia="Arial" w:hAnsi="Arial" w:cs="Arial"/>
          <w:color w:val="000000"/>
        </w:rPr>
      </w:pPr>
      <w:r>
        <w:rPr>
          <w:rFonts w:ascii="Arial" w:eastAsia="Arial" w:hAnsi="Arial" w:cs="Arial"/>
        </w:rPr>
        <w:t xml:space="preserve">3. sudjelovanju operatera u sustavu EMAS Europske unije, u skladu s Uredbom </w:t>
      </w:r>
      <w:r>
        <w:rPr>
          <w:rFonts w:ascii="Arial" w:eastAsia="Arial" w:hAnsi="Arial" w:cs="Arial"/>
          <w:color w:val="000000"/>
        </w:rPr>
        <w:t xml:space="preserve">1221/2009.</w:t>
      </w:r>
    </w:p>
    <w:p>
      <w:pPr>
        <w:pBdr/>
        <w:pStyle w:val="Normal"/>
        <w:spacing/>
        <w:ind/>
        <w:rPr>
          <w:rFonts w:ascii="Arial" w:eastAsia="Arial" w:hAnsi="Arial" w:cs="Arial"/>
          <w:color w:val="000000"/>
        </w:rPr>
      </w:pPr>
      <w:r>
        <w:rPr>
          <w:rFonts w:ascii="Arial" w:eastAsia="Arial" w:hAnsi="Arial" w:cs="Arial"/>
          <w:color w:val="000000"/>
        </w:rPr>
        <w:t xml:space="preserve">(4) Razdoblje između dvaju uzastopnih obilazaka lokacije područja postrojenja ne smije biti dulje od jedne godine za viši razred postrojenja odnosno tri godine za niži razred postrojenja.</w:t>
      </w:r>
    </w:p>
    <w:p>
      <w:pPr>
        <w:pBdr/>
        <w:pStyle w:val="Normal"/>
        <w:spacing/>
        <w:ind/>
        <w:rPr>
          <w:rFonts w:ascii="Arial" w:eastAsia="Arial" w:hAnsi="Arial" w:cs="Arial"/>
          <w:color w:val="000000"/>
        </w:rPr>
      </w:pPr>
      <w:r>
        <w:rPr>
          <w:rFonts w:ascii="Arial" w:eastAsia="Arial" w:hAnsi="Arial" w:cs="Arial"/>
          <w:color w:val="000000"/>
        </w:rPr>
        <w:t xml:space="preserve">(5) Sustavna procjena rizika za područja postrojenja iz stavka 4. ovoga članka, temelji se najmanje na sljedećim kriterijima:</w:t>
      </w:r>
    </w:p>
    <w:p>
      <w:pPr>
        <w:pBdr/>
        <w:pStyle w:val="Normal"/>
        <w:spacing/>
        <w:ind/>
        <w:rPr>
          <w:rFonts w:ascii="Arial" w:eastAsia="Arial" w:hAnsi="Arial" w:cs="Arial"/>
          <w:color w:val="000000"/>
        </w:rPr>
      </w:pPr>
      <w:r>
        <w:rPr>
          <w:rFonts w:ascii="Arial" w:eastAsia="Arial" w:hAnsi="Arial" w:cs="Arial"/>
          <w:color w:val="000000"/>
        </w:rPr>
        <w:t xml:space="preserve">mogućim učincima područja postrojenja na zdravlje ljudi i okoliš</w:t>
      </w:r>
    </w:p>
    <w:p>
      <w:pPr>
        <w:pBdr/>
        <w:pStyle w:val="Normal"/>
        <w:spacing/>
        <w:ind/>
        <w:rPr>
          <w:rFonts w:ascii="Arial" w:eastAsia="Arial" w:hAnsi="Arial" w:cs="Arial"/>
        </w:rPr>
      </w:pPr>
      <w:r>
        <w:rPr>
          <w:rFonts w:ascii="Arial" w:eastAsia="Arial" w:hAnsi="Arial" w:cs="Arial"/>
        </w:rPr>
        <w:t xml:space="preserve">prethodnom ispunjavanju zahtjeva za sprječavanje velikih nesreća koje uključuju opasne tvari, propisanim ovim Zakonom i posebnim propisima iz područja zaštite od požara  i </w:t>
      </w:r>
      <w:r>
        <w:rPr>
          <w:rFonts w:ascii="Arial" w:eastAsia="Arial" w:hAnsi="Arial" w:cs="Arial"/>
          <w:color w:val="231F20"/>
        </w:rPr>
        <w:t xml:space="preserve">eksplozivnih tvari</w:t>
      </w:r>
      <w:r>
        <w:rPr>
          <w:rFonts w:ascii="Arial" w:eastAsia="Arial" w:hAnsi="Arial" w:cs="Arial"/>
        </w:rPr>
        <w:t xml:space="preserve">, civilne zaštite, zaštite na radu, opasnih kemikalija, opreme pod tlakom, elektroenergetike te vodnoga gospodarstva i morskih voda</w:t>
      </w:r>
    </w:p>
    <w:p>
      <w:pPr>
        <w:pBdr/>
        <w:pStyle w:val="Normal"/>
        <w:spacing/>
        <w:ind/>
        <w:rPr>
          <w:rFonts w:ascii="Arial" w:eastAsia="Arial" w:hAnsi="Arial" w:cs="Arial"/>
        </w:rPr>
      </w:pPr>
      <w:r>
        <w:rPr>
          <w:rFonts w:ascii="Arial" w:eastAsia="Arial" w:hAnsi="Arial" w:cs="Arial"/>
        </w:rPr>
        <w:t xml:space="preserve">prema potrebi, relevantnim nalazima inspekcijskih nadzora provedenih na temelju drugih propisa kojima se provodi pravo Europske unije.</w:t>
      </w:r>
    </w:p>
    <w:p>
      <w:pPr>
        <w:pBdr/>
        <w:pStyle w:val="Normal"/>
        <w:spacing/>
        <w:ind/>
        <w:rPr>
          <w:rFonts w:ascii="Arial" w:eastAsia="Arial" w:hAnsi="Arial" w:cs="Arial"/>
          <w:color w:val="000000"/>
        </w:rPr>
      </w:pPr>
    </w:p>
    <w:p>
      <w:pPr>
        <w:pBdr/>
        <w:pStyle w:val="Heading 2"/>
        <w:spacing/>
        <w:ind/>
        <w:rPr/>
      </w:pPr>
      <w:r>
        <w:rPr/>
        <w:t xml:space="preserve">Provedba nadzora i objava programa</w:t>
      </w:r>
    </w:p>
    <w:p>
      <w:pPr>
        <w:pBdr/>
        <w:pStyle w:val="Heading 2"/>
        <w:spacing/>
        <w:ind/>
        <w:rPr/>
      </w:pPr>
      <w:r>
        <w:rPr/>
        <w:t xml:space="preserve">Članak 291.</w:t>
      </w:r>
    </w:p>
    <w:p>
      <w:pPr>
        <w:pBdr/>
        <w:pStyle w:val="Normal"/>
        <w:spacing/>
        <w:ind/>
        <w:rPr>
          <w:rFonts w:ascii="Arial" w:eastAsia="Arial" w:hAnsi="Arial" w:cs="Arial"/>
          <w:color w:val="000000"/>
        </w:rPr>
      </w:pPr>
      <w:r>
        <w:rPr>
          <w:rFonts w:ascii="Arial" w:eastAsia="Arial" w:hAnsi="Arial" w:cs="Arial"/>
          <w:color w:val="000000"/>
        </w:rPr>
        <w:t xml:space="preserve">(1) Inspekcijski nadzor provodi se u skladu s godišnjim planom inspekcije i godišnjim programom rada inspekcije </w:t>
      </w:r>
      <w:r>
        <w:rPr>
          <w:rFonts w:ascii="Arial" w:eastAsia="Arial" w:hAnsi="Arial" w:cs="Arial"/>
        </w:rPr>
        <w:t xml:space="preserve">zaštite okoliša, koji se usklađuju s godišnjim planovima i programima rada drugih inspekcija radi provođenja koordiniranih inspekcijskih nadzora iz članka 288. </w:t>
      </w:r>
      <w:r>
        <w:rPr>
          <w:rFonts w:ascii="Arial" w:eastAsia="Arial" w:hAnsi="Arial" w:cs="Arial"/>
          <w:color w:val="000000"/>
        </w:rPr>
        <w:t xml:space="preserve">stavaka 4., 5. i 6.ovoga Zakona.</w:t>
      </w:r>
    </w:p>
    <w:p>
      <w:pPr>
        <w:pBdr/>
        <w:pStyle w:val="Normal"/>
        <w:spacing/>
        <w:ind/>
        <w:rPr>
          <w:rFonts w:ascii="Arial" w:eastAsia="Arial" w:hAnsi="Arial" w:cs="Arial"/>
          <w:color w:val="000000"/>
        </w:rPr>
      </w:pPr>
      <w:r>
        <w:rPr>
          <w:rFonts w:ascii="Arial" w:eastAsia="Arial" w:hAnsi="Arial" w:cs="Arial"/>
          <w:color w:val="000000"/>
        </w:rPr>
        <w:t xml:space="preserve">(2) Godišnji program rada inspektorata i pojedinih inspekcija objavljuje se na mrežnoj stranici tijela nadležnog za inspekcijske poslove sukladno posebnom propisu kojim se uređuje rad tijela nadležnog za inspekcijske poslove.</w:t>
      </w:r>
    </w:p>
    <w:p>
      <w:pPr>
        <w:pBdr/>
        <w:pStyle w:val="Normal"/>
        <w:spacing/>
        <w:ind/>
        <w:rPr>
          <w:rFonts w:ascii="Arial" w:eastAsia="Arial" w:hAnsi="Arial" w:cs="Arial"/>
          <w:color w:val="000000"/>
        </w:rPr>
      </w:pPr>
      <w:r>
        <w:rPr>
          <w:rFonts w:ascii="Arial" w:eastAsia="Arial" w:hAnsi="Arial" w:cs="Arial"/>
          <w:color w:val="000000"/>
        </w:rPr>
        <w:t xml:space="preserve">(3) Čelnik tijela nadležnog za inspekcijske poslove će sporazumno s ministrom  nadležnim za poslove obrane odrediti sadržaj i način obavljanja poslova inspekcijskog nadzora zaštite okoliša objekata, prostora i nekretnina koji služe za potrebe tijela nadležnog za poslove obrane.</w:t>
      </w:r>
    </w:p>
    <w:p>
      <w:pPr>
        <w:pBdr/>
        <w:pStyle w:val="Normal"/>
        <w:spacing/>
        <w:ind/>
        <w:rPr>
          <w:rFonts w:ascii="Arial" w:eastAsia="Arial" w:hAnsi="Arial" w:cs="Arial"/>
          <w:i/>
        </w:rPr>
      </w:pPr>
    </w:p>
    <w:p>
      <w:pPr>
        <w:pBdr/>
        <w:pStyle w:val="Heading 2"/>
        <w:spacing/>
        <w:ind/>
        <w:rPr/>
      </w:pPr>
      <w:r>
        <w:rPr/>
        <w:t xml:space="preserve">Izvanredni inspekcijski nadzori</w:t>
      </w:r>
    </w:p>
    <w:p>
      <w:pPr>
        <w:pBdr/>
        <w:pStyle w:val="Heading 2"/>
        <w:spacing/>
        <w:ind/>
        <w:rPr/>
      </w:pPr>
      <w:r>
        <w:rPr/>
        <w:t xml:space="preserve">Članak 292.</w:t>
      </w:r>
    </w:p>
    <w:p>
      <w:pPr>
        <w:pBdr/>
        <w:pStyle w:val="Normal"/>
        <w:spacing/>
        <w:ind/>
        <w:rPr>
          <w:rFonts w:ascii="Arial" w:eastAsia="Arial" w:hAnsi="Arial" w:cs="Arial"/>
        </w:rPr>
      </w:pPr>
      <w:r>
        <w:rPr>
          <w:rFonts w:ascii="Arial" w:eastAsia="Arial" w:hAnsi="Arial" w:cs="Arial"/>
        </w:rPr>
        <w:t xml:space="preserve">(1) Izvanredni inspekcijski nadzori odnosno koordinirani inspekcijski nadzori postrojenja obveznika ishođenja okolišne dozvole provode se radi ispitivanja ozbiljnih pritužbi u vezi s okolišem, ozbiljnih nesreća i nezgoda koje utječu na okoliš te slučajeva nesukladnosti, što je prije moguće te, kada je to primjereno, prije izdavanja, preispitivanja ili izmjene odnosno dopune okolišne dozvole. </w:t>
      </w:r>
    </w:p>
    <w:p>
      <w:pPr>
        <w:pBdr/>
        <w:pStyle w:val="Normal"/>
        <w:spacing/>
        <w:ind/>
        <w:rPr>
          <w:rFonts w:ascii="Arial" w:eastAsia="Arial" w:hAnsi="Arial" w:cs="Arial"/>
          <w:color w:val="000000"/>
        </w:rPr>
      </w:pPr>
      <w:r>
        <w:rPr>
          <w:rFonts w:ascii="Arial" w:eastAsia="Arial" w:hAnsi="Arial" w:cs="Arial"/>
        </w:rPr>
        <w:t xml:space="preserve">(2) Izvanredni inspekcijski nadzori odnosno koordinirani Seveso nadzori provode </w:t>
      </w:r>
      <w:r>
        <w:rPr>
          <w:rFonts w:ascii="Arial" w:eastAsia="Arial" w:hAnsi="Arial" w:cs="Arial"/>
          <w:color w:val="000000"/>
        </w:rPr>
        <w:t xml:space="preserve">se što je prije moguće radi ispitivanja ozbiljnih pritužbi, velikih nesreća, jedva izbjegnutih nesreća, iznenadnih i drugih događaji te slučajeva nesukladnosti povezanih s područjem postrojenja.</w:t>
      </w:r>
    </w:p>
    <w:p>
      <w:pPr>
        <w:pBdr/>
        <w:pStyle w:val="Normal"/>
        <w:spacing/>
        <w:ind/>
        <w:rPr>
          <w:rFonts w:ascii="Arial" w:eastAsia="Arial" w:hAnsi="Arial" w:cs="Arial"/>
          <w:color w:val="000000"/>
        </w:rPr>
      </w:pPr>
      <w:r>
        <w:rPr>
          <w:rFonts w:ascii="Arial" w:eastAsia="Arial" w:hAnsi="Arial" w:cs="Arial"/>
          <w:color w:val="000000"/>
        </w:rPr>
        <w:t xml:space="preserve">(3) Ako se tijekom koordiniranog inspekcijskog nadzora postrojenja za koje je izdana okolišna dozvola utvrdi značajna nesukladnost s uvjetima okolišne dozvole, dodatni inspekcijski nadzor provodi se u roku od šest mjeseci od dana prethodnog nadzora.</w:t>
      </w:r>
    </w:p>
    <w:p>
      <w:pPr>
        <w:pBdr/>
        <w:pStyle w:val="Normal"/>
        <w:spacing/>
        <w:ind/>
        <w:rPr>
          <w:rFonts w:ascii="Arial" w:eastAsia="Arial" w:hAnsi="Arial" w:cs="Arial"/>
          <w:color w:val="000000"/>
        </w:rPr>
      </w:pPr>
      <w:r>
        <w:rPr>
          <w:rFonts w:ascii="Arial" w:eastAsia="Arial" w:hAnsi="Arial" w:cs="Arial"/>
          <w:color w:val="000000"/>
        </w:rPr>
        <w:t xml:space="preserve">(4) Ako se tijekom </w:t>
      </w:r>
      <w:r>
        <w:rPr>
          <w:rFonts w:ascii="Arial" w:eastAsia="Arial" w:hAnsi="Arial" w:cs="Arial"/>
        </w:rPr>
        <w:t xml:space="preserve">koordiniranog</w:t>
      </w:r>
      <w:r>
        <w:rPr>
          <w:rFonts w:ascii="Arial" w:eastAsia="Arial" w:hAnsi="Arial" w:cs="Arial"/>
          <w:color w:val="000000"/>
        </w:rPr>
        <w:t xml:space="preserve"> Seveso nadzora inspekcijskim nadzorom utvrdi značajna nesukladnost s odredbama ovoga Zakona kojima se uređuje sprječavanje velikih nesreća, dodatni inspekcijski nadzor provodi se u roku od šest mjeseci od dana prethodnog nadzora.</w:t>
      </w:r>
    </w:p>
    <w:p>
      <w:pPr>
        <w:pBdr/>
        <w:pStyle w:val="Normal"/>
        <w:spacing/>
        <w:ind/>
        <w:rPr>
          <w:rFonts w:ascii="Arial" w:eastAsia="Arial" w:hAnsi="Arial" w:cs="Arial"/>
        </w:rPr>
      </w:pPr>
    </w:p>
    <w:p>
      <w:pPr>
        <w:pBdr/>
        <w:pStyle w:val="Heading 2"/>
        <w:spacing/>
        <w:ind/>
        <w:rPr/>
      </w:pPr>
      <w:r>
        <w:rPr/>
        <w:t xml:space="preserve">Razmjena podataka i suradnja s inspekcijom</w:t>
      </w:r>
    </w:p>
    <w:p>
      <w:pPr>
        <w:pBdr/>
        <w:pStyle w:val="Heading 2"/>
        <w:spacing/>
        <w:ind/>
        <w:rPr/>
      </w:pPr>
      <w:r>
        <w:rPr/>
        <w:t xml:space="preserve">Članak 293.</w:t>
      </w:r>
    </w:p>
    <w:p>
      <w:pPr>
        <w:pBdr/>
        <w:pStyle w:val="Normal"/>
        <w:spacing/>
        <w:ind/>
        <w:rPr>
          <w:rFonts w:ascii="Arial" w:eastAsia="Arial" w:hAnsi="Arial" w:cs="Arial"/>
        </w:rPr>
      </w:pPr>
      <w:r>
        <w:rPr>
          <w:rFonts w:ascii="Arial" w:eastAsia="Arial" w:hAnsi="Arial" w:cs="Arial"/>
        </w:rPr>
        <w:t xml:space="preserve">Tijelo nadležno za inspekcijske poslove u području zaštite okoliša osigurava Ministarstvu kontinuiran i izravan pristup u realnom vremenu zapisnicima i izvješćima o inspekcijskom nadzoru te podacima o izvršenju naređenih mjera koji se odnose na inspekcijske nadzore:</w:t>
      </w:r>
    </w:p>
    <w:p>
      <w:pPr>
        <w:pBdr/>
        <w:pStyle w:val="Normal"/>
        <w:spacing/>
        <w:ind/>
        <w:rPr>
          <w:rFonts w:ascii="Arial" w:eastAsia="Arial" w:hAnsi="Arial" w:cs="Arial"/>
        </w:rPr>
      </w:pPr>
      <w:r>
        <w:rPr>
          <w:rFonts w:ascii="Arial" w:eastAsia="Arial" w:hAnsi="Arial" w:cs="Arial"/>
        </w:rPr>
        <w:t xml:space="preserve">1. postrojenja za koja je propisana obveza ishođenja okolišne dozvole</w:t>
      </w:r>
    </w:p>
    <w:p>
      <w:pPr>
        <w:pBdr/>
        <w:pStyle w:val="Normal"/>
        <w:spacing/>
        <w:ind/>
        <w:rPr>
          <w:rFonts w:ascii="Arial" w:eastAsia="Arial" w:hAnsi="Arial" w:cs="Arial"/>
        </w:rPr>
      </w:pPr>
      <w:r>
        <w:rPr>
          <w:rFonts w:ascii="Arial" w:eastAsia="Arial" w:hAnsi="Arial" w:cs="Arial"/>
        </w:rPr>
        <w:t xml:space="preserve">2. postrojenja za uzgoj životinja iz članka 155. ovoga Zakona</w:t>
      </w:r>
    </w:p>
    <w:p>
      <w:pPr>
        <w:pBdr/>
        <w:pStyle w:val="Normal"/>
        <w:spacing/>
        <w:ind/>
        <w:rPr>
          <w:rFonts w:ascii="Arial" w:eastAsia="Arial" w:hAnsi="Arial" w:cs="Arial"/>
        </w:rPr>
      </w:pPr>
      <w:r>
        <w:rPr>
          <w:rFonts w:ascii="Arial" w:eastAsia="Arial" w:hAnsi="Arial" w:cs="Arial"/>
        </w:rPr>
        <w:t xml:space="preserve">3. područja postrojenja u kojima su prisutne opasne tvari </w:t>
      </w:r>
    </w:p>
    <w:p>
      <w:pPr>
        <w:pBdr/>
        <w:pStyle w:val="Normal"/>
        <w:spacing/>
        <w:ind/>
        <w:rPr>
          <w:rFonts w:ascii="Arial" w:eastAsia="Arial" w:hAnsi="Arial" w:cs="Arial"/>
        </w:rPr>
      </w:pPr>
      <w:r>
        <w:rPr>
          <w:rFonts w:ascii="Arial" w:eastAsia="Arial" w:hAnsi="Arial" w:cs="Arial"/>
        </w:rPr>
        <w:t xml:space="preserve">4. u slučajevima nastanka štete u okolišu i prijeteće opasnosti od štete.</w:t>
      </w:r>
    </w:p>
    <w:p>
      <w:pPr>
        <w:pBdr/>
        <w:pStyle w:val="Normal"/>
        <w:spacing/>
        <w:ind/>
        <w:rPr>
          <w:rFonts w:ascii="Arial" w:eastAsia="Arial" w:hAnsi="Arial" w:cs="Arial"/>
        </w:rPr>
      </w:pPr>
      <w:r>
        <w:rPr>
          <w:rFonts w:ascii="Arial" w:eastAsia="Arial" w:hAnsi="Arial" w:cs="Arial"/>
        </w:rPr>
        <w:t xml:space="preserve">(2) Ministarstvo koristi dokumente i podatke iz stavka 1. ovoga članka za provedbu postupaka i obavljanje drugih poslova iz svoje nadležnosti prema ovom Zakonu, a osobito za:</w:t>
      </w:r>
    </w:p>
    <w:p>
      <w:pPr>
        <w:pBdr/>
        <w:pStyle w:val="Normal"/>
        <w:spacing/>
        <w:ind/>
        <w:rPr>
          <w:rFonts w:ascii="Arial" w:eastAsia="Arial" w:hAnsi="Arial" w:cs="Arial"/>
        </w:rPr>
      </w:pPr>
      <w:r>
        <w:rPr>
          <w:rFonts w:ascii="Arial" w:eastAsia="Arial" w:hAnsi="Arial" w:cs="Arial"/>
        </w:rPr>
        <w:t xml:space="preserve">1. izdavanje, preispitivanje, izmjenu i/ili dopunu te  ukidanje okolišne dozvole</w:t>
      </w:r>
    </w:p>
    <w:p>
      <w:pPr>
        <w:pBdr/>
        <w:pStyle w:val="Normal"/>
        <w:spacing/>
        <w:ind/>
        <w:rPr>
          <w:rFonts w:ascii="Arial" w:eastAsia="Arial" w:hAnsi="Arial" w:cs="Arial"/>
        </w:rPr>
      </w:pPr>
      <w:r>
        <w:rPr>
          <w:rFonts w:ascii="Arial" w:eastAsia="Arial" w:hAnsi="Arial" w:cs="Arial"/>
        </w:rPr>
        <w:t xml:space="preserve">2. izdavanje i ukidanje rješenja o registraciji postrojenja za uzgoj životinja, postupanje u slučaju značajnih promjena registriranog postrojenja te obavljanje drugih poslova u sustavu registracije</w:t>
      </w:r>
    </w:p>
    <w:p>
      <w:pPr>
        <w:pBdr/>
        <w:pStyle w:val="Normal"/>
        <w:spacing/>
        <w:ind/>
        <w:rPr>
          <w:rFonts w:ascii="Arial" w:eastAsia="Arial" w:hAnsi="Arial" w:cs="Arial"/>
        </w:rPr>
      </w:pPr>
      <w:r>
        <w:rPr>
          <w:rFonts w:ascii="Arial" w:eastAsia="Arial" w:hAnsi="Arial" w:cs="Arial"/>
        </w:rPr>
        <w:t xml:space="preserve">3. postupanje u vezi s konačnim prestankom aktivnosti i zatvaranjem postrojenja</w:t>
      </w:r>
    </w:p>
    <w:p>
      <w:pPr>
        <w:pBdr/>
        <w:pStyle w:val="Normal"/>
        <w:spacing/>
        <w:ind/>
        <w:rPr>
          <w:rFonts w:ascii="Arial" w:eastAsia="Arial" w:hAnsi="Arial" w:cs="Arial"/>
        </w:rPr>
      </w:pPr>
      <w:r>
        <w:rPr>
          <w:rFonts w:ascii="Arial" w:eastAsia="Arial" w:hAnsi="Arial" w:cs="Arial"/>
        </w:rPr>
        <w:t xml:space="preserve">4. utvrđivanje područja postrojenja koja potpadaju pod domino-</w:t>
      </w:r>
      <w:r>
        <w:rPr>
          <w:rFonts w:ascii="Arial" w:eastAsia="Arial" w:hAnsi="Arial" w:cs="Arial"/>
        </w:rPr>
        <w:t xml:space="preserve">efekt sukladno članku 174.  stavku 1. ovoga Zakona</w:t>
      </w:r>
    </w:p>
    <w:p>
      <w:pPr>
        <w:pBdr/>
        <w:pStyle w:val="Normal"/>
        <w:spacing/>
        <w:ind/>
        <w:rPr>
          <w:rFonts w:ascii="Arial" w:eastAsia="Arial" w:hAnsi="Arial" w:cs="Arial"/>
        </w:rPr>
      </w:pPr>
      <w:r>
        <w:rPr>
          <w:rFonts w:ascii="Arial" w:eastAsia="Arial" w:hAnsi="Arial" w:cs="Arial"/>
        </w:rPr>
        <w:t xml:space="preserve">5. stavljanje suglasnosti iz članka 183.</w:t>
      </w:r>
      <w:r>
        <w:rPr>
          <w:rFonts w:ascii="Arial" w:eastAsia="Arial" w:hAnsi="Arial" w:cs="Arial"/>
          <w:color w:val="FF0000"/>
        </w:rPr>
        <w:t xml:space="preserve"> </w:t>
      </w:r>
      <w:r>
        <w:rPr>
          <w:rFonts w:ascii="Arial" w:eastAsia="Arial" w:hAnsi="Arial" w:cs="Arial"/>
        </w:rPr>
        <w:t xml:space="preserve">i 184. ovoga Zakona izvan snage</w:t>
      </w:r>
    </w:p>
    <w:p>
      <w:pPr>
        <w:pBdr/>
        <w:pStyle w:val="Normal"/>
        <w:spacing/>
        <w:ind/>
        <w:rPr>
          <w:rFonts w:ascii="Arial" w:eastAsia="Arial" w:hAnsi="Arial" w:cs="Arial"/>
        </w:rPr>
      </w:pPr>
      <w:r>
        <w:rPr>
          <w:rFonts w:ascii="Arial" w:eastAsia="Arial" w:hAnsi="Arial" w:cs="Arial"/>
        </w:rPr>
        <w:t xml:space="preserve">6. izradu izvješća za Europsku komisiju o provedbi propisa o industrijskim emisijama i izvješća o provedbi sprječavanja velikih nesreća koje uključuju opasne tvari.</w:t>
      </w:r>
    </w:p>
    <w:p>
      <w:pPr>
        <w:pBdr/>
        <w:pStyle w:val="Normal"/>
        <w:spacing/>
        <w:ind/>
        <w:rPr>
          <w:rFonts w:ascii="Arial" w:eastAsia="Arial" w:hAnsi="Arial" w:cs="Arial"/>
        </w:rPr>
      </w:pPr>
      <w:r>
        <w:rPr>
          <w:rFonts w:ascii="Arial" w:eastAsia="Arial" w:hAnsi="Arial" w:cs="Arial"/>
        </w:rPr>
        <w:t xml:space="preserve">(3) Do uspostave pune funkcionalnosti digitalne razmjene putem ISZOP-</w:t>
      </w:r>
      <w:r>
        <w:rPr>
          <w:rFonts w:ascii="Arial" w:eastAsia="Arial" w:hAnsi="Arial" w:cs="Arial"/>
        </w:rPr>
        <w:t xml:space="preserve">a tijelo nadležno za inspekcijske poslove u području zaštite okoliša dužno je Ministarstvu dostaviti zapisnike i iz stavka 1. ovoga članka odmah nakon njihova sastavljanja, rješenja odmah </w:t>
      </w:r>
      <w:r>
        <w:rPr>
          <w:rFonts w:ascii="Arial" w:eastAsia="Arial" w:hAnsi="Arial" w:cs="Arial"/>
        </w:rPr>
        <w:t xml:space="preserve">nakon njihova donošenja, a podatke o izvršenju naređenih mjera odmah nakon provedene kontrole izvršenja.</w:t>
      </w:r>
    </w:p>
    <w:p>
      <w:pPr>
        <w:pBdr/>
        <w:pStyle w:val="Normal"/>
        <w:spacing/>
        <w:ind/>
        <w:rPr>
          <w:rFonts w:ascii="Arial" w:eastAsia="Arial" w:hAnsi="Arial" w:cs="Arial"/>
        </w:rPr>
      </w:pPr>
    </w:p>
    <w:p>
      <w:pPr>
        <w:pBdr/>
        <w:pStyle w:val="Heading 2"/>
        <w:spacing/>
        <w:ind/>
        <w:rPr/>
      </w:pPr>
      <w:r>
        <w:rPr/>
        <w:t xml:space="preserve">Predmet inspekcijskog nadzora</w:t>
      </w:r>
    </w:p>
    <w:p>
      <w:pPr>
        <w:pBdr/>
        <w:pStyle w:val="Heading 2"/>
        <w:spacing/>
        <w:ind/>
        <w:rPr/>
      </w:pPr>
      <w:r>
        <w:rPr/>
        <w:t xml:space="preserve">Članak 294.</w:t>
      </w:r>
    </w:p>
    <w:p>
      <w:pPr>
        <w:pBdr/>
        <w:pStyle w:val="Normal"/>
        <w:spacing/>
        <w:ind/>
        <w:rPr>
          <w:rFonts w:ascii="Arial" w:eastAsia="Arial" w:hAnsi="Arial" w:cs="Arial"/>
        </w:rPr>
      </w:pPr>
      <w:r>
        <w:rPr>
          <w:rFonts w:ascii="Arial" w:eastAsia="Arial" w:hAnsi="Arial" w:cs="Arial"/>
        </w:rPr>
        <w:t xml:space="preserve">(1) Inspektor nadzire  ispunjavanje propisanih uvjeta, način rada te provedbu mjera i aktivnosti zaštite okoliša pravnih i fizičkih osoba, obavlja izravan uvid u njihove opće i pojedinačne akte te, kada utvrdi da je to potrebno radi sprječavanja i smanjivanja onečišćenja okoliša ili uklanjanja njegovih posljedica, poduzima mjere propisane ovim Zakonom i propisima donesenim na temelju ovoga Zakona. </w:t>
      </w:r>
    </w:p>
    <w:p>
      <w:pPr>
        <w:pBdr/>
        <w:pStyle w:val="Normal"/>
        <w:spacing/>
        <w:ind/>
        <w:rPr>
          <w:rFonts w:ascii="Arial" w:eastAsia="Arial" w:hAnsi="Arial" w:cs="Arial"/>
        </w:rPr>
      </w:pPr>
      <w:r>
        <w:rPr>
          <w:rFonts w:ascii="Arial" w:eastAsia="Arial" w:hAnsi="Arial" w:cs="Arial"/>
        </w:rPr>
        <w:t xml:space="preserve">(2) U inspekcijskom nadzoru se osobito nadzire:</w:t>
      </w:r>
    </w:p>
    <w:p>
      <w:pPr>
        <w:pBdr/>
        <w:pStyle w:val="Normal"/>
        <w:spacing/>
        <w:ind/>
        <w:rPr>
          <w:rFonts w:ascii="Arial" w:eastAsia="Arial" w:hAnsi="Arial" w:cs="Arial"/>
        </w:rPr>
      </w:pPr>
      <w:r>
        <w:rPr>
          <w:rFonts w:ascii="Arial" w:eastAsia="Arial" w:hAnsi="Arial" w:cs="Arial"/>
          <w:color w:val="000000"/>
        </w:rPr>
        <w:t xml:space="preserve">- provedba mjera zaštite okoliša i praćenje stanja okoliša utvrđenih rješenjem o prihvatljivosti zahvata za okoliš i rješenjem donesenim u postupku ocjene o potrebi procjene utjecaja na okoliš</w:t>
      </w:r>
    </w:p>
    <w:p>
      <w:pPr>
        <w:pBdr/>
        <w:pStyle w:val="Normal"/>
        <w:spacing/>
        <w:ind/>
        <w:rPr>
          <w:rFonts w:ascii="Arial" w:eastAsia="Arial" w:hAnsi="Arial" w:cs="Arial"/>
        </w:rPr>
      </w:pPr>
      <w:r>
        <w:rPr>
          <w:rFonts w:ascii="Arial" w:eastAsia="Arial" w:hAnsi="Arial" w:cs="Arial"/>
          <w:color w:val="000000"/>
        </w:rPr>
        <w:t xml:space="preserve">- usklađenost primijenjenih tehnika i rada postrojenja s uvjetima okolišne dozvole</w:t>
      </w:r>
    </w:p>
    <w:p>
      <w:pPr>
        <w:pBdr/>
        <w:pStyle w:val="Normal"/>
        <w:spacing/>
        <w:ind/>
        <w:rPr>
          <w:rFonts w:ascii="Arial" w:eastAsia="Arial" w:hAnsi="Arial" w:cs="Arial"/>
        </w:rPr>
      </w:pPr>
      <w:r>
        <w:rPr>
          <w:rFonts w:ascii="Arial" w:eastAsia="Arial" w:hAnsi="Arial" w:cs="Arial"/>
          <w:color w:val="000000"/>
        </w:rPr>
        <w:t xml:space="preserve">- promjene u radu, uključujući značajne promjene u radu i rekonstrukcije postrojenja</w:t>
      </w:r>
    </w:p>
    <w:p>
      <w:pPr>
        <w:pBdr/>
        <w:pStyle w:val="Normal"/>
        <w:spacing/>
        <w:ind/>
        <w:rPr>
          <w:rFonts w:ascii="Arial" w:eastAsia="Arial" w:hAnsi="Arial" w:cs="Arial"/>
        </w:rPr>
      </w:pPr>
      <w:r>
        <w:rPr>
          <w:rFonts w:ascii="Arial" w:eastAsia="Arial" w:hAnsi="Arial" w:cs="Arial"/>
          <w:color w:val="000000"/>
        </w:rPr>
        <w:t xml:space="preserve">- priprema, uspostava, provedba, redovito ažuriranje i revizija EMS-</w:t>
      </w:r>
      <w:r>
        <w:rPr>
          <w:rFonts w:ascii="Arial" w:eastAsia="Arial" w:hAnsi="Arial" w:cs="Arial"/>
          <w:color w:val="000000"/>
        </w:rPr>
        <w:t xml:space="preserve">a te ispunjavanje obveze objave informacija iz tog sustava na mrežnim stranicama operatera</w:t>
      </w:r>
    </w:p>
    <w:p>
      <w:pPr>
        <w:pBdr/>
        <w:pStyle w:val="Normal"/>
        <w:spacing/>
        <w:ind/>
        <w:rPr>
          <w:rFonts w:ascii="Arial" w:eastAsia="Arial" w:hAnsi="Arial" w:cs="Arial"/>
        </w:rPr>
      </w:pPr>
      <w:r>
        <w:rPr>
          <w:rFonts w:ascii="Arial" w:eastAsia="Arial" w:hAnsi="Arial" w:cs="Arial"/>
        </w:rPr>
        <w:t xml:space="preserve">- izrada, redovito ažuriranje i provedba plana preobrazbe</w:t>
      </w:r>
    </w:p>
    <w:p>
      <w:pPr>
        <w:pBdr/>
        <w:pStyle w:val="Normal"/>
        <w:spacing/>
        <w:ind/>
        <w:rPr>
          <w:rFonts w:ascii="Arial" w:eastAsia="Arial" w:hAnsi="Arial" w:cs="Arial"/>
        </w:rPr>
      </w:pPr>
      <w:r>
        <w:rPr>
          <w:rFonts w:ascii="Arial" w:eastAsia="Arial" w:hAnsi="Arial" w:cs="Arial"/>
        </w:rPr>
        <w:t xml:space="preserve">- ispunjavanje privremenih uvjeta i etapa provedbe utvrđenih rješenjem kojim je odobren produljeni rok za temeljitu industrijsku preobrazbu postrojenja</w:t>
      </w:r>
    </w:p>
    <w:p>
      <w:pPr>
        <w:pBdr/>
        <w:pStyle w:val="Normal"/>
        <w:spacing/>
        <w:ind/>
        <w:rPr>
          <w:rFonts w:ascii="Arial" w:eastAsia="Arial" w:hAnsi="Arial" w:cs="Arial"/>
        </w:rPr>
      </w:pPr>
      <w:r>
        <w:rPr>
          <w:rFonts w:ascii="Arial" w:eastAsia="Arial" w:hAnsi="Arial" w:cs="Arial"/>
          <w:color w:val="000000"/>
        </w:rPr>
        <w:t xml:space="preserve">- ispunjavanje uvjeta za zatvaranje postrojenja, uključivo provedbu mjera za otklanjanje onečišćenja tla i podzemnih voda relevantnim opasnim tvarima, utvrđenih rješenjem o ukidanju okolišne dozvole</w:t>
      </w:r>
    </w:p>
    <w:p>
      <w:pPr>
        <w:pBdr/>
        <w:pStyle w:val="Normal"/>
        <w:spacing/>
        <w:ind/>
        <w:rPr>
          <w:rFonts w:ascii="Arial" w:eastAsia="Arial" w:hAnsi="Arial" w:cs="Arial"/>
        </w:rPr>
      </w:pPr>
      <w:r>
        <w:rPr>
          <w:rFonts w:ascii="Arial" w:eastAsia="Arial" w:hAnsi="Arial" w:cs="Arial"/>
        </w:rPr>
        <w:t xml:space="preserve">- usklađenost rada postrojenja za uzgoj životinja s</w:t>
      </w:r>
      <w:r>
        <w:rPr>
          <w:rFonts w:ascii="Arial" w:eastAsia="Arial" w:hAnsi="Arial" w:cs="Arial"/>
          <w:b/>
        </w:rPr>
        <w:t xml:space="preserve"> </w:t>
      </w:r>
      <w:r>
        <w:rPr>
          <w:rFonts w:ascii="Arial" w:eastAsia="Arial" w:hAnsi="Arial" w:cs="Arial"/>
        </w:rPr>
        <w:t xml:space="preserve">operativnim pravilima propisanim pravilnikom iz članka 163. stavka 1. ovoga Zakona, uključujući usklađivanje</w:t>
      </w:r>
      <w:r>
        <w:rPr>
          <w:rFonts w:ascii="Arial" w:eastAsia="Arial" w:hAnsi="Arial" w:cs="Arial"/>
          <w:b/>
        </w:rPr>
        <w:t xml:space="preserve"> </w:t>
      </w:r>
      <w:r>
        <w:rPr>
          <w:rFonts w:ascii="Arial" w:eastAsia="Arial" w:hAnsi="Arial" w:cs="Arial"/>
        </w:rPr>
        <w:t xml:space="preserve">u rokovima propisanim ovim Zakonom</w:t>
      </w:r>
    </w:p>
    <w:p>
      <w:pPr>
        <w:pBdr/>
        <w:pStyle w:val="Normal"/>
        <w:spacing/>
        <w:ind/>
        <w:rPr>
          <w:rFonts w:ascii="Arial" w:eastAsia="Arial" w:hAnsi="Arial" w:cs="Arial"/>
        </w:rPr>
      </w:pPr>
      <w:r>
        <w:rPr>
          <w:rFonts w:ascii="Arial" w:eastAsia="Arial" w:hAnsi="Arial" w:cs="Arial"/>
        </w:rPr>
        <w:t xml:space="preserve">- ispunjavanje obveza operatera u vezi s izradom, ažuriranjem i provedbom izvješća o sigurnosti i izradom i ažuriranjem unutarnjeg plana za viši razred postrojenja</w:t>
      </w:r>
    </w:p>
    <w:p>
      <w:pPr>
        <w:pBdr/>
        <w:pStyle w:val="Normal"/>
        <w:spacing/>
        <w:ind/>
        <w:rPr>
          <w:rFonts w:ascii="Arial" w:eastAsia="Arial" w:hAnsi="Arial" w:cs="Arial"/>
        </w:rPr>
      </w:pPr>
      <w:r>
        <w:rPr>
          <w:rFonts w:ascii="Arial" w:eastAsia="Arial" w:hAnsi="Arial" w:cs="Arial"/>
        </w:rPr>
        <w:t xml:space="preserve">- ispunjavanje obveza operatera u vezi s izradom i ažuriranjem dokumentacije za provedbu politike sprječavanja velikih nesreća za niži razred postrojenja </w:t>
      </w:r>
    </w:p>
    <w:p>
      <w:pPr>
        <w:pBdr/>
        <w:pStyle w:val="Normal"/>
        <w:spacing/>
        <w:ind/>
        <w:rPr>
          <w:rFonts w:ascii="Arial" w:eastAsia="Arial" w:hAnsi="Arial" w:cs="Arial"/>
        </w:rPr>
      </w:pPr>
      <w:r>
        <w:rPr>
          <w:rFonts w:ascii="Arial" w:eastAsia="Arial" w:hAnsi="Arial" w:cs="Arial"/>
        </w:rPr>
        <w:t xml:space="preserve">- odražavaju li podaci i informacije sadržani u izvješću o sigurnosti i drugoj dokumentaciji koju je operater dostavio nadležnom tijelu u dovoljnoj mjeri stvarne uvjete u području postrojenja </w:t>
      </w:r>
    </w:p>
    <w:p>
      <w:pPr>
        <w:pBdr/>
        <w:pStyle w:val="Normal"/>
        <w:spacing/>
        <w:ind/>
        <w:rPr>
          <w:rFonts w:ascii="Arial" w:eastAsia="Arial" w:hAnsi="Arial" w:cs="Arial"/>
        </w:rPr>
      </w:pPr>
      <w:r>
        <w:rPr>
          <w:rFonts w:ascii="Arial" w:eastAsia="Arial" w:hAnsi="Arial" w:cs="Arial"/>
        </w:rPr>
        <w:t xml:space="preserve">- ispunjavanje obveza informiranja javnosti o sigurnosnim mjerama područja postrojenja nižeg i višeg razreda </w:t>
      </w:r>
    </w:p>
    <w:p>
      <w:pPr>
        <w:pBdr/>
        <w:pStyle w:val="Normal"/>
        <w:spacing/>
        <w:ind/>
        <w:rPr>
          <w:rFonts w:ascii="Arial" w:eastAsia="Arial" w:hAnsi="Arial" w:cs="Arial"/>
        </w:rPr>
      </w:pPr>
      <w:r>
        <w:rPr>
          <w:rFonts w:ascii="Arial" w:eastAsia="Arial" w:hAnsi="Arial" w:cs="Arial"/>
        </w:rPr>
        <w:t xml:space="preserve">- vođenje očevidnika o stanju okoliša i dostavljanje podataka za registar onečišćivača</w:t>
      </w:r>
    </w:p>
    <w:p>
      <w:pPr>
        <w:pBdr/>
        <w:pStyle w:val="Normal"/>
        <w:spacing/>
        <w:ind/>
        <w:rPr>
          <w:rFonts w:ascii="Arial" w:eastAsia="Arial" w:hAnsi="Arial" w:cs="Arial"/>
        </w:rPr>
      </w:pPr>
      <w:r>
        <w:rPr>
          <w:rFonts w:ascii="Arial" w:eastAsia="Arial" w:hAnsi="Arial" w:cs="Arial"/>
        </w:rPr>
        <w:t xml:space="preserve">- provedba mjera sprječavanja i mjera otklanjanja štete u okolišu </w:t>
      </w:r>
    </w:p>
    <w:p>
      <w:pPr>
        <w:pBdr/>
        <w:pStyle w:val="Normal"/>
        <w:spacing/>
        <w:ind/>
        <w:rPr>
          <w:rFonts w:ascii="Arial" w:eastAsia="Arial" w:hAnsi="Arial" w:cs="Arial"/>
        </w:rPr>
      </w:pPr>
      <w:r>
        <w:rPr>
          <w:rFonts w:ascii="Arial" w:eastAsia="Arial" w:hAnsi="Arial" w:cs="Arial"/>
        </w:rPr>
        <w:t xml:space="preserve">- izrada sanacijskog programa, provedba mjera otklanjanja štete u okolišu u rokovima utvrđenim tim programom te provedba praćenja stanja okoliša nakon provedene sanacije</w:t>
      </w:r>
    </w:p>
    <w:p>
      <w:pPr>
        <w:pBdr/>
        <w:pStyle w:val="Normal"/>
        <w:spacing/>
        <w:ind/>
        <w:rPr>
          <w:rFonts w:ascii="Arial" w:eastAsia="Arial" w:hAnsi="Arial" w:cs="Arial"/>
        </w:rPr>
      </w:pPr>
      <w:r>
        <w:rPr>
          <w:rFonts w:ascii="Arial" w:eastAsia="Arial" w:hAnsi="Arial" w:cs="Arial"/>
        </w:rPr>
        <w:t xml:space="preserve">- postupanje operatera po zahtjevu za djelovanje u vezi sa štetom u okolišu iz članka 263. ovoga Zakona</w:t>
      </w:r>
    </w:p>
    <w:p>
      <w:pPr>
        <w:pBdr/>
        <w:pStyle w:val="Normal"/>
        <w:spacing/>
        <w:ind/>
        <w:rPr>
          <w:rFonts w:ascii="Arial" w:eastAsia="Arial" w:hAnsi="Arial" w:cs="Arial"/>
        </w:rPr>
      </w:pPr>
      <w:r>
        <w:rPr>
          <w:rFonts w:ascii="Arial" w:eastAsia="Arial" w:hAnsi="Arial" w:cs="Arial"/>
        </w:rPr>
        <w:t xml:space="preserve">- ispunjavanje propisanih uvjeta ovlaštenika za obavljanje stručnih poslova zaštite okoliša</w:t>
      </w:r>
    </w:p>
    <w:p>
      <w:pPr>
        <w:pBdr/>
        <w:pStyle w:val="Normal"/>
        <w:spacing/>
        <w:ind/>
        <w:rPr>
          <w:rFonts w:ascii="Arial" w:eastAsia="Arial" w:hAnsi="Arial" w:cs="Arial"/>
        </w:rPr>
      </w:pPr>
      <w:r>
        <w:rPr>
          <w:rFonts w:ascii="Arial" w:eastAsia="Arial" w:hAnsi="Arial" w:cs="Arial"/>
        </w:rPr>
        <w:t xml:space="preserve">- primjena standarda kakvoće okoliša odnosno tehničkih standarda zaštite okoliša za određene proizvode, postrojenja, pogone, uređaje, opremu i proizvodne postupke koji mogu prouzročiti rizik ili opasnost za okoliš</w:t>
      </w:r>
    </w:p>
    <w:p>
      <w:pPr>
        <w:pBdr/>
        <w:pStyle w:val="Normal"/>
        <w:spacing/>
        <w:ind/>
        <w:rPr>
          <w:rFonts w:ascii="Arial" w:eastAsia="Arial" w:hAnsi="Arial" w:cs="Arial"/>
        </w:rPr>
      </w:pPr>
      <w:r>
        <w:rPr>
          <w:rFonts w:ascii="Arial" w:eastAsia="Arial" w:hAnsi="Arial" w:cs="Arial"/>
          <w:color w:val="000000"/>
        </w:rPr>
        <w:t xml:space="preserve">- provedba potvrđenih međunarodnih ugovora iz područja zaštite okoliša.</w:t>
      </w:r>
    </w:p>
    <w:p>
      <w:pPr>
        <w:pBdr/>
        <w:pStyle w:val="Normal"/>
        <w:spacing/>
        <w:ind/>
        <w:rPr>
          <w:rFonts w:ascii="Arial" w:eastAsia="Arial" w:hAnsi="Arial" w:cs="Arial"/>
        </w:rPr>
      </w:pPr>
      <w:r>
        <w:rPr>
          <w:rFonts w:ascii="Arial" w:eastAsia="Arial" w:hAnsi="Arial" w:cs="Arial"/>
        </w:rPr>
        <w:t xml:space="preserve">(3) Inspektor sastavlja zapisnik o provedenom inspekcijskom nadzoru. </w:t>
      </w:r>
    </w:p>
    <w:p>
      <w:pPr>
        <w:pBdr/>
        <w:pStyle w:val="Normal"/>
        <w:spacing/>
        <w:ind/>
        <w:rPr>
          <w:rFonts w:ascii="Arial" w:eastAsia="Arial" w:hAnsi="Arial" w:cs="Arial"/>
          <w:bCs/>
        </w:rPr>
      </w:pPr>
    </w:p>
    <w:p>
      <w:pPr>
        <w:pBdr/>
        <w:pStyle w:val="Heading 2"/>
        <w:spacing/>
        <w:ind/>
        <w:rPr/>
      </w:pPr>
      <w:r>
        <w:rPr/>
        <w:t xml:space="preserve">Zapisnik o koordiniranom inspekcijskom nadzoru</w:t>
      </w:r>
    </w:p>
    <w:p>
      <w:pPr>
        <w:pBdr/>
        <w:pStyle w:val="Heading 2"/>
        <w:spacing/>
        <w:ind/>
        <w:rPr/>
      </w:pPr>
      <w:r>
        <w:rPr/>
        <w:t xml:space="preserve">Članak 295.</w:t>
      </w:r>
    </w:p>
    <w:p>
      <w:pPr>
        <w:pBdr/>
        <w:pStyle w:val="Normal"/>
        <w:spacing/>
        <w:ind/>
        <w:rPr>
          <w:rFonts w:ascii="Arial" w:eastAsia="Arial" w:hAnsi="Arial" w:cs="Arial"/>
        </w:rPr>
      </w:pPr>
      <w:r>
        <w:rPr>
          <w:rFonts w:ascii="Arial" w:eastAsia="Arial" w:hAnsi="Arial" w:cs="Arial"/>
        </w:rPr>
        <w:t xml:space="preserve">(1) Nakon svakog koordiniranog inspekcijskog nadzora na lokaciji postrojenja ili područja postrojenja sastavlja se zapisnik i uručuje operateru u skladu s propisima kojima se uređuje opći upravni postupak i rad tijela nadležnog za inspekcijske poslove.</w:t>
      </w:r>
    </w:p>
    <w:p>
      <w:pPr>
        <w:pBdr/>
        <w:pStyle w:val="Normal"/>
        <w:spacing/>
        <w:ind/>
        <w:rPr>
          <w:rFonts w:ascii="Arial" w:eastAsia="Arial" w:hAnsi="Arial" w:cs="Arial"/>
        </w:rPr>
      </w:pPr>
      <w:r>
        <w:rPr>
          <w:rFonts w:ascii="Arial" w:eastAsia="Arial" w:hAnsi="Arial" w:cs="Arial"/>
          <w:color w:val="000000"/>
        </w:rPr>
        <w:t xml:space="preserve">(2) Objedinjeno izvješće o koordiniranom inspekcijskom nadzoru postrojenja za koje je izdana okolišna dozvola dostavlja se operateru najkasnije u roku od dva mjeseca od dana provedenog nadzora i, uz sadržaj propisan zakonom kojim se uređuje opći upravni postupak, sadrži činjenično stanje utvrđeno nadzorom, ocjenu usklađenosti rada postrojenja s uvjetima okolišne dozvole, mjere </w:t>
      </w:r>
      <w:r>
        <w:rPr>
          <w:rFonts w:ascii="Arial" w:eastAsia="Arial" w:hAnsi="Arial" w:cs="Arial"/>
        </w:rPr>
        <w:t xml:space="preserve">i radnje potrebne za otklanjanje utvrđenih nepravilnosti te rokove za njihovo izvršenje. </w:t>
      </w:r>
    </w:p>
    <w:p>
      <w:pPr>
        <w:pBdr/>
        <w:pStyle w:val="Normal"/>
        <w:spacing/>
        <w:ind/>
        <w:rPr>
          <w:rFonts w:ascii="Arial" w:eastAsia="Arial" w:hAnsi="Arial" w:cs="Arial"/>
        </w:rPr>
      </w:pPr>
      <w:r>
        <w:rPr>
          <w:rFonts w:ascii="Arial" w:eastAsia="Arial" w:hAnsi="Arial" w:cs="Arial"/>
        </w:rPr>
        <w:t xml:space="preserve">(3) Objedinjeno izviješće o koordiniranom Seveso nadzoru dostavlja se operateru najkasnije u roku od četiri mjeseca od dana provedenog nadzora i sadrži zaključke o provedenom nadzoru, uključujući, za područje postrojenja višeg razreda, zaključke o preispitivanju izvješća o sigurnosti kada je ono bilo predmet nadzora, sve potrebne mjere i radnje koje je operater dužan provesti te rokove za njihovo izvršenje.</w:t>
      </w:r>
    </w:p>
    <w:p>
      <w:pPr>
        <w:pBdr/>
        <w:pStyle w:val="Normal"/>
        <w:spacing/>
        <w:ind/>
        <w:rPr>
          <w:rFonts w:ascii="Arial" w:eastAsia="Arial" w:hAnsi="Arial" w:cs="Arial"/>
        </w:rPr>
      </w:pPr>
      <w:r>
        <w:rPr>
          <w:rFonts w:ascii="Arial" w:eastAsia="Arial" w:hAnsi="Arial" w:cs="Arial"/>
        </w:rPr>
        <w:t xml:space="preserve">(4) Inspektor osigurava da operater poduzme sve mjere i radnje utvrđene zapisnikom u rokovima određenima za njihovo izvršenje, pri čemu se ne ograničavaju ovlasti inspektora za izricanje zabrane rada i hitnih mjera u skladu s ovim Zakonom.</w:t>
      </w:r>
    </w:p>
    <w:p>
      <w:pPr>
        <w:pBdr/>
        <w:pStyle w:val="Normal"/>
        <w:spacing/>
        <w:ind/>
        <w:rPr>
          <w:rFonts w:ascii="Arial" w:eastAsia="Arial" w:hAnsi="Arial" w:cs="Arial"/>
        </w:rPr>
      </w:pPr>
    </w:p>
    <w:p>
      <w:pPr>
        <w:pBdr/>
        <w:pStyle w:val="Heading 2"/>
        <w:spacing/>
        <w:ind/>
        <w:rPr/>
      </w:pPr>
      <w:r>
        <w:rPr/>
        <w:t xml:space="preserve">Obveze nadziranih osoba</w:t>
      </w:r>
    </w:p>
    <w:p>
      <w:pPr>
        <w:pBdr/>
        <w:pStyle w:val="Heading 2"/>
        <w:spacing/>
        <w:ind/>
        <w:rPr/>
      </w:pPr>
      <w:r>
        <w:rPr/>
        <w:t xml:space="preserve">Članak 296.</w:t>
      </w:r>
    </w:p>
    <w:p>
      <w:pPr>
        <w:pBdr/>
        <w:pStyle w:val="Normal"/>
        <w:spacing/>
        <w:ind/>
        <w:rPr>
          <w:rFonts w:ascii="Arial" w:eastAsia="Arial" w:hAnsi="Arial" w:cs="Arial"/>
        </w:rPr>
      </w:pPr>
      <w:r>
        <w:rPr>
          <w:rFonts w:ascii="Arial" w:eastAsia="Arial" w:hAnsi="Arial" w:cs="Arial"/>
        </w:rPr>
        <w:t xml:space="preserve">Nadzirana osoba dužna je omogućiti provedbu inspekcijskog nadzora u skladu sa zakonom kojim se uređuju poslovi i ovlasti tijela nadležnog za inspekcijske poslove.</w:t>
      </w:r>
    </w:p>
    <w:p>
      <w:pPr>
        <w:pBdr/>
        <w:pStyle w:val="Normal"/>
        <w:spacing/>
        <w:ind/>
        <w:rPr>
          <w:rFonts w:ascii="Arial" w:eastAsia="Arial" w:hAnsi="Arial" w:cs="Arial"/>
          <w:i/>
        </w:rPr>
      </w:pPr>
    </w:p>
    <w:p>
      <w:pPr>
        <w:pBdr/>
        <w:pStyle w:val="Heading 2"/>
        <w:spacing/>
        <w:ind/>
        <w:rPr/>
      </w:pPr>
      <w:r>
        <w:rPr/>
        <w:t xml:space="preserve">Ovlasti inspektora u postupku inspekcijskog nadzora</w:t>
      </w:r>
    </w:p>
    <w:p>
      <w:pPr>
        <w:pBdr/>
        <w:pStyle w:val="Heading 2"/>
        <w:spacing/>
        <w:ind/>
        <w:rPr/>
      </w:pPr>
      <w:r>
        <w:rPr/>
        <w:t xml:space="preserve">Članak 297.</w:t>
      </w:r>
    </w:p>
    <w:p>
      <w:pPr>
        <w:pBdr/>
        <w:pStyle w:val="Normal"/>
        <w:spacing/>
        <w:ind/>
        <w:rPr>
          <w:rFonts w:ascii="Arial" w:eastAsia="Arial" w:hAnsi="Arial" w:cs="Arial"/>
        </w:rPr>
      </w:pPr>
      <w:r>
        <w:rPr>
          <w:rFonts w:ascii="Arial" w:eastAsia="Arial" w:hAnsi="Arial" w:cs="Arial"/>
        </w:rPr>
        <w:t xml:space="preserve">(1) Uz ovlasti propisane zakonom kojim se uređuju poslovi i ovlasti tijela nadležnog za inspekcijske poslove, inspektor je u postupku inspekcijskog nadzora ovlašten:</w:t>
      </w:r>
    </w:p>
    <w:p>
      <w:pPr>
        <w:pBdr/>
        <w:pStyle w:val="Normal"/>
        <w:spacing/>
        <w:ind/>
        <w:rPr>
          <w:rFonts w:ascii="Arial" w:eastAsia="Arial" w:hAnsi="Arial" w:cs="Arial"/>
        </w:rPr>
      </w:pPr>
      <w:r>
        <w:rPr>
          <w:rFonts w:ascii="Arial" w:eastAsia="Arial" w:hAnsi="Arial" w:cs="Arial"/>
          <w:color w:val="000000"/>
        </w:rPr>
        <w:t xml:space="preserve">- narediti uzorkovanje tla, mora, zraka i otpada putem ovlaštene osobe</w:t>
      </w:r>
    </w:p>
    <w:p>
      <w:pPr>
        <w:pBdr/>
        <w:pStyle w:val="Normal"/>
        <w:spacing/>
        <w:ind/>
        <w:rPr>
          <w:rFonts w:ascii="Arial" w:eastAsia="Arial" w:hAnsi="Arial" w:cs="Arial"/>
        </w:rPr>
      </w:pPr>
      <w:r>
        <w:rPr>
          <w:rFonts w:ascii="Arial" w:eastAsia="Arial" w:hAnsi="Arial" w:cs="Arial"/>
        </w:rPr>
        <w:t xml:space="preserve">- obustaviti rad postrojenja ako utvrdi da je potrebno ispitati učinkovitost uređaja za uklanjanje ili pročišćavanje onečišćujućih tvari za koje nisu propisani standardi </w:t>
      </w:r>
    </w:p>
    <w:p>
      <w:pPr>
        <w:pBdr/>
        <w:pStyle w:val="Normal"/>
        <w:spacing/>
        <w:ind/>
        <w:rPr>
          <w:rFonts w:ascii="Arial" w:eastAsia="Arial" w:hAnsi="Arial" w:cs="Arial"/>
        </w:rPr>
      </w:pPr>
      <w:r>
        <w:rPr>
          <w:rFonts w:ascii="Arial" w:eastAsia="Arial" w:hAnsi="Arial" w:cs="Arial"/>
        </w:rPr>
        <w:t xml:space="preserve">- obustaviti rad postrojenja ako je to nužno u slučaju nesreće ili velike nesreće</w:t>
      </w:r>
    </w:p>
    <w:p>
      <w:pPr>
        <w:pBdr/>
        <w:pStyle w:val="Normal"/>
        <w:spacing/>
        <w:ind/>
        <w:rPr>
          <w:rFonts w:ascii="Arial" w:eastAsia="Arial" w:hAnsi="Arial" w:cs="Arial"/>
        </w:rPr>
      </w:pPr>
      <w:r>
        <w:rPr>
          <w:rFonts w:ascii="Arial" w:eastAsia="Arial" w:hAnsi="Arial" w:cs="Arial"/>
        </w:rPr>
        <w:t xml:space="preserve">- prikupiti informacije potrebne za potpunu analizu tehničkih, organizacijskih i upravljačkih aspekata nesreće ili velike nesreće te dati preporuke o budućim preventivnim mjerama</w:t>
      </w:r>
    </w:p>
    <w:p>
      <w:pPr>
        <w:pBdr/>
        <w:pStyle w:val="Normal"/>
        <w:spacing/>
        <w:ind/>
        <w:rPr>
          <w:rFonts w:ascii="Arial" w:eastAsia="Arial" w:hAnsi="Arial" w:cs="Arial"/>
        </w:rPr>
      </w:pPr>
      <w:r>
        <w:rPr>
          <w:rFonts w:ascii="Arial" w:eastAsia="Arial" w:hAnsi="Arial" w:cs="Arial"/>
          <w:color w:val="000000"/>
        </w:rPr>
        <w:t xml:space="preserve">- obaviti očevid na lokaciji nakon konačnog prestanka aktivnosti u postrojenju te zapisnikom potvrditi zadovoljavajuće stanje lokacije</w:t>
      </w:r>
    </w:p>
    <w:p>
      <w:pPr>
        <w:pBdr/>
        <w:pStyle w:val="Normal"/>
        <w:spacing/>
        <w:ind/>
        <w:rPr>
          <w:rFonts w:ascii="Arial" w:eastAsia="Arial" w:hAnsi="Arial" w:cs="Arial"/>
        </w:rPr>
      </w:pPr>
      <w:r>
        <w:rPr>
          <w:rFonts w:ascii="Arial" w:eastAsia="Arial" w:hAnsi="Arial" w:cs="Arial"/>
          <w:color w:val="000000"/>
        </w:rPr>
        <w:t xml:space="preserve">- zatražiti pisano izvješće nadzirane osobe o poduzetim mjerama naređenim u inspekcijskom nadzoru</w:t>
      </w:r>
    </w:p>
    <w:p>
      <w:pPr>
        <w:pBdr/>
        <w:pStyle w:val="Normal"/>
        <w:spacing/>
        <w:ind/>
        <w:rPr>
          <w:rFonts w:ascii="Arial" w:eastAsia="Arial" w:hAnsi="Arial" w:cs="Arial"/>
        </w:rPr>
      </w:pPr>
      <w:r>
        <w:rPr>
          <w:rFonts w:ascii="Arial" w:eastAsia="Arial" w:hAnsi="Arial" w:cs="Arial"/>
        </w:rPr>
        <w:t xml:space="preserve">- obavljati i druge radnje radi provedbe inspekcijskog nadzora.</w:t>
      </w:r>
    </w:p>
    <w:p>
      <w:pPr>
        <w:pBdr/>
        <w:pStyle w:val="Normal"/>
        <w:spacing/>
        <w:ind/>
        <w:rPr>
          <w:rFonts w:ascii="Arial" w:eastAsia="Arial" w:hAnsi="Arial" w:cs="Arial"/>
        </w:rPr>
      </w:pPr>
      <w:r>
        <w:rPr>
          <w:rFonts w:ascii="Arial" w:eastAsia="Arial" w:hAnsi="Arial" w:cs="Arial"/>
        </w:rPr>
        <w:t xml:space="preserve">(2) Troškove analize uzorkovanja iz stavka 1. podstavka 1. ovoga članka snosi nadzirana osoba ako rezultati uzorkovanja dokažu odstupanja od propisanih zahtjeva, a u protivnom se troškovi podmiruju iz državnog proračuna, osim u slučaju izvanrednog inspekcijskog nadzora po prijavi, kada troškove snosi podnositelj prijave ako se utvrdi da je prijava neosnovana i rezultati analize ne pokažu odstupanje od propisanih zahtjeva.</w:t>
      </w:r>
    </w:p>
    <w:p>
      <w:pPr>
        <w:pBdr/>
        <w:pStyle w:val="Normal"/>
        <w:spacing/>
        <w:ind/>
        <w:rPr>
          <w:rFonts w:ascii="Arial" w:eastAsia="Arial" w:hAnsi="Arial" w:cs="Arial"/>
        </w:rPr>
      </w:pPr>
      <w:r>
        <w:rPr>
          <w:rFonts w:ascii="Arial" w:eastAsia="Arial" w:hAnsi="Arial" w:cs="Arial"/>
        </w:rPr>
        <w:t xml:space="preserve">(3) O troškovima iz stavka 2. ovoga članka inspektor odlučuje posebnim rješenjem protiv kojeg je dopuštena žalba u skladu sa zakonom kojim se uređuju poslovi i ovlasti tijela nadležnog za inspekcijske poslove. </w:t>
      </w:r>
    </w:p>
    <w:p>
      <w:pPr>
        <w:pBdr/>
        <w:pStyle w:val="Normal"/>
        <w:spacing/>
        <w:ind/>
        <w:rPr>
          <w:rFonts w:ascii="Arial" w:eastAsia="Arial" w:hAnsi="Arial" w:cs="Arial"/>
        </w:rPr>
      </w:pPr>
      <w:r>
        <w:rPr>
          <w:rFonts w:ascii="Arial" w:eastAsia="Arial" w:hAnsi="Arial" w:cs="Arial"/>
        </w:rPr>
        <w:t xml:space="preserve">(4) Inspektor može do donošenja pravomoćne odluke o prekršaju privremeno oduzeti dokumentaciju i predmete koji mogu poslužiti kao dokaz u sudskom postupku te o tome izdaje potvrdu s točnim podacima o oduzetoj dokumentaciji i predmetima.</w:t>
      </w:r>
    </w:p>
    <w:p>
      <w:pPr>
        <w:pBdr/>
        <w:pStyle w:val="Normal"/>
        <w:spacing/>
        <w:ind/>
        <w:rPr>
          <w:rFonts w:ascii="Arial" w:eastAsia="Arial" w:hAnsi="Arial" w:cs="Arial"/>
          <w:i/>
        </w:rPr>
      </w:pPr>
    </w:p>
    <w:p>
      <w:pPr>
        <w:pBdr/>
        <w:pStyle w:val="Heading 2"/>
        <w:spacing/>
        <w:ind/>
        <w:rPr/>
      </w:pPr>
      <w:r>
        <w:rPr/>
        <w:t xml:space="preserve">Inspekcijske mjere</w:t>
      </w:r>
    </w:p>
    <w:p>
      <w:pPr>
        <w:pBdr/>
        <w:pStyle w:val="Heading 2"/>
        <w:spacing/>
        <w:ind/>
        <w:rPr/>
      </w:pPr>
      <w:r>
        <w:rPr/>
        <w:t xml:space="preserve">Članak 298.</w:t>
      </w:r>
    </w:p>
    <w:p>
      <w:pPr>
        <w:pBdr/>
        <w:pStyle w:val="Normal"/>
        <w:spacing/>
        <w:ind/>
        <w:rPr>
          <w:rFonts w:ascii="Arial" w:eastAsia="Arial" w:hAnsi="Arial" w:cs="Arial"/>
        </w:rPr>
      </w:pPr>
      <w:r>
        <w:rPr>
          <w:rFonts w:ascii="Arial" w:eastAsia="Arial" w:hAnsi="Arial" w:cs="Arial"/>
        </w:rPr>
        <w:t xml:space="preserve">(1) Ako u inspekcijskom nadzoru utvrdi povredu odredbi ovoga Zakona, propisa donesenih na temelju ovoga Zakona ili Uredbe (EU) 2024/1244, inspektor po službenoj dužnosti pokreće upravni postupak i nadziranoj osobi rješenjem naređuje mjere za otklanjanje utvrđenih povreda te određuje primjeren rok za njihovo izvršenje, pri čemu rješenje može donijeti i bez saslušanja stranke. </w:t>
      </w:r>
    </w:p>
    <w:p>
      <w:pPr>
        <w:pBdr/>
        <w:pStyle w:val="Normal"/>
        <w:spacing/>
        <w:ind/>
        <w:rPr>
          <w:rFonts w:ascii="Arial" w:eastAsia="Arial" w:hAnsi="Arial" w:cs="Arial"/>
        </w:rPr>
      </w:pPr>
      <w:r>
        <w:rPr>
          <w:rFonts w:ascii="Arial" w:eastAsia="Arial" w:hAnsi="Arial" w:cs="Arial"/>
        </w:rPr>
        <w:t xml:space="preserve">(2) Inspektor rješenjem naređuje:</w:t>
      </w:r>
    </w:p>
    <w:p>
      <w:pPr>
        <w:pBdr/>
        <w:pStyle w:val="Normal"/>
        <w:spacing/>
        <w:ind/>
        <w:rPr>
          <w:rFonts w:ascii="Arial" w:eastAsia="Arial" w:hAnsi="Arial" w:cs="Arial"/>
        </w:rPr>
      </w:pPr>
      <w:r>
        <w:rPr>
          <w:rFonts w:ascii="Arial" w:eastAsia="Arial" w:hAnsi="Arial" w:cs="Arial"/>
        </w:rPr>
        <w:t xml:space="preserve">- zabranu rada postrojenja odnosno njegovog dijela i opreme i/ili obavljanja djelatnosti</w:t>
      </w:r>
    </w:p>
    <w:p>
      <w:pPr>
        <w:pBdr/>
        <w:pStyle w:val="Normal"/>
        <w:spacing/>
        <w:ind/>
        <w:rPr>
          <w:rFonts w:ascii="Arial" w:eastAsia="Arial" w:hAnsi="Arial" w:cs="Arial"/>
        </w:rPr>
      </w:pPr>
      <w:r>
        <w:rPr>
          <w:rFonts w:ascii="Arial" w:eastAsia="Arial" w:hAnsi="Arial" w:cs="Arial"/>
        </w:rPr>
        <w:t xml:space="preserve">- zabranu obavljanja radnji u proizvodnom procesu</w:t>
      </w:r>
    </w:p>
    <w:p>
      <w:pPr>
        <w:pBdr/>
        <w:pStyle w:val="Normal"/>
        <w:spacing/>
        <w:ind/>
        <w:rPr>
          <w:rFonts w:ascii="Arial" w:eastAsia="Arial" w:hAnsi="Arial" w:cs="Arial"/>
        </w:rPr>
      </w:pPr>
      <w:r>
        <w:rPr>
          <w:rFonts w:ascii="Arial" w:eastAsia="Arial" w:hAnsi="Arial" w:cs="Arial"/>
        </w:rPr>
        <w:t xml:space="preserve">- zabranu postupanja s opasnim tvarima</w:t>
      </w:r>
    </w:p>
    <w:p>
      <w:pPr>
        <w:pBdr/>
        <w:pStyle w:val="Normal"/>
        <w:spacing/>
        <w:ind/>
        <w:rPr>
          <w:rFonts w:ascii="Arial" w:eastAsia="Arial" w:hAnsi="Arial" w:cs="Arial"/>
        </w:rPr>
      </w:pPr>
      <w:r>
        <w:rPr>
          <w:rFonts w:ascii="Arial" w:eastAsia="Arial" w:hAnsi="Arial" w:cs="Arial"/>
        </w:rPr>
        <w:t xml:space="preserve">- poduzimanje odgovarajućih preventivnih i drugih mjera zaštite okoliša od opasnih tvari</w:t>
      </w:r>
    </w:p>
    <w:p>
      <w:pPr>
        <w:pBdr/>
        <w:pStyle w:val="Normal"/>
        <w:spacing/>
        <w:ind/>
        <w:rPr>
          <w:rFonts w:ascii="Arial" w:eastAsia="Arial" w:hAnsi="Arial" w:cs="Arial"/>
        </w:rPr>
      </w:pPr>
      <w:r>
        <w:rPr>
          <w:rFonts w:ascii="Arial" w:eastAsia="Arial" w:hAnsi="Arial" w:cs="Arial"/>
        </w:rPr>
        <w:t xml:space="preserve">- poduzimanje mjera radi sprječavanja velikih nesreća i osiguravanje odgovarajućih sredstava za ograničavanje posljedica na lokaciji i izvan nje</w:t>
      </w:r>
    </w:p>
    <w:p>
      <w:pPr>
        <w:pBdr/>
        <w:pStyle w:val="Normal"/>
        <w:spacing/>
        <w:ind/>
        <w:rPr>
          <w:rFonts w:ascii="Arial" w:eastAsia="Arial" w:hAnsi="Arial" w:cs="Arial"/>
        </w:rPr>
      </w:pPr>
      <w:r>
        <w:rPr>
          <w:rFonts w:ascii="Arial" w:eastAsia="Arial" w:hAnsi="Arial" w:cs="Arial"/>
        </w:rPr>
        <w:t xml:space="preserve">- izradu, ažuriranje i provedbu izvješća o sigurnosti za viši razred postrojenja te izradu i ažuriranje unutarnjeg plana</w:t>
      </w:r>
    </w:p>
    <w:p>
      <w:pPr>
        <w:pBdr/>
        <w:pStyle w:val="Normal"/>
        <w:spacing/>
        <w:ind/>
        <w:rPr>
          <w:rFonts w:ascii="Arial" w:eastAsia="Arial" w:hAnsi="Arial" w:cs="Arial"/>
        </w:rPr>
      </w:pPr>
      <w:r>
        <w:rPr>
          <w:rFonts w:ascii="Arial" w:eastAsia="Arial" w:hAnsi="Arial" w:cs="Arial"/>
        </w:rPr>
        <w:t xml:space="preserve">- izradu ili ažuriranje dokumentacije za provedbu politike sprječavanja velikih nesreća za niži razred postrojenja</w:t>
      </w:r>
    </w:p>
    <w:p>
      <w:pPr>
        <w:pBdr/>
        <w:pStyle w:val="Normal"/>
        <w:spacing/>
        <w:ind/>
        <w:rPr>
          <w:rFonts w:ascii="Arial" w:eastAsia="Arial" w:hAnsi="Arial" w:cs="Arial"/>
        </w:rPr>
      </w:pPr>
      <w:r>
        <w:rPr>
          <w:rFonts w:ascii="Arial" w:eastAsia="Arial" w:hAnsi="Arial" w:cs="Arial"/>
        </w:rPr>
        <w:t xml:space="preserve">- usklađivanje podataka i informacija sadržanih u izvješću o sigurnosti te u drugoj dokumentaciji sa stvarnim uvjetima u području postrojenja </w:t>
      </w:r>
    </w:p>
    <w:p>
      <w:pPr>
        <w:pBdr/>
        <w:pStyle w:val="Normal"/>
        <w:spacing/>
        <w:ind/>
        <w:rPr>
          <w:rFonts w:ascii="Arial" w:eastAsia="Arial" w:hAnsi="Arial" w:cs="Arial"/>
        </w:rPr>
      </w:pPr>
      <w:r>
        <w:rPr>
          <w:rFonts w:ascii="Arial" w:eastAsia="Arial" w:hAnsi="Arial" w:cs="Arial"/>
        </w:rPr>
        <w:t xml:space="preserve">- informiranje javnosti o sigurnosnim mjerama </w:t>
      </w:r>
    </w:p>
    <w:p>
      <w:pPr>
        <w:pBdr/>
        <w:pStyle w:val="Normal"/>
        <w:spacing/>
        <w:ind/>
        <w:rPr>
          <w:rFonts w:ascii="Arial" w:eastAsia="Arial" w:hAnsi="Arial" w:cs="Arial"/>
        </w:rPr>
      </w:pPr>
      <w:r>
        <w:rPr>
          <w:rFonts w:ascii="Arial" w:eastAsia="Arial" w:hAnsi="Arial" w:cs="Arial"/>
        </w:rPr>
        <w:t xml:space="preserve">- u slučaju velike nesreće poduzimanje potrebnih hitnih, srednjoročnih i dugoročnih mjera i postupaka te mjera sanacije i sprječavanja širenja onečišćenja okoliša</w:t>
      </w:r>
    </w:p>
    <w:p>
      <w:pPr>
        <w:pBdr/>
        <w:pStyle w:val="Normal"/>
        <w:spacing/>
        <w:ind/>
        <w:rPr>
          <w:rFonts w:ascii="Arial" w:eastAsia="Arial" w:hAnsi="Arial" w:cs="Arial"/>
        </w:rPr>
      </w:pPr>
      <w:r>
        <w:rPr>
          <w:rFonts w:ascii="Arial" w:eastAsia="Arial" w:hAnsi="Arial" w:cs="Arial"/>
        </w:rPr>
        <w:t xml:space="preserve">- provedbu mjera sprječavanja i mjera otklanjanja štete u okolišu </w:t>
      </w:r>
    </w:p>
    <w:p>
      <w:pPr>
        <w:pBdr/>
        <w:pStyle w:val="Normal"/>
        <w:spacing/>
        <w:ind/>
        <w:rPr>
          <w:rFonts w:ascii="Arial" w:eastAsia="Arial" w:hAnsi="Arial" w:cs="Arial"/>
        </w:rPr>
      </w:pPr>
      <w:r>
        <w:rPr>
          <w:rFonts w:ascii="Arial" w:eastAsia="Arial" w:hAnsi="Arial" w:cs="Arial"/>
        </w:rPr>
        <w:t xml:space="preserve">- uklanjanje posljedica onečišćenja okoliša odnosno provedbu mjera sanacijskog programa i programa praćenja stanja okoliša nakon sanacije u slučaju štete i štete u okolišu</w:t>
      </w:r>
    </w:p>
    <w:p>
      <w:pPr>
        <w:pBdr/>
        <w:pStyle w:val="Normal"/>
        <w:spacing/>
        <w:ind/>
        <w:rPr>
          <w:rFonts w:ascii="Arial" w:eastAsia="Arial" w:hAnsi="Arial" w:cs="Arial"/>
        </w:rPr>
      </w:pPr>
      <w:r>
        <w:rPr>
          <w:rFonts w:ascii="Arial" w:eastAsia="Arial" w:hAnsi="Arial" w:cs="Arial"/>
        </w:rPr>
        <w:t xml:space="preserve">- usklađenje postrojenja s uvjetima okolišne dozvole odnosno otklanjanje utvrđenih nepravilnosti u radu</w:t>
      </w:r>
    </w:p>
    <w:p>
      <w:pPr>
        <w:pBdr/>
        <w:pStyle w:val="Normal"/>
        <w:spacing/>
        <w:ind/>
        <w:rPr>
          <w:rFonts w:ascii="Arial" w:eastAsia="Arial" w:hAnsi="Arial" w:cs="Arial"/>
        </w:rPr>
      </w:pPr>
      <w:r>
        <w:rPr>
          <w:rFonts w:ascii="Arial" w:eastAsia="Arial" w:hAnsi="Arial" w:cs="Arial"/>
        </w:rPr>
        <w:t xml:space="preserve">- uspostavu, provedbu i preispitivanje EMS-</w:t>
      </w:r>
      <w:r>
        <w:rPr>
          <w:rFonts w:ascii="Arial" w:eastAsia="Arial" w:hAnsi="Arial" w:cs="Arial"/>
        </w:rPr>
        <w:t xml:space="preserve">a</w:t>
      </w:r>
    </w:p>
    <w:p>
      <w:pPr>
        <w:pBdr/>
        <w:pStyle w:val="Normal"/>
        <w:spacing/>
        <w:ind/>
        <w:rPr>
          <w:rFonts w:ascii="Arial" w:eastAsia="Arial" w:hAnsi="Arial" w:cs="Arial"/>
        </w:rPr>
      </w:pPr>
      <w:r>
        <w:rPr>
          <w:rFonts w:ascii="Arial" w:eastAsia="Arial" w:hAnsi="Arial" w:cs="Arial"/>
        </w:rPr>
        <w:t xml:space="preserve">- izradu, ažuriranje i provedbu plana preobrazbe postrojenja</w:t>
      </w:r>
    </w:p>
    <w:p>
      <w:pPr>
        <w:pBdr/>
        <w:pStyle w:val="Normal"/>
        <w:spacing/>
        <w:ind/>
        <w:rPr>
          <w:rFonts w:ascii="Arial" w:eastAsia="Arial" w:hAnsi="Arial" w:cs="Arial"/>
        </w:rPr>
      </w:pPr>
      <w:r>
        <w:rPr>
          <w:rFonts w:ascii="Arial" w:eastAsia="Arial" w:hAnsi="Arial" w:cs="Arial"/>
        </w:rPr>
        <w:t xml:space="preserve">- ispunjavanje privremenih uvjeta i etapa provedbe utvrđenim rješenjem kojim je odobren produljeni rok za temeljitu industrijsku preobrazbu postrojenja</w:t>
      </w:r>
    </w:p>
    <w:p>
      <w:pPr>
        <w:pBdr/>
        <w:pStyle w:val="Normal"/>
        <w:spacing/>
        <w:ind/>
        <w:rPr>
          <w:rFonts w:ascii="Arial" w:eastAsia="Arial" w:hAnsi="Arial" w:cs="Arial"/>
        </w:rPr>
      </w:pPr>
      <w:r>
        <w:rPr>
          <w:rFonts w:ascii="Arial" w:eastAsia="Arial" w:hAnsi="Arial" w:cs="Arial"/>
        </w:rPr>
        <w:t xml:space="preserve">- provedbu propisanih mjera nakon konačnog prestanka aktivnosti u postrojenju radi vraćanja lokacije u zadovoljavajuće stanje</w:t>
      </w:r>
    </w:p>
    <w:p>
      <w:pPr>
        <w:pBdr/>
        <w:pStyle w:val="Normal"/>
        <w:spacing/>
        <w:ind/>
        <w:rPr>
          <w:rFonts w:ascii="Arial" w:eastAsia="Arial" w:hAnsi="Arial" w:cs="Arial"/>
        </w:rPr>
      </w:pPr>
      <w:r>
        <w:rPr>
          <w:rFonts w:ascii="Arial" w:eastAsia="Arial" w:hAnsi="Arial" w:cs="Arial"/>
        </w:rPr>
        <w:t xml:space="preserve">- usklađenje rada postrojenja u sustavu registracije s operativnim pravilima propisanim pravilnikom iz članka 163. stavka 1. ovoga Zakona, odnosno otklanjanje utvrđenih nepravilnosti u radu</w:t>
      </w:r>
    </w:p>
    <w:p>
      <w:pPr>
        <w:pBdr/>
        <w:pStyle w:val="Normal"/>
        <w:spacing/>
        <w:ind/>
        <w:rPr>
          <w:rFonts w:ascii="Arial" w:eastAsia="Arial" w:hAnsi="Arial" w:cs="Arial"/>
        </w:rPr>
      </w:pPr>
      <w:r>
        <w:rPr>
          <w:rFonts w:ascii="Arial" w:eastAsia="Arial" w:hAnsi="Arial" w:cs="Arial"/>
        </w:rPr>
        <w:t xml:space="preserve">- otklanjanje nepravilnosti i/ili nezakonitosti u postupanju</w:t>
      </w:r>
    </w:p>
    <w:p>
      <w:pPr>
        <w:pBdr/>
        <w:pStyle w:val="Normal"/>
        <w:spacing/>
        <w:ind/>
        <w:rPr>
          <w:rFonts w:ascii="Arial" w:eastAsia="Arial" w:hAnsi="Arial" w:cs="Arial"/>
        </w:rPr>
      </w:pPr>
      <w:r>
        <w:rPr>
          <w:rFonts w:ascii="Arial" w:eastAsia="Arial" w:hAnsi="Arial" w:cs="Arial"/>
        </w:rPr>
        <w:t xml:space="preserve">- dostavu propisanih informacija ili obavijesti</w:t>
      </w:r>
    </w:p>
    <w:p>
      <w:pPr>
        <w:pBdr/>
        <w:pStyle w:val="Normal"/>
        <w:spacing/>
        <w:ind/>
        <w:rPr>
          <w:rFonts w:ascii="Arial" w:eastAsia="Arial" w:hAnsi="Arial" w:cs="Arial"/>
        </w:rPr>
      </w:pPr>
      <w:r>
        <w:rPr>
          <w:rFonts w:ascii="Arial" w:eastAsia="Arial" w:hAnsi="Arial" w:cs="Arial"/>
        </w:rPr>
        <w:t xml:space="preserve">- provedbu mjera zaštite okoliša i praćenja stanja okoliša </w:t>
      </w:r>
    </w:p>
    <w:p>
      <w:pPr>
        <w:pBdr/>
        <w:pStyle w:val="Normal"/>
        <w:spacing/>
        <w:ind/>
        <w:rPr>
          <w:rFonts w:ascii="Arial" w:eastAsia="Arial" w:hAnsi="Arial" w:cs="Arial"/>
        </w:rPr>
      </w:pPr>
      <w:r>
        <w:rPr>
          <w:rFonts w:ascii="Arial" w:eastAsia="Arial" w:hAnsi="Arial" w:cs="Arial"/>
        </w:rPr>
        <w:t xml:space="preserve">- obustavu izvođenja radova i rada postrojenja.</w:t>
      </w:r>
    </w:p>
    <w:p>
      <w:pPr>
        <w:pBdr/>
        <w:pStyle w:val="Normal"/>
        <w:spacing/>
        <w:ind/>
        <w:rPr>
          <w:rFonts w:ascii="Arial" w:eastAsia="Arial" w:hAnsi="Arial" w:cs="Arial"/>
        </w:rPr>
      </w:pPr>
      <w:r>
        <w:rPr>
          <w:rFonts w:ascii="Arial" w:eastAsia="Arial" w:hAnsi="Arial" w:cs="Arial"/>
          <w:b/>
          <w:bCs/>
        </w:rPr>
        <w:t xml:space="preserve">(</w:t>
      </w:r>
      <w:r>
        <w:rPr>
          <w:rFonts w:ascii="Arial" w:eastAsia="Arial" w:hAnsi="Arial" w:cs="Arial"/>
        </w:rPr>
        <w:t xml:space="preserve">3) Na rokove za donošenje rješenja iz stavka 2. ovoga članka, kontrolu njegova izvršenja  i pokretanje prekršajnog postupka primjenjuju se odredbe zakona kojim se uređuju poslovi i ovlasti tijela nadležnog za inspekcijske poslove.</w:t>
      </w:r>
    </w:p>
    <w:p>
      <w:pPr>
        <w:pBdr/>
        <w:pStyle w:val="Normal"/>
        <w:spacing/>
        <w:ind/>
        <w:rPr>
          <w:rFonts w:ascii="Arial" w:eastAsia="Arial" w:hAnsi="Arial" w:cs="Arial"/>
        </w:rPr>
      </w:pPr>
      <w:r>
        <w:rPr>
          <w:rFonts w:ascii="Arial" w:eastAsia="Arial" w:hAnsi="Arial" w:cs="Arial"/>
        </w:rPr>
        <w:t xml:space="preserve">(4) U koordiniranom inspekcijskom nadzoru inspektor zaštite okoliša i inspektori drugih nadležnih inspekcija poduzimaju upravne i prekršajne mjere, svaki u okviru svoje nadležnosti, u skladu s ovim Zakonom i posebnim propisima iz područja zaštite prirode, voda, zraka, gospodarenja otpadom, buke, svjetlosnog onečišćenja i dr.</w:t>
      </w:r>
    </w:p>
    <w:p>
      <w:pPr>
        <w:pBdr/>
        <w:pStyle w:val="Normal"/>
        <w:spacing/>
        <w:ind/>
        <w:rPr>
          <w:rFonts w:ascii="Arial" w:eastAsia="Arial" w:hAnsi="Arial" w:cs="Arial"/>
        </w:rPr>
      </w:pPr>
    </w:p>
    <w:p>
      <w:pPr>
        <w:pBdr/>
        <w:pStyle w:val="Heading 2"/>
        <w:spacing/>
        <w:ind/>
        <w:rPr/>
      </w:pPr>
      <w:r>
        <w:rPr/>
        <w:t xml:space="preserve">Zabrana rada postrojenja i područja postrojenja odnosno obavljanja djelatnosti</w:t>
      </w:r>
    </w:p>
    <w:p>
      <w:pPr>
        <w:pBdr/>
        <w:pStyle w:val="Heading 2"/>
        <w:spacing/>
        <w:ind/>
        <w:rPr/>
      </w:pPr>
      <w:r>
        <w:rPr/>
        <w:t xml:space="preserve">Članak 299.</w:t>
      </w:r>
    </w:p>
    <w:p>
      <w:pPr>
        <w:pBdr/>
        <w:pStyle w:val="Normal"/>
        <w:spacing/>
        <w:ind/>
        <w:rPr>
          <w:rFonts w:ascii="Arial" w:eastAsia="Arial" w:hAnsi="Arial" w:cs="Arial"/>
        </w:rPr>
      </w:pPr>
      <w:r>
        <w:rPr>
          <w:rFonts w:ascii="Arial" w:eastAsia="Arial" w:hAnsi="Arial" w:cs="Arial"/>
        </w:rPr>
        <w:t xml:space="preserve">(1) U inspekcijskom nadzoru ili koordiniranom inspekcijskom nadzoru inspektor nadziranoj osobi rješenjem naređuje zabranu rada postrojenja, područja postrojenja ili njihova dijela, opreme i uređaja odnosno obavljanja djelatnosti ili pojedine aktivnosti u okviru djelatnosti te određuje rok ako utvrdi da nadzirana osoba:</w:t>
      </w:r>
    </w:p>
    <w:p>
      <w:pPr>
        <w:pBdr/>
        <w:pStyle w:val="Normal"/>
        <w:spacing/>
        <w:ind/>
        <w:rPr>
          <w:rFonts w:ascii="Arial" w:eastAsia="Arial" w:hAnsi="Arial" w:cs="Arial"/>
        </w:rPr>
      </w:pPr>
      <w:r>
        <w:rPr>
          <w:rFonts w:ascii="Arial" w:eastAsia="Arial" w:hAnsi="Arial" w:cs="Arial"/>
        </w:rPr>
        <w:t xml:space="preserve">- obavlja djelatnost bez okolišne dozvole ili rješenja o radu postrojenja ispod praga kapaciteta, iako ih je bila dužna ishoditi</w:t>
      </w:r>
    </w:p>
    <w:p>
      <w:pPr>
        <w:pBdr/>
        <w:pStyle w:val="Normal"/>
        <w:spacing/>
        <w:ind/>
        <w:rPr>
          <w:rFonts w:ascii="Arial" w:eastAsia="Arial" w:hAnsi="Arial" w:cs="Arial"/>
        </w:rPr>
      </w:pPr>
      <w:r>
        <w:rPr>
          <w:rFonts w:ascii="Arial" w:eastAsia="Arial" w:hAnsi="Arial" w:cs="Arial"/>
        </w:rPr>
        <w:t xml:space="preserve">- nije ishodila izmjenu i/ili dopunu ili novu okolišnu dozvolu, iako je provela značajnu promjenu u radu ili rekonstrukciju postrojenja za koju je bila dužna ishoditi odgovarajuću dozvolu</w:t>
      </w:r>
    </w:p>
    <w:p>
      <w:pPr>
        <w:pBdr/>
        <w:pStyle w:val="Normal"/>
        <w:spacing/>
        <w:ind/>
        <w:rPr>
          <w:rFonts w:ascii="Arial" w:eastAsia="Arial" w:hAnsi="Arial" w:cs="Arial"/>
        </w:rPr>
      </w:pPr>
      <w:r>
        <w:rPr>
          <w:rFonts w:ascii="Arial" w:eastAsia="Arial" w:hAnsi="Arial" w:cs="Arial"/>
        </w:rPr>
        <w:t xml:space="preserve">- povećanjem kapaciteta ili promjenom u radu prelazi propisani prag kapaciteta za rad na temelju rješenja o radu postrojenja ispod praga kapaciteta a nije ishodila okolišnu dozvolu</w:t>
      </w:r>
    </w:p>
    <w:p>
      <w:pPr>
        <w:pBdr/>
        <w:pStyle w:val="Normal"/>
        <w:spacing/>
        <w:ind/>
        <w:rPr>
          <w:rFonts w:ascii="Arial" w:eastAsia="Arial" w:hAnsi="Arial" w:cs="Arial"/>
        </w:rPr>
      </w:pPr>
      <w:r>
        <w:rPr>
          <w:rFonts w:ascii="Arial" w:eastAsia="Arial" w:hAnsi="Arial" w:cs="Arial"/>
        </w:rPr>
        <w:t xml:space="preserve">- unatoč izrečenoj inspekcijskoj mjeri nastavlja obavljati djelatnost u postrojenju u sustavu registracije protivno operativnim pravilima propisanim pravilnikom iz članka 163. stavka 1. ovoga Zakona</w:t>
      </w:r>
    </w:p>
    <w:p>
      <w:pPr>
        <w:pBdr/>
        <w:pStyle w:val="Normal"/>
        <w:spacing/>
        <w:ind/>
        <w:rPr>
          <w:rFonts w:ascii="Arial" w:eastAsia="Arial" w:hAnsi="Arial" w:cs="Arial"/>
        </w:rPr>
      </w:pPr>
      <w:r>
        <w:rPr>
          <w:rFonts w:ascii="Arial" w:eastAsia="Arial" w:hAnsi="Arial" w:cs="Arial"/>
        </w:rPr>
        <w:t xml:space="preserve">- obavlja djelatnost bez rješenja o registraciji, iako ga je bila dužna ishoditi </w:t>
      </w:r>
    </w:p>
    <w:p>
      <w:pPr>
        <w:pBdr/>
        <w:pStyle w:val="Normal"/>
        <w:spacing/>
        <w:ind/>
        <w:rPr>
          <w:rFonts w:ascii="Arial" w:eastAsia="Arial" w:hAnsi="Arial" w:cs="Arial"/>
        </w:rPr>
      </w:pPr>
      <w:r>
        <w:rPr>
          <w:rFonts w:ascii="Arial" w:eastAsia="Arial" w:hAnsi="Arial" w:cs="Arial"/>
        </w:rPr>
        <w:t xml:space="preserve">- provede značajnu promjenu registriranog postrojenja za koju je Ministarstvo utvrdilo da zahtijeva novu registraciju prije izvršnosti novog rješenja o registraciji</w:t>
      </w:r>
    </w:p>
    <w:p>
      <w:pPr>
        <w:pBdr/>
        <w:pStyle w:val="Normal"/>
        <w:spacing/>
        <w:ind/>
        <w:rPr>
          <w:rFonts w:ascii="Arial" w:eastAsia="Arial" w:hAnsi="Arial" w:cs="Arial"/>
        </w:rPr>
      </w:pPr>
      <w:r>
        <w:rPr>
          <w:rFonts w:ascii="Arial" w:eastAsia="Arial" w:hAnsi="Arial" w:cs="Arial"/>
        </w:rPr>
        <w:t xml:space="preserve">- ne uskladi rad postrojenja s uvjetima okolišne dozvole u roku od  četiri godine od dana objave odluke Europske komisije o zaključcima o NRT-</w:t>
      </w:r>
      <w:r>
        <w:rPr>
          <w:rFonts w:ascii="Arial" w:eastAsia="Arial" w:hAnsi="Arial" w:cs="Arial"/>
        </w:rPr>
        <w:t xml:space="preserve">u za glavnu djelatnost postrojenja</w:t>
      </w:r>
    </w:p>
    <w:p>
      <w:pPr>
        <w:pBdr/>
        <w:pStyle w:val="Normal"/>
        <w:spacing/>
        <w:ind/>
        <w:rPr>
          <w:rFonts w:ascii="Arial" w:eastAsia="Arial" w:hAnsi="Arial" w:cs="Arial"/>
        </w:rPr>
      </w:pPr>
      <w:r>
        <w:rPr>
          <w:rFonts w:ascii="Arial" w:eastAsia="Arial" w:hAnsi="Arial" w:cs="Arial"/>
        </w:rPr>
        <w:t xml:space="preserve"> - ne uskladi rad postrojenja za koje je izdano rješenje o registraciji u roku iz Zakona s operativnim pravilima propisanim pravilnikom iz članka 163. stavka 1. ovoga Zakona </w:t>
      </w:r>
    </w:p>
    <w:p>
      <w:pPr>
        <w:pBdr/>
        <w:pStyle w:val="Normal"/>
        <w:spacing/>
        <w:ind/>
        <w:rPr>
          <w:rFonts w:ascii="Arial" w:eastAsia="Arial" w:hAnsi="Arial" w:cs="Arial"/>
        </w:rPr>
      </w:pPr>
      <w:r>
        <w:rPr>
          <w:rFonts w:ascii="Arial" w:eastAsia="Arial" w:hAnsi="Arial" w:cs="Arial"/>
        </w:rPr>
        <w:t xml:space="preserve">- obavlja djelatnost nakon ukidanja okolišne dozvole</w:t>
      </w:r>
    </w:p>
    <w:p>
      <w:pPr>
        <w:pBdr/>
        <w:pStyle w:val="Normal"/>
        <w:spacing/>
        <w:ind/>
        <w:rPr>
          <w:rFonts w:ascii="Arial" w:eastAsia="Arial" w:hAnsi="Arial" w:cs="Arial"/>
        </w:rPr>
      </w:pPr>
      <w:r>
        <w:rPr>
          <w:rFonts w:ascii="Arial" w:eastAsia="Arial" w:hAnsi="Arial" w:cs="Arial"/>
        </w:rPr>
        <w:t xml:space="preserve">- obavlja radnju u proizvodnom procesu ili koristi tehnike, tehnološke procese, proizvode, poluproizvod ili sirovine zbog kojih je došlo ili može doći do onečišćenja okoliša</w:t>
      </w:r>
    </w:p>
    <w:p>
      <w:pPr>
        <w:pBdr/>
        <w:pStyle w:val="Normal"/>
        <w:spacing/>
        <w:ind/>
        <w:rPr>
          <w:rFonts w:ascii="Arial" w:eastAsia="Arial" w:hAnsi="Arial" w:cs="Arial"/>
        </w:rPr>
      </w:pPr>
      <w:r>
        <w:rPr>
          <w:rFonts w:ascii="Arial" w:eastAsia="Arial" w:hAnsi="Arial" w:cs="Arial"/>
        </w:rPr>
        <w:t xml:space="preserve">- ne ispunjava propisane standarde kakvoće okoliša ili tehničke standarde zaštite okoliša za pogone, uređaje, opremu, proizvodne postupke i proizvode koji mogu prouzročiti rizik ili opasnost za okoliš</w:t>
      </w:r>
    </w:p>
    <w:p>
      <w:pPr>
        <w:pBdr/>
        <w:pStyle w:val="Normal"/>
        <w:spacing/>
        <w:ind/>
        <w:rPr>
          <w:rFonts w:ascii="Arial" w:eastAsia="Arial" w:hAnsi="Arial" w:cs="Arial"/>
        </w:rPr>
      </w:pPr>
      <w:r>
        <w:rPr>
          <w:rFonts w:ascii="Arial" w:eastAsia="Arial" w:hAnsi="Arial" w:cs="Arial"/>
        </w:rPr>
        <w:t xml:space="preserve">- obavlja djelatnost uz ozbiljne nedostatke u mjerama za sprečavanje i ublažavanje posljedica velike nesreće.</w:t>
      </w:r>
    </w:p>
    <w:p>
      <w:pPr>
        <w:pBdr/>
        <w:pStyle w:val="Normal"/>
        <w:spacing/>
        <w:ind/>
        <w:rPr>
          <w:rFonts w:ascii="Arial" w:eastAsia="Arial" w:hAnsi="Arial" w:cs="Arial"/>
        </w:rPr>
      </w:pPr>
      <w:r>
        <w:rPr>
          <w:rFonts w:ascii="Arial" w:eastAsia="Arial" w:hAnsi="Arial" w:cs="Arial"/>
        </w:rPr>
        <w:t xml:space="preserve">(2) U koordiniranom Seveso nadzoru inspektor može nadziranoj osobi rješenjem narediti zabranu rada područja postrojenja, postrojenja, skladišta ili bilo kojeg njihova dijela ako operater ne dostavi obavijesti, izvješća, drugu dokumentaciju ili podatke u roku propisanom ovim Zakonom.</w:t>
      </w:r>
    </w:p>
    <w:p>
      <w:pPr>
        <w:pBdr/>
        <w:pStyle w:val="Normal"/>
        <w:spacing/>
        <w:ind/>
        <w:rPr>
          <w:rFonts w:ascii="Arial" w:eastAsia="Arial" w:hAnsi="Arial" w:cs="Arial"/>
        </w:rPr>
      </w:pPr>
      <w:r>
        <w:rPr>
          <w:rFonts w:ascii="Arial" w:eastAsia="Arial" w:hAnsi="Arial" w:cs="Arial"/>
        </w:rPr>
        <w:t xml:space="preserve">(3) Nadzirana osoba može ponovo započeti rad postrojenja ili područja postrojenja odnosno obavljanje djelatnosti ili pojedine aktivnosti nakon što otkloni razloge zbog kojih je zabrana izrečena i inspektor provjeri izvršenje rješenja.  </w:t>
      </w:r>
    </w:p>
    <w:p>
      <w:pPr>
        <w:pBdr/>
        <w:pStyle w:val="Normal"/>
        <w:spacing/>
        <w:ind/>
        <w:rPr>
          <w:rFonts w:ascii="Arial" w:eastAsia="Arial" w:hAnsi="Arial" w:cs="Arial"/>
        </w:rPr>
      </w:pPr>
    </w:p>
    <w:p>
      <w:pPr>
        <w:pBdr/>
        <w:pStyle w:val="Heading 2"/>
        <w:spacing/>
        <w:ind/>
        <w:rPr/>
      </w:pPr>
      <w:r>
        <w:rPr/>
        <w:t xml:space="preserve">Poduzimanje mjera u slučaju nesreće</w:t>
      </w:r>
    </w:p>
    <w:p>
      <w:pPr>
        <w:pBdr/>
        <w:pStyle w:val="Heading 2"/>
        <w:spacing/>
        <w:ind/>
        <w:rPr/>
      </w:pPr>
      <w:r>
        <w:rPr/>
        <w:t xml:space="preserve">Članak 300.</w:t>
      </w:r>
    </w:p>
    <w:p>
      <w:pPr>
        <w:pBdr/>
        <w:pStyle w:val="Normal"/>
        <w:spacing/>
        <w:ind/>
        <w:rPr>
          <w:rFonts w:ascii="Arial" w:eastAsia="Arial" w:hAnsi="Arial" w:cs="Arial"/>
        </w:rPr>
      </w:pPr>
      <w:r>
        <w:rPr>
          <w:rFonts w:ascii="Arial" w:eastAsia="Arial" w:hAnsi="Arial" w:cs="Arial"/>
        </w:rPr>
        <w:t xml:space="preserve">(1) U slučaju nesreće inspektor u inspekcijskom nadzoru odnosno koordiniranom inspekcijskom nadzoru nadziranoj osobi rješenjem naređuje da odmah provede mjere i postupke za sprječavanje širenja onečišćenja okoliša i sanaciju te prema potrebi poduzima druge nužne mjere.</w:t>
      </w:r>
    </w:p>
    <w:p>
      <w:pPr>
        <w:pBdr/>
        <w:pStyle w:val="Normal"/>
        <w:spacing/>
        <w:ind/>
        <w:rPr>
          <w:rFonts w:ascii="Arial" w:eastAsia="Arial" w:hAnsi="Arial" w:cs="Arial"/>
        </w:rPr>
      </w:pPr>
      <w:r>
        <w:rPr>
          <w:rFonts w:ascii="Arial" w:eastAsia="Arial" w:hAnsi="Arial" w:cs="Arial"/>
        </w:rPr>
        <w:t xml:space="preserve">(2) Rješenjem iz stavka 1. ovoga članka inspektor naređuje nadziranoj osobi da informira javnost o mjerama poduzetim radi smanjenja štete ili štete u okolišu te sprječavanja daljnjih rizika, opasnosti, štete ili štete u okolišu.</w:t>
      </w:r>
    </w:p>
    <w:p>
      <w:pPr>
        <w:pBdr/>
        <w:pStyle w:val="Normal"/>
        <w:spacing/>
        <w:ind/>
        <w:rPr>
          <w:rFonts w:ascii="Arial" w:eastAsia="Arial" w:hAnsi="Arial" w:cs="Arial"/>
          <w:color w:val="000000"/>
        </w:rPr>
      </w:pPr>
      <w:r>
        <w:rPr>
          <w:rFonts w:ascii="Arial" w:eastAsia="Arial" w:hAnsi="Arial" w:cs="Arial"/>
        </w:rPr>
        <w:t xml:space="preserve">(3) Ako nadzirana osoba ne postupi po rješenju iz stavka 1. </w:t>
      </w:r>
      <w:r>
        <w:rPr>
          <w:rFonts w:ascii="Arial" w:eastAsia="Arial" w:hAnsi="Arial" w:cs="Arial"/>
          <w:color w:val="000000"/>
        </w:rPr>
        <w:t xml:space="preserve">ovoga članka, rješenje će se izvršiti putem treće osobe na trošak i odgovornost nadzirane osobe.</w:t>
      </w:r>
    </w:p>
    <w:p>
      <w:pPr>
        <w:pBdr/>
        <w:pStyle w:val="Normal"/>
        <w:spacing/>
        <w:ind/>
        <w:rPr>
          <w:rFonts w:ascii="Arial" w:eastAsia="Arial" w:hAnsi="Arial" w:cs="Arial"/>
          <w:iCs/>
          <w:color w:val="000000"/>
        </w:rPr>
      </w:pPr>
    </w:p>
    <w:p>
      <w:pPr>
        <w:pBdr/>
        <w:pStyle w:val="Heading 2"/>
        <w:spacing/>
        <w:ind/>
        <w:rPr/>
      </w:pPr>
      <w:r>
        <w:rPr/>
        <w:t xml:space="preserve">Poduzimanje mjera u slučaju izvanrednog događaja ili nesreće u postrojenjima s okolišnom dozvolom i postrojenjima u sustavu registracije</w:t>
      </w:r>
    </w:p>
    <w:p>
      <w:pPr>
        <w:pBdr/>
        <w:pStyle w:val="Heading 2"/>
        <w:spacing/>
        <w:ind/>
        <w:rPr/>
      </w:pPr>
      <w:r>
        <w:rPr/>
        <w:t xml:space="preserve">Članak 301.</w:t>
      </w:r>
    </w:p>
    <w:p>
      <w:pPr>
        <w:pBdr/>
        <w:pStyle w:val="Normal"/>
        <w:spacing/>
        <w:ind/>
        <w:rPr>
          <w:rFonts w:ascii="Arial" w:eastAsia="Arial" w:hAnsi="Arial" w:cs="Arial"/>
        </w:rPr>
      </w:pPr>
      <w:r>
        <w:rPr>
          <w:rFonts w:ascii="Arial" w:eastAsia="Arial" w:hAnsi="Arial" w:cs="Arial"/>
        </w:rPr>
        <w:t xml:space="preserve">(1) U slučaju izvanrednog događaja ili nesreće iz članka 151.</w:t>
      </w:r>
      <w:r>
        <w:rPr>
          <w:rFonts w:ascii="Arial" w:eastAsia="Arial" w:hAnsi="Arial" w:cs="Arial"/>
          <w:color w:val="FF0000"/>
        </w:rPr>
        <w:t xml:space="preserve"> </w:t>
      </w:r>
      <w:r>
        <w:rPr>
          <w:rFonts w:ascii="Arial" w:eastAsia="Arial" w:hAnsi="Arial" w:cs="Arial"/>
        </w:rPr>
        <w:t xml:space="preserve">stavka 1. ovoga Zakona odnosno članka 166. stavka 2. ovoga Zakona, inspektor uz mjere iz članka 300. stavka 1. ovoga Zakona odmah rješenjem naređuje operateru poduzimanje svih odgovarajućih dodatnih mjera koje utvrdi potrebnima za ograničavanje posljedica za zdravlje ljudi i okoliš te sprječavanje daljnjih izvanrednih događaja ili nesreća, pri čemu se na to rješenje na odgovarajući način primjenjuju odredbe članka 300. stavaka 2. i 3. ovoga Zakona.</w:t>
      </w:r>
    </w:p>
    <w:p>
      <w:pPr>
        <w:pBdr/>
        <w:pStyle w:val="Normal"/>
        <w:spacing/>
        <w:ind/>
        <w:rPr>
          <w:rFonts w:ascii="Arial" w:eastAsia="Arial" w:hAnsi="Arial" w:cs="Arial"/>
        </w:rPr>
      </w:pPr>
      <w:r>
        <w:rPr>
          <w:rFonts w:ascii="Arial" w:eastAsia="Arial" w:hAnsi="Arial" w:cs="Arial"/>
        </w:rPr>
        <w:t xml:space="preserve">(2) Ako onečišćenje nastalo izvanrednim događajem ili nesrećom iz stavka 1. ovoga članka utječe na vodne resurse namijenjene za ljudsku potrošnju, uključujući prekogranične resurse, ili na građevine za javnu odvodnju u slučaju neizravnog ispuštanja, tijelo nadležno za inspekcijske poslove u području zaštite okoliša odmah obavještava nadležnog isporučitelja vodnih usluga o mjerama poduzetim radi sprječavanja štete ili otklanjanja štete za zdravlje ljudi i okoliš uzrokovane onečišćenjem.</w:t>
      </w:r>
    </w:p>
    <w:p>
      <w:pPr>
        <w:pBdr/>
        <w:pStyle w:val="Normal"/>
        <w:spacing/>
        <w:ind/>
        <w:rPr>
          <w:rFonts w:ascii="Arial" w:eastAsia="Arial" w:hAnsi="Arial" w:cs="Arial"/>
        </w:rPr>
      </w:pPr>
      <w:r>
        <w:rPr>
          <w:rFonts w:ascii="Arial" w:eastAsia="Arial" w:hAnsi="Arial" w:cs="Arial"/>
        </w:rPr>
        <w:t xml:space="preserve">(3) Tijelo nadležno za inspekcijske poslove u području zaštite okoliša, kao koordinator inspekcijskog nadzora, odmah obavještava Ministarstvo o utvrđenom stanju na lokaciji postrojenja na kojoj je došlo do onečišćenja, posljedicama izvanrednog događaja ili </w:t>
      </w:r>
      <w:r>
        <w:rPr>
          <w:rFonts w:ascii="Arial" w:eastAsia="Arial" w:hAnsi="Arial" w:cs="Arial"/>
        </w:rPr>
        <w:t xml:space="preserve">nesreće te mjerama koje su nadležni inspektori poduzeli odnosno naredili sukladno stavku 1. ovoga članka.</w:t>
      </w:r>
    </w:p>
    <w:p>
      <w:pPr>
        <w:pBdr/>
        <w:pStyle w:val="Normal"/>
        <w:spacing/>
        <w:ind/>
        <w:rPr>
          <w:rFonts w:ascii="Arial" w:eastAsia="Arial" w:hAnsi="Arial" w:cs="Arial"/>
        </w:rPr>
      </w:pPr>
      <w:r>
        <w:rPr>
          <w:rFonts w:ascii="Arial" w:eastAsia="Arial" w:hAnsi="Arial" w:cs="Arial"/>
        </w:rPr>
        <w:t xml:space="preserve">(4) Ako tijelo nadležno za inspekcijske poslove u području zaštite okoliša utvrdi da izvanredni događaj ili nesreća iz stavka 1. ovoga članka znatno utječe ili bi mogao znatno utjecati na zdravlje ljudi i/ili okoliš u drugoj državi, odmah o tome obavještava Ministarstvo, koje odmah obavještava nadležno tijelo pogođene države i s njim surađuje radi ograničavanja posljedica i sprječavanja daljnje štete.</w:t>
      </w:r>
    </w:p>
    <w:p>
      <w:pPr>
        <w:pBdr/>
        <w:pStyle w:val="Normal"/>
        <w:spacing/>
        <w:ind/>
        <w:rPr>
          <w:rFonts w:ascii="Arial" w:eastAsia="Arial" w:hAnsi="Arial" w:cs="Arial"/>
        </w:rPr>
      </w:pPr>
      <w:r>
        <w:rPr>
          <w:rFonts w:ascii="Arial" w:eastAsia="Arial" w:hAnsi="Arial" w:cs="Arial"/>
        </w:rPr>
        <w:t xml:space="preserve">(5) Ako drugo tijelo tijekom nadzora utvrdi izvanredni događaj, nesreću ili onečišćenje iz stavka 1. ovoga članka, dužno je odmah o tome obavijestiti tijelo nadležno za inspekcijske poslove u području zaštite okoliša.</w:t>
      </w:r>
    </w:p>
    <w:p>
      <w:pPr>
        <w:pBdr/>
        <w:pStyle w:val="Normal"/>
        <w:spacing/>
        <w:ind/>
        <w:rPr>
          <w:rFonts w:ascii="Arial" w:eastAsia="Arial" w:hAnsi="Arial" w:cs="Arial"/>
        </w:rPr>
      </w:pPr>
    </w:p>
    <w:p>
      <w:pPr>
        <w:pBdr/>
        <w:pStyle w:val="Heading 2"/>
        <w:spacing/>
        <w:ind/>
        <w:rPr/>
      </w:pPr>
      <w:r>
        <w:rPr/>
        <w:t xml:space="preserve">Otklanjanje posljedica onečišćenja</w:t>
      </w:r>
    </w:p>
    <w:p>
      <w:pPr>
        <w:pBdr/>
        <w:pStyle w:val="Heading 2"/>
        <w:spacing/>
        <w:ind/>
        <w:rPr/>
      </w:pPr>
      <w:r>
        <w:rPr/>
        <w:t xml:space="preserve">Članak 302.</w:t>
      </w:r>
    </w:p>
    <w:p>
      <w:pPr>
        <w:pBdr/>
        <w:pStyle w:val="Normal"/>
        <w:spacing/>
        <w:ind/>
        <w:rPr>
          <w:rFonts w:ascii="Arial" w:eastAsia="Arial" w:hAnsi="Arial" w:cs="Arial"/>
          <w:color w:val="000000"/>
        </w:rPr>
      </w:pPr>
      <w:r>
        <w:rPr>
          <w:rFonts w:ascii="Arial" w:eastAsia="Arial" w:hAnsi="Arial" w:cs="Arial"/>
        </w:rPr>
        <w:t xml:space="preserve">(1) U inspekcijskom nadzoru odnosno koordiniranom inspekcijskom nadzoru inspektor onečišćivaču rješenjem naređuje otklanjanje utvrđenih posljedica onečišćenja okoliša odnosno provedbu mjera sanacije te, prema potrebi, provedbu aktivnosti i mjera zaštite okoliša radi usklađivanja s ovim Zakonom i određuje rokove za njihovu provedbu. </w:t>
      </w:r>
    </w:p>
    <w:p>
      <w:pPr>
        <w:pBdr/>
        <w:pStyle w:val="Normal"/>
        <w:spacing/>
        <w:ind/>
        <w:rPr>
          <w:rFonts w:ascii="Arial" w:eastAsia="Arial" w:hAnsi="Arial" w:cs="Arial"/>
        </w:rPr>
      </w:pPr>
      <w:r>
        <w:rPr>
          <w:rFonts w:ascii="Arial" w:eastAsia="Arial" w:hAnsi="Arial" w:cs="Arial"/>
        </w:rPr>
        <w:t xml:space="preserve">(2) U slučaju zatečenog onečišćenja iz članka 143. stavka 1. ovoga Zakona inspektor na temelju očevida, temeljnog izvješća, pribavljenih mišljenja i podataka nadležnih tijela te drugih raspoloživih dokaza poduzima potrebne radnje radi utvrđivanja:</w:t>
      </w:r>
    </w:p>
    <w:p>
      <w:pPr>
        <w:pBdr/>
        <w:pStyle w:val="Normal"/>
        <w:spacing/>
        <w:ind/>
        <w:rPr>
          <w:rFonts w:ascii="Arial" w:eastAsia="Arial" w:hAnsi="Arial" w:cs="Arial"/>
        </w:rPr>
      </w:pPr>
      <w:r>
        <w:rPr>
          <w:rFonts w:ascii="Arial" w:eastAsia="Arial" w:hAnsi="Arial" w:cs="Arial"/>
        </w:rPr>
        <w:t xml:space="preserve">1.  osobe koja je prouzročila onečišćenje</w:t>
      </w:r>
    </w:p>
    <w:p>
      <w:pPr>
        <w:pBdr/>
        <w:pStyle w:val="Normal"/>
        <w:spacing/>
        <w:ind/>
        <w:rPr>
          <w:rFonts w:ascii="Arial" w:eastAsia="Arial" w:hAnsi="Arial" w:cs="Arial"/>
        </w:rPr>
      </w:pPr>
      <w:r>
        <w:rPr>
          <w:rFonts w:ascii="Arial" w:eastAsia="Arial" w:hAnsi="Arial" w:cs="Arial"/>
        </w:rPr>
        <w:t xml:space="preserve">2. mjera uklanjanja, kontrole, ograničavanja ili smanjenja relevantnih opasnih tvari potrebnih da zatečeno onečišćenje tla i/ili podzemnih voda više ne predstavlja značajan rizik za zdravlje ljudi i/ili okoliš</w:t>
      </w:r>
    </w:p>
    <w:p>
      <w:pPr>
        <w:pBdr/>
        <w:pStyle w:val="Normal"/>
        <w:spacing/>
        <w:ind/>
        <w:rPr>
          <w:rFonts w:ascii="Arial" w:eastAsia="Arial" w:hAnsi="Arial" w:cs="Arial"/>
        </w:rPr>
      </w:pPr>
      <w:r>
        <w:rPr>
          <w:rFonts w:ascii="Arial" w:eastAsia="Arial" w:hAnsi="Arial" w:cs="Arial"/>
        </w:rPr>
        <w:t xml:space="preserve">3. uvjeta pod kojima se, s obzirom na zatečeno onečišćenje i mjere koje je potrebno provesti, može obavljati djelatnost postrojenja.</w:t>
      </w:r>
    </w:p>
    <w:p>
      <w:pPr>
        <w:pBdr/>
        <w:pStyle w:val="Normal"/>
        <w:spacing/>
        <w:ind/>
        <w:rPr>
          <w:rFonts w:ascii="Arial" w:eastAsia="Arial" w:hAnsi="Arial" w:cs="Arial"/>
        </w:rPr>
      </w:pPr>
      <w:r>
        <w:rPr>
          <w:rFonts w:ascii="Arial" w:eastAsia="Arial" w:hAnsi="Arial" w:cs="Arial"/>
        </w:rPr>
        <w:t xml:space="preserve">(3) Inspektor mjere iz stavka 2. ovoga članka rješenjem naređuje osobi za koju je utvrđeno da je onečišćivač odnosno drugoj osobi ako je njezina obveza poduzimanja tih mjera propisana ovim Zakonom ili posebnim propisom iz područja zaštite prirode, voda, zraka, gospodarenja otpadom, buke, svjetlosnog onečišćenja i dr.</w:t>
      </w:r>
    </w:p>
    <w:p>
      <w:pPr>
        <w:pBdr/>
        <w:pStyle w:val="Normal"/>
        <w:spacing/>
        <w:ind/>
        <w:rPr>
          <w:rFonts w:ascii="Arial" w:eastAsia="Arial" w:hAnsi="Arial" w:cs="Arial"/>
        </w:rPr>
      </w:pPr>
      <w:r>
        <w:rPr>
          <w:rFonts w:ascii="Arial" w:eastAsia="Arial" w:hAnsi="Arial" w:cs="Arial"/>
        </w:rPr>
        <w:t xml:space="preserve">(4) Rješenje iz stavka 3. ovoga članka te zapisnik odnosno druga dokumentacija iz koje su razvidne činjenice i okolnosti  povezane s uvjetima iz stavka 2. točke 3. ovoga članka dostavljaju se Ministarstvu radi postupanja u skladu sa člankom 143. stavcima 4. i 5. ovoga Zakona.</w:t>
      </w:r>
    </w:p>
    <w:p>
      <w:pPr>
        <w:pBdr/>
        <w:pStyle w:val="Normal"/>
        <w:spacing/>
        <w:ind/>
        <w:rPr>
          <w:rFonts w:ascii="Arial" w:eastAsia="Arial" w:hAnsi="Arial" w:cs="Arial"/>
        </w:rPr>
      </w:pPr>
      <w:r>
        <w:rPr>
          <w:rFonts w:ascii="Arial" w:eastAsia="Arial" w:hAnsi="Arial" w:cs="Arial"/>
        </w:rPr>
        <w:t xml:space="preserve">(5) Ako se osoba koja je prouzročila zatečeno onečišćenje ne može utvrditi, postupa se u skladu sa člankom 322. ovoga Zakona.</w:t>
      </w:r>
    </w:p>
    <w:p>
      <w:pPr>
        <w:pBdr/>
        <w:pStyle w:val="Normal"/>
        <w:spacing/>
        <w:ind/>
        <w:rPr>
          <w:rFonts w:ascii="Arial" w:eastAsia="Arial" w:hAnsi="Arial" w:cs="Arial"/>
          <w:color w:val="000000"/>
        </w:rPr>
      </w:pPr>
    </w:p>
    <w:p>
      <w:pPr>
        <w:pBdr/>
        <w:pStyle w:val="Heading 2"/>
        <w:spacing/>
        <w:ind/>
        <w:rPr/>
      </w:pPr>
      <w:r>
        <w:rPr/>
        <w:t xml:space="preserve">Postupanje inspekcije u slučaju nesukladnosti s uvjetima okolišne dozvole</w:t>
      </w:r>
    </w:p>
    <w:p>
      <w:pPr>
        <w:pBdr/>
        <w:pStyle w:val="Heading 2"/>
        <w:spacing/>
        <w:ind/>
        <w:rPr/>
      </w:pPr>
      <w:r>
        <w:rPr/>
        <w:t xml:space="preserve">Članak 303.</w:t>
      </w:r>
    </w:p>
    <w:p>
      <w:pPr>
        <w:pBdr/>
        <w:pStyle w:val="Normal"/>
        <w:spacing/>
        <w:ind/>
        <w:rPr>
          <w:rFonts w:ascii="Arial" w:eastAsia="Arial" w:hAnsi="Arial" w:cs="Arial"/>
        </w:rPr>
      </w:pPr>
      <w:r>
        <w:rPr>
          <w:rFonts w:ascii="Arial" w:eastAsia="Arial" w:hAnsi="Arial" w:cs="Arial"/>
        </w:rPr>
        <w:t xml:space="preserve">(1) Ako u inspekcijskom nadzoru odnosno koordiniranom inspekcijskom nadzoru utvrdi da nadzirana osoba postupa protivno uvjetima okolišne dozvole, inspektor joj rješenjem naređuje usklađivanje rada postrojenja s tim uvjetima, uključujući uvjete, mjere i ključne etape provedbe iz članaka 137. i 138. ovoga Zakona, odnosno otklanjanje nepravilnosti zbog kojih je došlo do odstupanja od uvjeta okolišne dozvole.</w:t>
      </w:r>
    </w:p>
    <w:p>
      <w:pPr>
        <w:pBdr/>
        <w:pStyle w:val="Normal"/>
        <w:spacing/>
        <w:ind/>
        <w:rPr>
          <w:rFonts w:ascii="Arial" w:eastAsia="Arial" w:hAnsi="Arial" w:cs="Arial"/>
        </w:rPr>
      </w:pPr>
      <w:r>
        <w:rPr>
          <w:rFonts w:ascii="Arial" w:eastAsia="Arial" w:hAnsi="Arial" w:cs="Arial"/>
        </w:rPr>
        <w:t xml:space="preserve">(2) Ako posumnja da određena tehnika, tehnološki proces, proizvod, poluproizvod ili sirovina može prouzročiti onečišćenje okoliša, inspektor rješenjem iz stavka 1. ovoga članka naređuje njihovo ispitivanje, privremeno zabranjuje njihovu uporabu do dostave rezultata ispitivanja na uvid te zabranjuje ispuštanje onečišćujućih i opasnih tvari, otpadnih voda ili energije u zrak, vode i tlo protivno dopuštenom načinu ispuštanja ili iznad dopuštenih količina, koncentracija ili razina.</w:t>
      </w:r>
    </w:p>
    <w:p>
      <w:pPr>
        <w:pBdr/>
        <w:pStyle w:val="Normal"/>
        <w:spacing/>
        <w:ind/>
        <w:rPr>
          <w:rFonts w:ascii="Arial" w:eastAsia="Arial" w:hAnsi="Arial" w:cs="Arial"/>
        </w:rPr>
      </w:pPr>
      <w:r>
        <w:rPr>
          <w:rFonts w:ascii="Arial" w:eastAsia="Arial" w:hAnsi="Arial" w:cs="Arial"/>
        </w:rPr>
        <w:t xml:space="preserve">(3) Ako utvrdi da kršenje uvjeta okolišne dozvole predstavlja neposrednu opasnost za zdravlje ljudi ili prijeti uzrokovanjem neposrednog znatnog negativnog učinka na okoliš, inspektor, neovisno o obvezi operatera iz članka 152. stavka 2. ovoga Zakona, odmah usmenim rješenjem na način propisan člankom 314.</w:t>
      </w:r>
      <w:r>
        <w:rPr>
          <w:rFonts w:ascii="Arial" w:eastAsia="Arial" w:hAnsi="Arial" w:cs="Arial"/>
          <w:color w:val="FF0000"/>
        </w:rPr>
        <w:t xml:space="preserve"> </w:t>
      </w:r>
      <w:r>
        <w:rPr>
          <w:rFonts w:ascii="Arial" w:eastAsia="Arial" w:hAnsi="Arial" w:cs="Arial"/>
        </w:rPr>
        <w:t xml:space="preserve">ovoga Zakona zabranjuje rad postrojenja ili njegova odgovarajućeg dijela dok se inspekcijskim nadzorom ne utvrdi ponovna usklađenost s uvjetima okolišne dozvole.</w:t>
      </w:r>
    </w:p>
    <w:p>
      <w:pPr>
        <w:pBdr/>
        <w:pStyle w:val="Normal"/>
        <w:spacing/>
        <w:ind/>
        <w:rPr>
          <w:rFonts w:ascii="Arial" w:eastAsia="Arial" w:hAnsi="Arial" w:cs="Arial"/>
        </w:rPr>
      </w:pPr>
      <w:r>
        <w:rPr>
          <w:rFonts w:ascii="Arial" w:eastAsia="Arial" w:hAnsi="Arial" w:cs="Arial"/>
        </w:rPr>
        <w:t xml:space="preserve">(4) U slučajevima koji nisu obuhvaćeni stavkom 3. ovoga članka inspekcija može rješenjem privremeno zabraniti rad postrojenja ili njegova dijela do ponovnog usklađivanja s uvjetima okolišne dozvole ako kontinuirano kršenje tih uvjeta predstavlja opasnost za zdravlje ljudi i/ili uzrokuje znatan negativan učinak na okoliš, a operater nije proveo mjere i radnje za ponovno usklađivanje utvrđene zapisnikom odnosno izvješćem o inspekcijskom nadzoru. </w:t>
      </w:r>
    </w:p>
    <w:p>
      <w:pPr>
        <w:pBdr/>
        <w:pStyle w:val="Normal"/>
        <w:spacing/>
        <w:ind/>
        <w:rPr>
          <w:rFonts w:ascii="Arial" w:eastAsia="Arial" w:hAnsi="Arial" w:cs="Arial"/>
          <w:i/>
          <w:iCs/>
        </w:rPr>
      </w:pPr>
    </w:p>
    <w:p>
      <w:pPr>
        <w:pBdr/>
        <w:pStyle w:val="Heading 2"/>
        <w:spacing/>
        <w:ind/>
        <w:rPr/>
      </w:pPr>
      <w:r>
        <w:rPr/>
        <w:t xml:space="preserve">Obavještavanje o nesukladnosti s uvjetima okolišne dozvole</w:t>
      </w:r>
    </w:p>
    <w:p>
      <w:pPr>
        <w:pBdr/>
        <w:pStyle w:val="Heading 2"/>
        <w:spacing/>
        <w:ind/>
        <w:rPr/>
      </w:pPr>
      <w:r>
        <w:rPr/>
        <w:t xml:space="preserve">Članak 304.</w:t>
      </w:r>
    </w:p>
    <w:p>
      <w:pPr>
        <w:pBdr/>
        <w:pStyle w:val="Normal"/>
        <w:spacing/>
        <w:ind/>
        <w:rPr>
          <w:rFonts w:ascii="Arial" w:eastAsia="Arial" w:hAnsi="Arial" w:cs="Arial"/>
        </w:rPr>
      </w:pPr>
      <w:r>
        <w:rPr>
          <w:rFonts w:ascii="Arial" w:eastAsia="Arial" w:hAnsi="Arial" w:cs="Arial"/>
        </w:rPr>
        <w:t xml:space="preserve">(1) Tijelo nadležno za inspekcijske poslove u području zaštite okoliša dužno je odmah obavijestiti Ministarstvo o utvrđenom kršenju okolišne dozvole, naređenim mjerama te  zabrani rada iz članka 303. stavaka 3. i 4. ovoga Zakona.</w:t>
      </w:r>
    </w:p>
    <w:p>
      <w:pPr>
        <w:pBdr/>
        <w:pStyle w:val="Normal"/>
        <w:spacing/>
        <w:ind/>
        <w:rPr>
          <w:rFonts w:ascii="Arial" w:eastAsia="Arial" w:hAnsi="Arial" w:cs="Arial"/>
        </w:rPr>
      </w:pPr>
      <w:r>
        <w:rPr>
          <w:rFonts w:ascii="Arial" w:eastAsia="Arial" w:hAnsi="Arial" w:cs="Arial"/>
        </w:rPr>
        <w:t xml:space="preserve">(2) Ako kršenje uvjeta okolišne dozvole iz članka 303. stavka 3. ovoga Zakona prijeti zdravlju ljudi ili okolišu u drugoj državi, tijelo nadležno za inspekcijske poslove u području zaštite okoliša odmah o tome obavještava Ministarstvo, koje odmah obavještava nadležno tijelo pogođene države.</w:t>
      </w:r>
    </w:p>
    <w:p>
      <w:pPr>
        <w:pBdr/>
        <w:pStyle w:val="Normal"/>
        <w:spacing/>
        <w:ind/>
        <w:rPr>
          <w:rFonts w:ascii="Arial" w:eastAsia="Arial" w:hAnsi="Arial" w:cs="Arial"/>
        </w:rPr>
      </w:pPr>
      <w:r>
        <w:rPr>
          <w:rFonts w:ascii="Arial" w:eastAsia="Arial" w:hAnsi="Arial" w:cs="Arial"/>
        </w:rPr>
        <w:t xml:space="preserve">(3) Ako nesukladnost rada postrojenja s uvjetima okolišne dozvole utječe na vodne resurse namijenjene za ljudsku potrošnju, uključujući prekogranične resurse, i/ili na građevine za javnu odvodnju u slučaju neizravnog ispuštanja, tijelo nadležno za inspekcijske poslove u području zaštite okoliša odmah obavještava isporučitelja vodnih usluga, tijelo nadležno za inspekcijske poslove u području vodnoga gospodarstva, tijela nadležna za vode i druga nadležna tijela odgovorna za osiguravanje usklađenosti s propisima o okolišu o utvrđenoj nesukladnosti i mjerama poduzetim radi sprječavanja ili otklanjanja štete za zdravlje ljudi i okoliš.  </w:t>
      </w:r>
    </w:p>
    <w:p>
      <w:pPr>
        <w:pBdr/>
        <w:pStyle w:val="Normal"/>
        <w:spacing/>
        <w:ind/>
        <w:rPr>
          <w:rFonts w:ascii="Arial" w:eastAsia="Arial" w:hAnsi="Arial" w:cs="Arial"/>
        </w:rPr>
      </w:pPr>
      <w:r>
        <w:rPr>
          <w:rFonts w:ascii="Arial" w:eastAsia="Arial" w:hAnsi="Arial" w:cs="Arial"/>
        </w:rPr>
        <w:t xml:space="preserve">(4) Ako drugo nadležno tijelo tijekom nadzora utvrdi nesukladnost rada postrojenja s uvjetima okolišne dozvole, dužno je odmah o tome obavijestiti tijelo nadležno za inspekcijske poslove u području zaštite okoliša.</w:t>
      </w:r>
    </w:p>
    <w:p>
      <w:pPr>
        <w:pBdr/>
        <w:pStyle w:val="Normal"/>
        <w:spacing/>
        <w:ind/>
        <w:rPr>
          <w:rFonts w:ascii="Arial" w:eastAsia="Arial" w:hAnsi="Arial" w:cs="Arial"/>
        </w:rPr>
      </w:pPr>
    </w:p>
    <w:p>
      <w:pPr>
        <w:pBdr/>
        <w:pStyle w:val="Heading 2"/>
        <w:spacing/>
        <w:ind/>
        <w:rPr>
          <w:iCs/>
        </w:rPr>
      </w:pPr>
      <w:r>
        <w:rPr/>
        <w:t xml:space="preserve">Postupanje inspekcije u vezi sa sustavom upravljanja okolišem i planom preobrazbe postrojenja</w:t>
      </w:r>
    </w:p>
    <w:p>
      <w:pPr>
        <w:pBdr/>
        <w:pStyle w:val="Heading 2"/>
        <w:spacing/>
        <w:ind/>
        <w:rPr/>
      </w:pPr>
      <w:r>
        <w:rPr/>
        <w:t xml:space="preserve">Članak 305.</w:t>
      </w:r>
    </w:p>
    <w:p>
      <w:pPr>
        <w:pBdr/>
        <w:pStyle w:val="Normal"/>
        <w:spacing/>
        <w:ind/>
        <w:rPr>
          <w:rFonts w:ascii="Arial" w:eastAsia="Arial" w:hAnsi="Arial" w:cs="Arial"/>
        </w:rPr>
      </w:pPr>
      <w:r>
        <w:rPr>
          <w:rFonts w:ascii="Arial" w:eastAsia="Arial" w:hAnsi="Arial" w:cs="Arial"/>
        </w:rPr>
        <w:t xml:space="preserve">(1) Ako u inspekcijskom odnosno koordiniranom inspekcijskom nadzoru utvrdi da operater nije ispunio obvezu pripreme, uspostave, provedbe ili redovitog ažuriranja </w:t>
      </w:r>
      <w:r>
        <w:rPr>
          <w:rFonts w:ascii="Arial" w:eastAsia="Arial" w:hAnsi="Arial" w:cs="Arial"/>
        </w:rPr>
        <w:t xml:space="preserve">EMS-</w:t>
      </w:r>
      <w:r>
        <w:rPr>
          <w:rFonts w:ascii="Arial" w:eastAsia="Arial" w:hAnsi="Arial" w:cs="Arial"/>
        </w:rPr>
        <w:t xml:space="preserve">a, njegove revizije u propisanom roku ili osiguravanja javne dostupnosti informacija iz tog sustava u skladu sa člancima  80. i 81. te člankom 357. ovoga Zakona, inspektor mu rješenjem naređuje ispunjavanje neispunjenih obveza i određuje primjereni rok za njihovo izvršenje.</w:t>
      </w:r>
    </w:p>
    <w:p>
      <w:pPr>
        <w:pBdr/>
        <w:pStyle w:val="Normal"/>
        <w:spacing/>
        <w:ind/>
        <w:rPr>
          <w:rFonts w:ascii="Arial" w:eastAsia="Arial" w:hAnsi="Arial" w:cs="Arial"/>
        </w:rPr>
      </w:pPr>
      <w:r>
        <w:rPr>
          <w:rFonts w:ascii="Arial" w:eastAsia="Arial" w:hAnsi="Arial" w:cs="Arial"/>
        </w:rPr>
        <w:t xml:space="preserve">(2) Ako u inspekcijskom nadzoru odnosno koordiniranom inspekcijskom nadzoru utvrdi da operater nije ispunio obvezu izrade plana preobrazbe postrojenja, njegova uključivanja u EMS, ocjene njegove usklađenosti u propisanom roku ili objave plana, njegova ažuriranja odnosno rezultata ocjene usklađenosti u skladu sa člancima 135. i 136. ovoga Zakona, inspektor mu rješenjem naređuje ispunjavanje neispunjenih obveza i određuje primjereni rok za njihovo izvršenje.</w:t>
      </w:r>
    </w:p>
    <w:p>
      <w:pPr>
        <w:pBdr/>
        <w:pStyle w:val="Normal"/>
        <w:spacing/>
        <w:ind/>
        <w:rPr>
          <w:rFonts w:ascii="Arial" w:eastAsia="Arial" w:hAnsi="Arial" w:cs="Arial"/>
        </w:rPr>
      </w:pPr>
    </w:p>
    <w:p>
      <w:pPr>
        <w:pBdr/>
        <w:pStyle w:val="Heading 2"/>
        <w:spacing/>
        <w:ind/>
        <w:rPr/>
      </w:pPr>
      <w:r>
        <w:rPr/>
        <w:t xml:space="preserve">Postupanje inspekcije u slučaju nesukladnosti rada postrojenja za uzgoj životinja</w:t>
      </w:r>
    </w:p>
    <w:p>
      <w:pPr>
        <w:pBdr/>
        <w:pStyle w:val="Heading 2"/>
        <w:spacing/>
        <w:ind/>
        <w:rPr/>
      </w:pPr>
      <w:r>
        <w:rPr/>
        <w:t xml:space="preserve">Članak 306.</w:t>
      </w:r>
    </w:p>
    <w:p>
      <w:pPr>
        <w:pBdr/>
        <w:pStyle w:val="Normal"/>
        <w:spacing/>
        <w:ind/>
        <w:rPr>
          <w:rFonts w:ascii="Arial" w:eastAsia="Arial" w:hAnsi="Arial" w:cs="Arial"/>
        </w:rPr>
      </w:pPr>
      <w:r>
        <w:rPr>
          <w:rFonts w:ascii="Arial" w:eastAsia="Arial" w:hAnsi="Arial" w:cs="Arial"/>
        </w:rPr>
        <w:t xml:space="preserve">(1) Ako u inspekcijskom nadzoru odnosno koordiniranom inspekcijskom nadzoru utvrdi nesukladnost rada postrojenja za uzgoj životinja iz članka 155. ovoga Zakona s propisanim zahtjevima, inspektor zaštite okoliša rješenjem naređuje operateru poduzimanje svih mjera potrebnih za neposredno ponovno usklađivanje s tim zahtjevima, ne dovodeći u pitanje obvezu operatera iz članka 166. stavka 1. ovoga Zakona, kada je primjenjivo.</w:t>
      </w:r>
    </w:p>
    <w:p>
      <w:pPr>
        <w:pBdr/>
        <w:pStyle w:val="Normal"/>
        <w:spacing/>
        <w:ind/>
        <w:rPr>
          <w:rFonts w:ascii="Arial" w:eastAsia="Arial" w:hAnsi="Arial" w:cs="Arial"/>
        </w:rPr>
      </w:pPr>
      <w:r>
        <w:rPr>
          <w:rFonts w:ascii="Arial" w:eastAsia="Arial" w:hAnsi="Arial" w:cs="Arial"/>
        </w:rPr>
        <w:t xml:space="preserve">(2) Ako nesukladnost iz stavka 1. ovoga članka uzrokuje znatno pogoršanje lokalnih uvjeta zraka, vode ili tla ili predstavlja ili može predstavljati znatnu opasnost za zdravlje ljudi, inspektor rješenjem zabranjuje rad postrojenja do ponovnog usklađivanja s propisanim zahtjevima.</w:t>
      </w:r>
    </w:p>
    <w:p>
      <w:pPr>
        <w:pBdr/>
        <w:pStyle w:val="Normal"/>
        <w:spacing/>
        <w:ind/>
        <w:rPr>
          <w:rFonts w:ascii="Arial" w:eastAsia="Arial" w:hAnsi="Arial" w:cs="Arial"/>
        </w:rPr>
      </w:pPr>
      <w:r>
        <w:rPr>
          <w:rFonts w:ascii="Arial" w:eastAsia="Arial" w:hAnsi="Arial" w:cs="Arial"/>
        </w:rPr>
        <w:t xml:space="preserve">(3) Ako nesukladnost iz stavka 1. ovoga članka utječe na vodne resurse namijenjene za ljudsku potrošnju, uključujući prekogranične resurse, ili na građevine za javnu odvodnju u slučaju neizravnog ispuštanja, tijelo nadležno za inspekcijske poslove u području zaštite okoliša odmah obavještava isporučitelje vodnih usluga i druga nadležna tijela odgovorna za osiguravanje usklađenosti s propisima o okolišu o utvrđenoj nesukladnosti i mjerama poduzetima radi sprječavanja ili otklanjanja štete za zdravlje ljudi i okoliš.</w:t>
      </w:r>
    </w:p>
    <w:p>
      <w:pPr>
        <w:pBdr/>
        <w:pStyle w:val="Normal"/>
        <w:spacing/>
        <w:ind/>
        <w:rPr>
          <w:rFonts w:ascii="Arial" w:eastAsia="Arial" w:hAnsi="Arial" w:cs="Arial"/>
        </w:rPr>
      </w:pPr>
    </w:p>
    <w:p>
      <w:pPr>
        <w:pBdr/>
        <w:pStyle w:val="Heading 2"/>
        <w:spacing/>
        <w:ind/>
        <w:rPr/>
      </w:pPr>
      <w:r>
        <w:rPr/>
        <w:t xml:space="preserve">Poduzimanje propisanih mjera u području postrojenja</w:t>
      </w:r>
    </w:p>
    <w:p>
      <w:pPr>
        <w:pBdr/>
        <w:pStyle w:val="Heading 2"/>
        <w:spacing/>
        <w:ind/>
        <w:rPr/>
      </w:pPr>
      <w:r>
        <w:rPr/>
        <w:t xml:space="preserve">Članak 307.</w:t>
      </w:r>
    </w:p>
    <w:p>
      <w:pPr>
        <w:pBdr/>
        <w:pStyle w:val="Normal"/>
        <w:spacing/>
        <w:ind/>
        <w:rPr>
          <w:rFonts w:ascii="Arial" w:eastAsia="Arial" w:hAnsi="Arial" w:cs="Arial"/>
        </w:rPr>
      </w:pPr>
      <w:r>
        <w:rPr>
          <w:rFonts w:ascii="Arial" w:eastAsia="Arial" w:hAnsi="Arial" w:cs="Arial"/>
        </w:rPr>
        <w:t xml:space="preserve">U inspekcijskom nadzoru odnosno koordiniranom Seveso nadzoru inspektor nadziranoj osobi rješenjem naređuje:</w:t>
      </w:r>
    </w:p>
    <w:p>
      <w:pPr>
        <w:pBdr/>
        <w:pStyle w:val="Normal"/>
        <w:spacing/>
        <w:ind/>
        <w:rPr>
          <w:rFonts w:ascii="Arial" w:eastAsia="Arial" w:hAnsi="Arial" w:cs="Arial"/>
        </w:rPr>
      </w:pPr>
      <w:r>
        <w:rPr>
          <w:rFonts w:ascii="Arial" w:eastAsia="Arial" w:hAnsi="Arial" w:cs="Arial"/>
        </w:rPr>
        <w:t xml:space="preserve">- poduzimanje mjera određenih posebnim propisima odnosno aktima radi cjelovite zaštite okoliša od štetnih utjecaja djelatnosti koje se obavljaju u postrojenju</w:t>
      </w:r>
    </w:p>
    <w:p>
      <w:pPr>
        <w:pBdr/>
        <w:pStyle w:val="Normal"/>
        <w:spacing/>
        <w:ind/>
        <w:rPr>
          <w:rFonts w:ascii="Arial" w:eastAsia="Arial" w:hAnsi="Arial" w:cs="Arial"/>
        </w:rPr>
      </w:pPr>
      <w:r>
        <w:rPr>
          <w:rFonts w:ascii="Arial" w:eastAsia="Arial" w:hAnsi="Arial" w:cs="Arial"/>
        </w:rPr>
        <w:t xml:space="preserve">- poduzimanje preventivnih mjera potrebnih za smanjenje rizika velikih nesreća i sprječavanje njihova nastanka te mjera za ograničavanje njihovih utjecaja na ljude, materijalna dobra i okoliš</w:t>
      </w:r>
    </w:p>
    <w:p>
      <w:pPr>
        <w:pBdr/>
        <w:pStyle w:val="Normal"/>
        <w:spacing/>
        <w:ind/>
        <w:rPr>
          <w:rFonts w:ascii="Arial" w:eastAsia="Arial" w:hAnsi="Arial" w:cs="Arial"/>
        </w:rPr>
      </w:pPr>
      <w:r>
        <w:rPr>
          <w:rFonts w:ascii="Arial" w:eastAsia="Arial" w:hAnsi="Arial" w:cs="Arial"/>
        </w:rPr>
        <w:t xml:space="preserve">- provedbu propisanih analiza i revizija aktivnosti i sigurnosnih mjera ako utvrdi da ih nadzirana osoba nije provela ili ih ne provodi</w:t>
      </w:r>
    </w:p>
    <w:p>
      <w:pPr>
        <w:pBdr/>
        <w:pStyle w:val="Normal"/>
        <w:spacing/>
        <w:ind/>
        <w:rPr>
          <w:rFonts w:ascii="Arial" w:eastAsia="Arial" w:hAnsi="Arial" w:cs="Arial"/>
        </w:rPr>
      </w:pPr>
      <w:r>
        <w:rPr>
          <w:rFonts w:ascii="Arial" w:eastAsia="Arial" w:hAnsi="Arial" w:cs="Arial"/>
        </w:rPr>
        <w:t xml:space="preserve">- izradu ili ažuriranje izvješća o sigurnosti i unutarnjeg plana za viši razred postrojenja odnosno politike sprječavanja velikih nesreća i pripadajuće dokumentacije za niži razred postrojenja</w:t>
      </w:r>
    </w:p>
    <w:p>
      <w:pPr>
        <w:pBdr/>
        <w:pStyle w:val="Normal"/>
        <w:spacing/>
        <w:ind/>
        <w:rPr>
          <w:rFonts w:ascii="Arial" w:eastAsia="Arial" w:hAnsi="Arial" w:cs="Arial"/>
        </w:rPr>
      </w:pPr>
      <w:r>
        <w:rPr>
          <w:rFonts w:ascii="Arial" w:eastAsia="Arial" w:hAnsi="Arial" w:cs="Arial"/>
        </w:rPr>
        <w:t xml:space="preserve">- usklađivanje podataka i informacija sadržanih u izvješću o sigurnosti i drugoj dokumentaciji sa stvarnim uvjetima u području postrojenja </w:t>
      </w:r>
    </w:p>
    <w:p>
      <w:pPr>
        <w:pBdr/>
        <w:pStyle w:val="Normal"/>
        <w:spacing/>
        <w:ind/>
        <w:rPr>
          <w:rFonts w:ascii="Arial" w:eastAsia="Arial" w:hAnsi="Arial" w:cs="Arial"/>
        </w:rPr>
      </w:pPr>
      <w:r>
        <w:rPr>
          <w:rFonts w:ascii="Arial" w:eastAsia="Arial" w:hAnsi="Arial" w:cs="Arial"/>
        </w:rPr>
        <w:t xml:space="preserve">- izradu ili ažuriranje informacije za javnost o sigurnosnim mjerama i nužnom ponašanju u slučaju velike nesreće te objavu te informacije</w:t>
      </w:r>
    </w:p>
    <w:p>
      <w:pPr>
        <w:pBdr/>
        <w:pStyle w:val="Normal"/>
        <w:spacing/>
        <w:ind/>
        <w:rPr>
          <w:rFonts w:ascii="Arial" w:eastAsia="Arial" w:hAnsi="Arial" w:cs="Arial"/>
        </w:rPr>
      </w:pPr>
      <w:r>
        <w:rPr>
          <w:rFonts w:ascii="Arial" w:eastAsia="Arial" w:hAnsi="Arial" w:cs="Arial"/>
        </w:rPr>
        <w:t xml:space="preserve">- u slučaju velike nesreće poduzimanje potrebnih hitnih, srednjoročnih i dugoročnih mjera i postupaka te mjera za sanaciju i sprječavanje širenja onečišćenja okoliša.</w:t>
      </w:r>
    </w:p>
    <w:p>
      <w:pPr>
        <w:pBdr/>
        <w:pStyle w:val="Normal"/>
        <w:spacing/>
        <w:ind/>
        <w:rPr>
          <w:rFonts w:ascii="Arial" w:eastAsia="Arial" w:hAnsi="Arial" w:cs="Arial"/>
          <w:i/>
        </w:rPr>
      </w:pPr>
    </w:p>
    <w:p>
      <w:pPr>
        <w:pBdr/>
        <w:pStyle w:val="Heading 2"/>
        <w:spacing/>
        <w:ind/>
        <w:rPr/>
      </w:pPr>
      <w:r>
        <w:rPr/>
        <w:t xml:space="preserve">Provedba mjera zaštite okoliša i praćenja stanja okoliša</w:t>
      </w:r>
    </w:p>
    <w:p>
      <w:pPr>
        <w:pBdr/>
        <w:pStyle w:val="Heading 2"/>
        <w:spacing/>
        <w:ind/>
        <w:rPr/>
      </w:pPr>
      <w:r>
        <w:rPr/>
        <w:t xml:space="preserve">Članak 308.</w:t>
      </w:r>
    </w:p>
    <w:p>
      <w:pPr>
        <w:pBdr/>
        <w:pStyle w:val="Normal"/>
        <w:spacing/>
        <w:ind/>
        <w:rPr>
          <w:rFonts w:ascii="Arial" w:eastAsia="Arial" w:hAnsi="Arial" w:cs="Arial"/>
        </w:rPr>
      </w:pPr>
      <w:r>
        <w:rPr>
          <w:rFonts w:ascii="Arial" w:eastAsia="Arial" w:hAnsi="Arial" w:cs="Arial"/>
        </w:rPr>
        <w:t xml:space="preserve">(1) Ako u inspekcijskom nadzoru, odnosno koordiniranom inspekcijskom nadzoru utvrdi da se ne provode mjere zaštite okoliša i praćenja stanja okoliša utvrđene rješenjem o prihvatljivosti zahvata za okoliš ili propisane ovim Zakonom i propisima donesenim na temelju ovoga Zakona, inspektor nadziranoj osobi rješenjem naređuje njihovu provedbu. </w:t>
      </w:r>
    </w:p>
    <w:p>
      <w:pPr>
        <w:pBdr/>
        <w:pStyle w:val="Normal"/>
        <w:spacing/>
        <w:ind/>
        <w:rPr>
          <w:rFonts w:ascii="Arial" w:eastAsia="Arial" w:hAnsi="Arial" w:cs="Arial"/>
        </w:rPr>
      </w:pPr>
      <w:r>
        <w:rPr>
          <w:rFonts w:ascii="Arial" w:eastAsia="Arial" w:hAnsi="Arial" w:cs="Arial"/>
        </w:rPr>
        <w:t xml:space="preserve">(2) Ako u inspekcijskom nadzoru odnosno koordiniranom inspekcijskom nadzoru utvrdi da se radovi izvode protivno mjerama zaštite okoliša određenima rješenjem o prihvatljivosti zahvata za okoliš ili rješenjem kojim se utvrđuje da za zahvat nije potrebno provesti procjenu utjecaja zahvata na okoliš, inspektor nadziranoj osobi rješenjem naređuje obustavu izvođenja radova. </w:t>
      </w:r>
    </w:p>
    <w:p>
      <w:pPr>
        <w:pBdr/>
        <w:pStyle w:val="Normal"/>
        <w:spacing/>
        <w:ind/>
        <w:rPr>
          <w:rFonts w:ascii="Arial" w:eastAsia="Arial" w:hAnsi="Arial" w:cs="Arial"/>
        </w:rPr>
      </w:pPr>
      <w:r>
        <w:rPr>
          <w:rFonts w:ascii="Arial" w:eastAsia="Arial" w:hAnsi="Arial" w:cs="Arial"/>
        </w:rPr>
        <w:t xml:space="preserve">(3) Rješenjem iz stavka 2. ovog članka inspektor naređuje povrat u prijašnje stanje ako je to izvedivo.</w:t>
      </w:r>
    </w:p>
    <w:p>
      <w:pPr>
        <w:pBdr/>
        <w:pStyle w:val="Normal"/>
        <w:spacing/>
        <w:ind/>
        <w:rPr>
          <w:rFonts w:ascii="Arial" w:eastAsia="Arial" w:hAnsi="Arial" w:cs="Arial"/>
          <w:iCs/>
        </w:rPr>
      </w:pPr>
    </w:p>
    <w:p>
      <w:pPr>
        <w:pBdr/>
        <w:pStyle w:val="Heading 2"/>
        <w:spacing/>
        <w:ind/>
        <w:rPr/>
      </w:pPr>
      <w:r>
        <w:rPr/>
        <w:t xml:space="preserve">Zabrana izvođenja zahvata</w:t>
      </w:r>
    </w:p>
    <w:p>
      <w:pPr>
        <w:pBdr/>
        <w:pStyle w:val="Heading 2"/>
        <w:spacing/>
        <w:ind/>
        <w:rPr/>
      </w:pPr>
      <w:r>
        <w:rPr/>
        <w:t xml:space="preserve">Članak 309.</w:t>
      </w:r>
    </w:p>
    <w:p>
      <w:pPr>
        <w:pBdr/>
        <w:pStyle w:val="Normal"/>
        <w:spacing/>
        <w:ind/>
        <w:rPr>
          <w:rFonts w:ascii="Arial" w:eastAsia="Arial" w:hAnsi="Arial" w:cs="Arial"/>
        </w:rPr>
      </w:pPr>
      <w:r>
        <w:rPr>
          <w:rFonts w:ascii="Arial" w:eastAsia="Arial" w:hAnsi="Arial" w:cs="Arial"/>
        </w:rPr>
        <w:t xml:space="preserve">(1) Ako u inspekcijskom nadzoru, odnosno koordiniranom inspekcijskom nadzoru utvrdi da nadzirana osoba izvodi zahvat bez rješenja o prihvatljivosti zahvata za okoliš ili rješenja kojim se utvrđuje da za zahvat nije potrebno provesti procjenu utjecaja na okoliš, a bila ga je dužna ishoditi, inspektor joj rješenjem naređuje zabranu izvođenja zahvata.</w:t>
      </w:r>
    </w:p>
    <w:p>
      <w:pPr>
        <w:pBdr/>
        <w:pStyle w:val="Normal"/>
        <w:spacing/>
        <w:ind/>
        <w:rPr>
          <w:rFonts w:ascii="Arial" w:eastAsia="Arial" w:hAnsi="Arial" w:cs="Arial"/>
        </w:rPr>
      </w:pPr>
      <w:r>
        <w:rPr>
          <w:rFonts w:ascii="Arial" w:eastAsia="Arial" w:hAnsi="Arial" w:cs="Arial"/>
        </w:rPr>
        <w:t xml:space="preserve">(2) Rješenjem iz stavka 1. ovoga članka inspektor naređuje povrat u prijašnje stanje ako je to izvedivo.</w:t>
      </w:r>
    </w:p>
    <w:p>
      <w:pPr>
        <w:pBdr/>
        <w:pStyle w:val="Normal"/>
        <w:spacing/>
        <w:ind/>
        <w:rPr>
          <w:rFonts w:ascii="Arial" w:eastAsia="Arial" w:hAnsi="Arial" w:cs="Arial"/>
          <w:iCs/>
        </w:rPr>
      </w:pPr>
    </w:p>
    <w:p>
      <w:pPr>
        <w:pBdr/>
        <w:pStyle w:val="Heading 2"/>
        <w:spacing/>
        <w:ind/>
        <w:rPr/>
      </w:pPr>
      <w:r>
        <w:rPr/>
        <w:t xml:space="preserve">Otklanjanje nezakonitosti i/ili nepravilnosti u postupanju</w:t>
      </w:r>
    </w:p>
    <w:p>
      <w:pPr>
        <w:pBdr/>
        <w:pStyle w:val="Heading 2"/>
        <w:spacing/>
        <w:ind/>
        <w:rPr/>
      </w:pPr>
      <w:r>
        <w:rPr/>
        <w:t xml:space="preserve">Članak 310.</w:t>
      </w:r>
    </w:p>
    <w:p>
      <w:pPr>
        <w:pBdr/>
        <w:pStyle w:val="Normal"/>
        <w:spacing/>
        <w:ind/>
        <w:rPr>
          <w:rFonts w:ascii="Arial" w:eastAsia="Arial" w:hAnsi="Arial" w:cs="Arial"/>
        </w:rPr>
      </w:pPr>
      <w:r>
        <w:rPr>
          <w:rFonts w:ascii="Arial" w:eastAsia="Arial" w:hAnsi="Arial" w:cs="Arial"/>
        </w:rPr>
        <w:t xml:space="preserve">(1) Inspektor nadziranoj osobi rješenjem naređuje otklanjanje nezakonitosti i/ili nepravilnosti te određuje primjereni rok za njihovo otklanjanje  ako utvrdi da:</w:t>
      </w:r>
    </w:p>
    <w:p>
      <w:pPr>
        <w:pBdr/>
        <w:pStyle w:val="Normal"/>
        <w:spacing/>
        <w:ind/>
        <w:rPr>
          <w:rFonts w:ascii="Arial" w:eastAsia="Arial" w:hAnsi="Arial" w:cs="Arial"/>
        </w:rPr>
      </w:pPr>
      <w:r>
        <w:rPr>
          <w:rFonts w:ascii="Arial" w:eastAsia="Arial" w:hAnsi="Arial" w:cs="Arial"/>
        </w:rPr>
        <w:t xml:space="preserve">- ne vodi ili ne izrađuje propisane očevidnike, evidencije, izvješća ili obrasce odnosno ne vodi ih na propisani način</w:t>
      </w:r>
    </w:p>
    <w:p>
      <w:pPr>
        <w:pBdr/>
        <w:pStyle w:val="Normal"/>
        <w:spacing/>
        <w:ind/>
        <w:rPr>
          <w:rFonts w:ascii="Arial" w:eastAsia="Arial" w:hAnsi="Arial" w:cs="Arial"/>
        </w:rPr>
      </w:pPr>
      <w:r>
        <w:rPr>
          <w:rFonts w:ascii="Arial" w:eastAsia="Arial" w:hAnsi="Arial" w:cs="Arial"/>
        </w:rPr>
        <w:t xml:space="preserve">- nije dostavila propisana izvješća i/ili podatke nadležnom tijelu u propisanom roku.</w:t>
      </w:r>
    </w:p>
    <w:p>
      <w:pPr>
        <w:pBdr/>
        <w:pStyle w:val="Normal"/>
        <w:spacing/>
        <w:ind/>
        <w:rPr>
          <w:rFonts w:ascii="Arial" w:eastAsia="Arial" w:hAnsi="Arial" w:cs="Arial"/>
        </w:rPr>
      </w:pPr>
      <w:r>
        <w:rPr>
          <w:rFonts w:ascii="Arial" w:eastAsia="Arial" w:hAnsi="Arial" w:cs="Arial"/>
        </w:rPr>
        <w:t xml:space="preserve">(2) Ako utvrdi da nadzirana osoba postupa protivno odredbama ovoga Zakona ili propisa donesenih na temelju ovoga Zakona, inspektor joj rješenjem naređuje otklanjanje utvrđenih nedostataka i nepravilnosti u postupanju.</w:t>
      </w:r>
    </w:p>
    <w:p>
      <w:pPr>
        <w:pBdr/>
        <w:pStyle w:val="Normal"/>
        <w:spacing/>
        <w:ind/>
        <w:rPr>
          <w:rFonts w:ascii="Arial" w:eastAsia="Arial" w:hAnsi="Arial" w:cs="Arial"/>
          <w:color w:val="000000"/>
        </w:rPr>
      </w:pPr>
    </w:p>
    <w:p>
      <w:pPr>
        <w:pBdr/>
        <w:pStyle w:val="Heading 2"/>
        <w:spacing/>
        <w:ind/>
        <w:rPr/>
      </w:pPr>
      <w:r>
        <w:rPr/>
        <w:t xml:space="preserve">Izrada i ishođenje dokumenata i instrumenta zaštite okoliša</w:t>
      </w:r>
    </w:p>
    <w:p>
      <w:pPr>
        <w:pBdr/>
        <w:pStyle w:val="Heading 2"/>
        <w:spacing/>
        <w:ind/>
        <w:rPr/>
      </w:pPr>
      <w:r>
        <w:rPr/>
        <w:t xml:space="preserve">Članak 311.</w:t>
      </w:r>
    </w:p>
    <w:p>
      <w:pPr>
        <w:pBdr/>
        <w:pStyle w:val="Normal"/>
        <w:spacing/>
        <w:ind/>
        <w:rPr>
          <w:rFonts w:ascii="Arial" w:eastAsia="Arial" w:hAnsi="Arial" w:cs="Arial"/>
        </w:rPr>
      </w:pPr>
      <w:r>
        <w:rPr>
          <w:rFonts w:ascii="Arial" w:eastAsia="Arial" w:hAnsi="Arial" w:cs="Arial"/>
        </w:rPr>
        <w:t xml:space="preserve">Ako u inspekcijskom nadzoru utvrdi da nadzirana osoba nije izradila odnosno ishodila dokument ili instrument zaštite okoliša koji je prema ovom Zakonu dužna izraditi odnosno ishoditi, a za tu povredu nije propisana mjera zabrane rada iz članka 299. ovoga Zakona, inspektor joj rješenjem naređuje njegovu izradu odnosno ishođenje i određuje rok za izvršenje.</w:t>
      </w:r>
    </w:p>
    <w:p>
      <w:pPr>
        <w:pBdr/>
        <w:pStyle w:val="Normal"/>
        <w:spacing/>
        <w:ind/>
        <w:rPr>
          <w:rFonts w:ascii="Arial" w:eastAsia="Arial" w:hAnsi="Arial" w:cs="Arial"/>
        </w:rPr>
      </w:pPr>
    </w:p>
    <w:p>
      <w:pPr>
        <w:pBdr/>
        <w:pStyle w:val="Heading 2"/>
        <w:spacing/>
        <w:ind/>
        <w:rPr/>
      </w:pPr>
      <w:r>
        <w:rPr/>
        <w:t xml:space="preserve">Izrada i donošenje dokumenata zaštite okoliša</w:t>
      </w:r>
    </w:p>
    <w:p>
      <w:pPr>
        <w:pBdr/>
        <w:pStyle w:val="Heading 2"/>
        <w:spacing/>
        <w:ind/>
        <w:rPr/>
      </w:pPr>
      <w:r>
        <w:rPr/>
        <w:t xml:space="preserve">Članak 312.</w:t>
      </w:r>
    </w:p>
    <w:p>
      <w:pPr>
        <w:pBdr/>
        <w:pStyle w:val="Normal"/>
        <w:spacing/>
        <w:ind/>
        <w:rPr>
          <w:rFonts w:ascii="Arial" w:eastAsia="Arial" w:hAnsi="Arial" w:cs="Arial"/>
        </w:rPr>
      </w:pPr>
      <w:r>
        <w:rPr>
          <w:rFonts w:ascii="Arial" w:eastAsia="Arial" w:hAnsi="Arial" w:cs="Arial"/>
        </w:rPr>
        <w:t xml:space="preserve">Ako u inspekcijskom nadzoru utvrdi da županija, Grad Zagreb ili veliki grad nisu u propisanom roku izradili i donijeli program zaštite okoliša i/ili izvješće o stanju okoliša, inspektor rješenjem naređuje županiji, Gradu Zagrebu ili velikom gradu izradu i donošenje dokumenta odnosno dokumenata za koje utvrdi da ta obveza nije ispunjena.</w:t>
      </w:r>
    </w:p>
    <w:p>
      <w:pPr>
        <w:pBdr/>
        <w:pStyle w:val="Normal"/>
        <w:spacing/>
        <w:ind/>
        <w:rPr>
          <w:rFonts w:ascii="Arial" w:eastAsia="Arial" w:hAnsi="Arial" w:cs="Arial"/>
        </w:rPr>
      </w:pPr>
    </w:p>
    <w:p>
      <w:pPr>
        <w:pBdr/>
        <w:pStyle w:val="Heading 2"/>
        <w:spacing/>
        <w:ind/>
        <w:rPr/>
      </w:pPr>
      <w:r>
        <w:rPr/>
        <w:t xml:space="preserve">Zabrana korištenja logotipa sustava EMAS</w:t>
      </w:r>
    </w:p>
    <w:p>
      <w:pPr>
        <w:pBdr/>
        <w:pStyle w:val="Heading 2"/>
        <w:spacing/>
        <w:ind/>
        <w:rPr/>
      </w:pPr>
      <w:r>
        <w:rPr/>
        <w:t xml:space="preserve">Članak 313.</w:t>
      </w:r>
    </w:p>
    <w:p>
      <w:pPr>
        <w:pBdr/>
        <w:pStyle w:val="Normal"/>
        <w:spacing/>
        <w:ind/>
        <w:rPr>
          <w:rFonts w:ascii="Arial" w:eastAsia="Arial" w:hAnsi="Arial" w:cs="Arial"/>
        </w:rPr>
      </w:pPr>
      <w:r>
        <w:rPr>
          <w:rFonts w:ascii="Arial" w:eastAsia="Arial" w:hAnsi="Arial" w:cs="Arial"/>
        </w:rPr>
        <w:t xml:space="preserve">Ako u inspekcijskom nadzoru utvrdi da nadzirana osoba koristi logotip sustava EMAS protivno odredbama Uredbe 1221/2009., inspektor joj rješenjem zabranjuje njegovo korištenje.</w:t>
      </w:r>
    </w:p>
    <w:p>
      <w:pPr>
        <w:pBdr/>
        <w:pStyle w:val="Normal"/>
        <w:spacing/>
        <w:ind/>
        <w:rPr>
          <w:rFonts w:ascii="Arial" w:eastAsia="Arial" w:hAnsi="Arial" w:cs="Arial"/>
          <w:i/>
        </w:rPr>
      </w:pPr>
    </w:p>
    <w:p>
      <w:pPr>
        <w:pBdr/>
        <w:pStyle w:val="Heading 2"/>
        <w:spacing/>
        <w:ind/>
        <w:rPr/>
      </w:pPr>
      <w:r>
        <w:rPr/>
        <w:t xml:space="preserve">Hitne mjere</w:t>
      </w:r>
    </w:p>
    <w:p>
      <w:pPr>
        <w:pBdr/>
        <w:pStyle w:val="Heading 2"/>
        <w:spacing/>
        <w:ind/>
        <w:rPr/>
      </w:pPr>
      <w:r>
        <w:rPr/>
        <w:t xml:space="preserve">Članak 314.</w:t>
      </w:r>
    </w:p>
    <w:p>
      <w:pPr>
        <w:pBdr/>
        <w:pStyle w:val="Normal"/>
        <w:spacing/>
        <w:ind/>
        <w:rPr>
          <w:rFonts w:ascii="Arial" w:eastAsia="Arial" w:hAnsi="Arial" w:cs="Arial"/>
        </w:rPr>
      </w:pPr>
      <w:r>
        <w:rPr>
          <w:rFonts w:ascii="Arial" w:eastAsia="Arial" w:hAnsi="Arial" w:cs="Arial"/>
        </w:rPr>
        <w:t xml:space="preserve">(1) U slučaju neposredne opasnosti za život i/ili zdravlje ljudi i/ili okoliš, inspektor može:</w:t>
      </w:r>
    </w:p>
    <w:p>
      <w:pPr>
        <w:pBdr/>
        <w:pStyle w:val="Normal"/>
        <w:spacing/>
        <w:ind/>
        <w:rPr>
          <w:rFonts w:ascii="Arial" w:eastAsia="Arial" w:hAnsi="Arial" w:cs="Arial"/>
        </w:rPr>
      </w:pPr>
      <w:r>
        <w:rPr>
          <w:rFonts w:ascii="Arial" w:eastAsia="Arial" w:hAnsi="Arial" w:cs="Arial"/>
        </w:rPr>
        <w:t xml:space="preserve">- usmenim rješenjem narediti stranci poduzimanje hitnih mjera radi sprječavanja daljnjeg onečišćenja okoliša i osiguranja od neposredne opasnosti</w:t>
      </w:r>
    </w:p>
    <w:p>
      <w:pPr>
        <w:pBdr/>
        <w:pStyle w:val="Normal"/>
        <w:spacing/>
        <w:ind/>
        <w:rPr>
          <w:rFonts w:ascii="Arial" w:eastAsia="Arial" w:hAnsi="Arial" w:cs="Arial"/>
        </w:rPr>
      </w:pPr>
      <w:r>
        <w:rPr>
          <w:rFonts w:ascii="Arial" w:eastAsia="Arial" w:hAnsi="Arial" w:cs="Arial"/>
        </w:rPr>
        <w:t xml:space="preserve">- usmenim rješenjem zabraniti rad postrojenja do izvršenja naredbe ako to ocijeni potrebnim</w:t>
      </w:r>
    </w:p>
    <w:p>
      <w:pPr>
        <w:pBdr/>
        <w:pStyle w:val="Normal"/>
        <w:spacing/>
        <w:ind/>
        <w:rPr>
          <w:rFonts w:ascii="Arial" w:eastAsia="Arial" w:hAnsi="Arial" w:cs="Arial"/>
        </w:rPr>
      </w:pPr>
      <w:r>
        <w:rPr>
          <w:rFonts w:ascii="Arial" w:eastAsia="Arial" w:hAnsi="Arial" w:cs="Arial"/>
        </w:rPr>
        <w:t xml:space="preserve">-  obavijestiti druge nadležne inspekcije  i zatražiti njihovo postupanje u skladu s posebnim propisima iz područja zaštite okoliša</w:t>
      </w:r>
    </w:p>
    <w:p>
      <w:pPr>
        <w:pBdr/>
        <w:pStyle w:val="Normal"/>
        <w:spacing/>
        <w:ind/>
        <w:rPr>
          <w:rFonts w:ascii="Arial" w:eastAsia="Arial" w:hAnsi="Arial" w:cs="Arial"/>
        </w:rPr>
      </w:pPr>
      <w:r>
        <w:rPr>
          <w:rFonts w:ascii="Arial" w:eastAsia="Arial" w:hAnsi="Arial" w:cs="Arial"/>
        </w:rPr>
        <w:t xml:space="preserve">- poduzeti druge mjere.</w:t>
      </w:r>
    </w:p>
    <w:p>
      <w:pPr>
        <w:pBdr/>
        <w:pStyle w:val="Normal"/>
        <w:spacing/>
        <w:ind/>
        <w:rPr>
          <w:rFonts w:ascii="Arial" w:eastAsia="Arial" w:hAnsi="Arial" w:cs="Arial"/>
        </w:rPr>
      </w:pPr>
      <w:r>
        <w:rPr>
          <w:rFonts w:ascii="Arial" w:eastAsia="Arial" w:hAnsi="Arial" w:cs="Arial"/>
          <w:color w:val="000000"/>
        </w:rPr>
        <w:t xml:space="preserve">(2) Inspektor odmah obavještava tijelo nadležno za poslove civilne zaštite i nadležnu policijsku upravu o donošenju usmenog rješenja iz stavka 1. ovoga članka.</w:t>
      </w:r>
    </w:p>
    <w:p>
      <w:pPr>
        <w:pBdr/>
        <w:pStyle w:val="Normal"/>
        <w:spacing/>
        <w:ind/>
        <w:rPr>
          <w:rFonts w:ascii="Arial" w:eastAsia="Arial" w:hAnsi="Arial" w:cs="Arial"/>
        </w:rPr>
      </w:pPr>
      <w:r>
        <w:rPr>
          <w:rFonts w:ascii="Arial" w:eastAsia="Arial" w:hAnsi="Arial" w:cs="Arial"/>
        </w:rPr>
        <w:t xml:space="preserve">(3) Obveza izvršenja usmenog rješenja iz stavka 1. ovoga članka nastaje danom njegova priopćenja stranci.</w:t>
      </w:r>
    </w:p>
    <w:p>
      <w:pPr>
        <w:pBdr/>
        <w:pStyle w:val="Normal"/>
        <w:spacing/>
        <w:ind/>
        <w:rPr>
          <w:rFonts w:ascii="Arial" w:eastAsia="Arial" w:hAnsi="Arial" w:cs="Arial"/>
        </w:rPr>
      </w:pPr>
      <w:r>
        <w:rPr>
          <w:rFonts w:ascii="Arial" w:eastAsia="Arial" w:hAnsi="Arial" w:cs="Arial"/>
        </w:rPr>
        <w:t xml:space="preserve">(4) Ako je onečišćivač nedostupan, ako mu nije moguće izreći hitnu mjeru ili ako odbije izvršiti izrečenu hitnu mjeru u određenom roku, inspektor rješenjem iz stavka 1. ovoga članka naređuje njezino izvršenje putem treće osobe na trošak i odgovornost onečišćivača.</w:t>
      </w:r>
    </w:p>
    <w:p>
      <w:pPr>
        <w:pBdr/>
        <w:pStyle w:val="Normal"/>
        <w:spacing/>
        <w:ind/>
        <w:rPr>
          <w:rFonts w:ascii="Arial" w:eastAsia="Arial" w:hAnsi="Arial" w:cs="Arial"/>
        </w:rPr>
      </w:pPr>
      <w:r>
        <w:rPr>
          <w:rFonts w:ascii="Arial" w:eastAsia="Arial" w:hAnsi="Arial" w:cs="Arial"/>
        </w:rPr>
        <w:t xml:space="preserve">(5) Inspektor otprema stranci pisani otpravak usmenog rješenja iz stavka 1. ovoga članka u roku od osam dana od dana njegova donošenja, osim ako je hitna mjera provedena tijekom inspekcijskog nadzora ili prije otpreme pisanog otpravka, u kojem slučaju pisani otpravak ne dostavlja stranci, a provedbu mjere utvrđuje i navodi u zapisniku.</w:t>
      </w:r>
    </w:p>
    <w:p>
      <w:pPr>
        <w:pBdr/>
        <w:pStyle w:val="Normal"/>
        <w:spacing/>
        <w:ind/>
        <w:rPr>
          <w:rFonts w:ascii="Arial" w:eastAsia="Arial" w:hAnsi="Arial" w:cs="Arial"/>
          <w:i/>
          <w:iCs/>
        </w:rPr>
      </w:pPr>
    </w:p>
    <w:p>
      <w:pPr>
        <w:pBdr/>
        <w:pStyle w:val="Heading 2"/>
        <w:spacing/>
        <w:ind/>
        <w:rPr/>
      </w:pPr>
      <w:r>
        <w:rPr/>
        <w:t xml:space="preserve">Izvršenje inspekcijskog rješenja</w:t>
      </w:r>
    </w:p>
    <w:p>
      <w:pPr>
        <w:pBdr/>
        <w:pStyle w:val="Heading 2"/>
        <w:spacing/>
        <w:ind/>
        <w:rPr/>
      </w:pPr>
      <w:r>
        <w:rPr/>
        <w:t xml:space="preserve">Članak 315.</w:t>
      </w:r>
    </w:p>
    <w:p>
      <w:pPr>
        <w:pBdr/>
        <w:pStyle w:val="Normal"/>
        <w:spacing/>
        <w:ind/>
        <w:rPr>
          <w:rFonts w:ascii="Arial" w:eastAsia="Arial" w:hAnsi="Arial" w:cs="Arial"/>
        </w:rPr>
      </w:pPr>
      <w:r>
        <w:rPr>
          <w:rFonts w:ascii="Arial" w:eastAsia="Arial" w:hAnsi="Arial" w:cs="Arial"/>
        </w:rPr>
        <w:t xml:space="preserve">(1) Ako izvršenik ne postupi po rješenju u roku, inspektor donosi rješenje kojim određuje način izvršenja i upozorava na posljedice propuštanja izvršenja.</w:t>
      </w:r>
    </w:p>
    <w:p>
      <w:pPr>
        <w:pBdr/>
        <w:pStyle w:val="Normal"/>
        <w:spacing/>
        <w:ind/>
        <w:rPr>
          <w:rFonts w:ascii="Arial" w:eastAsia="Arial" w:hAnsi="Arial" w:cs="Arial"/>
        </w:rPr>
      </w:pPr>
      <w:r>
        <w:rPr>
          <w:rFonts w:ascii="Arial" w:eastAsia="Arial" w:hAnsi="Arial" w:cs="Arial"/>
        </w:rPr>
        <w:t xml:space="preserve">(2) Troškovi izvršenja inspekcijskog rješenja iz stavka 1. ovoga članka podmiruju se iz državnog proračuna do naplate od izvršenika, osim ako je ovim Zakonom drukčije propisano.</w:t>
      </w:r>
    </w:p>
    <w:p>
      <w:pPr>
        <w:pBdr/>
        <w:pStyle w:val="Normal"/>
        <w:spacing/>
        <w:ind/>
        <w:rPr>
          <w:rFonts w:ascii="Arial" w:eastAsia="Arial" w:hAnsi="Arial" w:cs="Arial"/>
        </w:rPr>
      </w:pPr>
      <w:r>
        <w:rPr>
          <w:rFonts w:ascii="Arial" w:eastAsia="Arial" w:hAnsi="Arial" w:cs="Arial"/>
        </w:rPr>
        <w:t xml:space="preserve">(3) Ako se osoba koja je prouzročila onečišćenje ne može utvrditi, troškovi izvršenja inspekcijskog rješenja podmiruju se iz državnog proračuna do naplate od jedinice lokalne samouprave na čijem je području utvrđeno onečišćenje odnosno od onečišćivača ako se naknadno utvrdi.</w:t>
      </w:r>
    </w:p>
    <w:p>
      <w:pPr>
        <w:pBdr/>
        <w:pStyle w:val="Normal"/>
        <w:spacing/>
        <w:ind/>
        <w:rPr>
          <w:rFonts w:ascii="Arial" w:eastAsia="Arial" w:hAnsi="Arial" w:cs="Arial"/>
          <w:i/>
          <w:iCs/>
        </w:rPr>
      </w:pPr>
    </w:p>
    <w:p>
      <w:pPr>
        <w:pBdr/>
        <w:pStyle w:val="Heading 2"/>
        <w:spacing/>
        <w:ind/>
        <w:rPr/>
      </w:pPr>
      <w:r>
        <w:rPr/>
        <w:t xml:space="preserve">Izvršenje inspekcijskog rješenja naplatom novčane kazne</w:t>
      </w:r>
    </w:p>
    <w:p>
      <w:pPr>
        <w:pBdr/>
        <w:pStyle w:val="Heading 2"/>
        <w:spacing/>
        <w:ind/>
        <w:rPr/>
      </w:pPr>
      <w:r>
        <w:rPr/>
        <w:t xml:space="preserve">Članak 316.</w:t>
      </w:r>
    </w:p>
    <w:p>
      <w:pPr>
        <w:pBdr/>
        <w:pStyle w:val="Normal"/>
        <w:spacing/>
        <w:ind/>
        <w:rPr>
          <w:rFonts w:ascii="Arial" w:eastAsia="Arial" w:hAnsi="Arial" w:cs="Arial"/>
          <w:iCs/>
          <w:color w:val="000000"/>
        </w:rPr>
      </w:pPr>
      <w:r>
        <w:rPr>
          <w:rFonts w:ascii="Arial" w:eastAsia="Arial" w:hAnsi="Arial" w:cs="Arial"/>
          <w:iCs/>
          <w:color w:val="000000"/>
        </w:rPr>
        <w:t xml:space="preserve">(1) Ako izvršenik ne izvrši rješenjem </w:t>
      </w:r>
      <w:r>
        <w:rPr>
          <w:rFonts w:ascii="Arial" w:eastAsia="Arial" w:hAnsi="Arial" w:cs="Arial"/>
        </w:rPr>
        <w:t xml:space="preserve">naređenu mjeru iz članka 146. stavka 3., članka 302., članka 303. stavaka 1. i 2., članka 306. stavka 1., članka 307., članka 308. stavka 1., članka 309. stavka 1., od članaka 310. do 313. ovoga Zakona</w:t>
      </w:r>
      <w:r>
        <w:rPr>
          <w:rFonts w:ascii="Arial" w:eastAsia="Arial" w:hAnsi="Arial" w:cs="Arial"/>
          <w:iCs/>
          <w:color w:val="000000"/>
        </w:rPr>
        <w:t xml:space="preserve">, inspektor ga prisiljava na izvršenje novčanom kaznom u skladu sa zakonom kojim se uređuje opći upravni postupak.</w:t>
      </w:r>
    </w:p>
    <w:p>
      <w:pPr>
        <w:pBdr/>
        <w:pStyle w:val="Normal"/>
        <w:spacing/>
        <w:ind/>
        <w:rPr>
          <w:rFonts w:ascii="Arial" w:eastAsia="Arial" w:hAnsi="Arial" w:cs="Arial"/>
          <w:iCs/>
          <w:color w:val="000000"/>
        </w:rPr>
      </w:pPr>
      <w:r>
        <w:rPr>
          <w:rFonts w:ascii="Arial" w:eastAsia="Arial" w:hAnsi="Arial" w:cs="Arial"/>
          <w:iCs/>
          <w:color w:val="000000"/>
        </w:rPr>
        <w:t xml:space="preserve">(2) Izvršenik je dužan novčanu kaznu iz stavka 1. ovoga članka uplatiti u korist državnog proračuna u roku od 30 dana od dana primitka rješenja o izvršenju.</w:t>
      </w:r>
    </w:p>
    <w:p>
      <w:pPr>
        <w:pBdr/>
        <w:pStyle w:val="Normal"/>
        <w:spacing/>
        <w:ind/>
        <w:rPr>
          <w:rFonts w:ascii="Arial" w:eastAsia="Arial" w:hAnsi="Arial" w:cs="Arial"/>
          <w:iCs/>
          <w:color w:val="000000"/>
        </w:rPr>
      </w:pPr>
      <w:r>
        <w:rPr>
          <w:rFonts w:ascii="Arial" w:eastAsia="Arial" w:hAnsi="Arial" w:cs="Arial"/>
          <w:iCs/>
          <w:color w:val="000000"/>
        </w:rPr>
        <w:t xml:space="preserve">(3) Ako izvršenik u roku iz stavka 2. ovoga članka ne dostavi inspektoru dokaz o uplati novčane kazne, novčana kazna naplaćuje se prisilno u skladu sa zakonom kojim se uređuje opći upravni postupak.</w:t>
      </w:r>
    </w:p>
    <w:p>
      <w:pPr>
        <w:pBdr/>
        <w:pStyle w:val="Normal"/>
        <w:spacing/>
        <w:ind/>
        <w:rPr>
          <w:rFonts w:ascii="Arial" w:eastAsia="Arial" w:hAnsi="Arial" w:cs="Arial"/>
          <w:iCs/>
          <w:color w:val="000000"/>
        </w:rPr>
      </w:pPr>
    </w:p>
    <w:p>
      <w:pPr>
        <w:pBdr/>
        <w:pStyle w:val="Heading 2"/>
        <w:spacing/>
        <w:ind/>
        <w:rPr/>
      </w:pPr>
      <w:r>
        <w:rPr/>
        <w:t xml:space="preserve">Izvršenje inspekcijskog rješenja putem treće osobe</w:t>
      </w:r>
    </w:p>
    <w:p>
      <w:pPr>
        <w:pBdr/>
        <w:pStyle w:val="Heading 2"/>
        <w:spacing/>
        <w:ind/>
        <w:rPr/>
      </w:pPr>
      <w:r>
        <w:rPr/>
        <w:t xml:space="preserve">Članak 317.</w:t>
      </w:r>
    </w:p>
    <w:p>
      <w:pPr>
        <w:pBdr/>
        <w:pStyle w:val="Normal"/>
        <w:spacing/>
        <w:ind/>
        <w:rPr>
          <w:rFonts w:ascii="Arial" w:eastAsia="Arial" w:hAnsi="Arial" w:cs="Arial"/>
          <w:color w:val="000000"/>
        </w:rPr>
      </w:pPr>
      <w:r>
        <w:rPr>
          <w:rFonts w:ascii="Arial" w:eastAsia="Arial" w:hAnsi="Arial" w:cs="Arial"/>
        </w:rPr>
        <w:t xml:space="preserve">(1) Ako izvršenik ne postupi po izvršnom rješenju iz članka 300. stavka 1. ili članka 301. stavka 1. ovoga Zakona, odnosno ako ni nakon jednokratno izrečene novčane kazne ne postupi po izvršnom rješenju iz članka 146. stavka 3. ili</w:t>
      </w:r>
      <w:r>
        <w:rPr>
          <w:rFonts w:ascii="Arial" w:eastAsia="Arial" w:hAnsi="Arial" w:cs="Arial"/>
          <w:b/>
        </w:rPr>
        <w:t xml:space="preserve"> </w:t>
      </w:r>
      <w:r>
        <w:rPr>
          <w:rFonts w:ascii="Arial" w:eastAsia="Arial" w:hAnsi="Arial" w:cs="Arial"/>
        </w:rPr>
        <w:t xml:space="preserve">članka 301. ovoga </w:t>
      </w:r>
      <w:r>
        <w:rPr>
          <w:rFonts w:ascii="Arial" w:eastAsia="Arial" w:hAnsi="Arial" w:cs="Arial"/>
          <w:color w:val="000000"/>
        </w:rPr>
        <w:t xml:space="preserve">Zakona, inspektor rješenjem o izvršenju određuje način izvršenja tog rješenja putem treće osobe na trošak i odgovornost izvršenika.</w:t>
      </w:r>
    </w:p>
    <w:p>
      <w:pPr>
        <w:pBdr/>
        <w:pStyle w:val="Normal"/>
        <w:spacing/>
        <w:ind/>
        <w:rPr>
          <w:rFonts w:ascii="Arial" w:eastAsia="Arial" w:hAnsi="Arial" w:cs="Arial"/>
          <w:color w:val="000000"/>
        </w:rPr>
      </w:pPr>
      <w:r>
        <w:rPr>
          <w:rFonts w:ascii="Arial" w:eastAsia="Arial" w:hAnsi="Arial" w:cs="Arial"/>
          <w:color w:val="000000"/>
        </w:rPr>
        <w:t xml:space="preserve">(2) U slučaju izvršenja putem treće osobe inspektor zaključkom nalaže izvršeniku da unaprijed položi novčani iznos za podmirenje troškova izvršenja.</w:t>
      </w:r>
    </w:p>
    <w:p>
      <w:pPr>
        <w:pBdr/>
        <w:pStyle w:val="Normal"/>
        <w:spacing/>
        <w:ind/>
        <w:rPr>
          <w:rFonts w:ascii="Arial" w:eastAsia="Arial" w:hAnsi="Arial" w:cs="Arial"/>
          <w:color w:val="000000"/>
        </w:rPr>
      </w:pPr>
      <w:r>
        <w:rPr>
          <w:rFonts w:ascii="Arial" w:eastAsia="Arial" w:hAnsi="Arial" w:cs="Arial"/>
          <w:color w:val="000000"/>
        </w:rPr>
        <w:t xml:space="preserve">(3) Inspektor rješenjem utvrđuje iznos troškova izvršenja putem trećih osoba. </w:t>
      </w:r>
    </w:p>
    <w:p>
      <w:pPr>
        <w:pBdr/>
        <w:pStyle w:val="Normal"/>
        <w:spacing/>
        <w:ind/>
        <w:rPr>
          <w:rFonts w:ascii="Arial" w:eastAsia="Arial" w:hAnsi="Arial" w:cs="Arial"/>
          <w:iCs/>
          <w:color w:val="000000"/>
        </w:rPr>
      </w:pPr>
    </w:p>
    <w:p>
      <w:pPr>
        <w:pBdr/>
        <w:pStyle w:val="Heading 2"/>
        <w:spacing/>
        <w:ind/>
        <w:rPr/>
      </w:pPr>
      <w:r>
        <w:rPr/>
        <w:t xml:space="preserve">Mjera pečaćenja</w:t>
      </w:r>
    </w:p>
    <w:p>
      <w:pPr>
        <w:pBdr/>
        <w:pStyle w:val="Heading 2"/>
        <w:spacing/>
        <w:ind/>
        <w:rPr/>
      </w:pPr>
      <w:r>
        <w:rPr/>
        <w:t xml:space="preserve">Članak 318.</w:t>
      </w:r>
    </w:p>
    <w:p>
      <w:pPr>
        <w:pBdr/>
        <w:pStyle w:val="Normal"/>
        <w:spacing/>
        <w:ind/>
        <w:rPr>
          <w:rFonts w:ascii="Arial" w:eastAsia="Arial" w:hAnsi="Arial" w:cs="Arial"/>
        </w:rPr>
      </w:pPr>
      <w:r>
        <w:rPr>
          <w:rFonts w:ascii="Arial" w:eastAsia="Arial" w:hAnsi="Arial" w:cs="Arial"/>
        </w:rPr>
        <w:t xml:space="preserve">(1) Radi osiguranja provedbe mjera iz članka 299. stavka 1., članka 303. stavaka 3. i 4., članka 306. stavka 2. i članka 308. stavka 2. ovoga Zakona, inspektor može zapečatiti radne prostorije, prostore, uređaje i opremu ili na drugi način onemogućiti daljnje obavljanje djelatnosti.</w:t>
      </w:r>
    </w:p>
    <w:p>
      <w:pPr>
        <w:pBdr/>
        <w:pStyle w:val="Normal"/>
        <w:spacing/>
        <w:ind/>
        <w:rPr>
          <w:rFonts w:ascii="Arial" w:eastAsia="Arial" w:hAnsi="Arial" w:cs="Arial"/>
        </w:rPr>
      </w:pPr>
      <w:r>
        <w:rPr>
          <w:rFonts w:ascii="Arial" w:eastAsia="Arial" w:hAnsi="Arial" w:cs="Arial"/>
        </w:rPr>
        <w:t xml:space="preserve">(2) Pri provedbi hitnih mjera propisanih ovim Zakonom inspektor može pečaćenjem zatvoriti prostorije i prostore odnosno onemogućiti pristup u prostor u kojem nadzirana </w:t>
      </w:r>
      <w:r>
        <w:rPr>
          <w:rFonts w:ascii="Arial" w:eastAsia="Arial" w:hAnsi="Arial" w:cs="Arial"/>
        </w:rPr>
        <w:t xml:space="preserve">osoba obavlja djelatnost te onemogućiti korištenje postrojenja, opreme i drugih sredstava za rad.</w:t>
      </w:r>
    </w:p>
    <w:p>
      <w:pPr>
        <w:pBdr/>
        <w:pStyle w:val="Normal"/>
        <w:spacing/>
        <w:ind/>
        <w:rPr>
          <w:rFonts w:ascii="Arial" w:eastAsia="Arial" w:hAnsi="Arial" w:cs="Arial"/>
        </w:rPr>
      </w:pPr>
      <w:r>
        <w:rPr>
          <w:rFonts w:ascii="Arial" w:eastAsia="Arial" w:hAnsi="Arial" w:cs="Arial"/>
        </w:rPr>
        <w:t xml:space="preserve">(3) Radi nesmetanog izvršenja inspekcijskog rješenja kojim se određuju mjere iz stavaka 1. i 2. ovoga članka nadležna policijska uprava prije početka izvršenja osigurava da nekretnina bude slobodna od ljudi i stvari te takvo stanje održava tijekom izvršenja. </w:t>
      </w:r>
    </w:p>
    <w:p>
      <w:pPr>
        <w:pBdr/>
        <w:pStyle w:val="Normal"/>
        <w:spacing/>
        <w:ind/>
        <w:rPr>
          <w:rFonts w:ascii="Arial" w:eastAsia="Arial" w:hAnsi="Arial" w:cs="Arial"/>
        </w:rPr>
      </w:pPr>
      <w:r>
        <w:rPr>
          <w:rFonts w:ascii="Arial" w:eastAsia="Arial" w:hAnsi="Arial" w:cs="Arial"/>
        </w:rPr>
        <w:t xml:space="preserve">(4) Ako nadzirana osoba nastavi obavljati djelatnost nakon pečaćenja, inspektor poduzima daljnje radnje sprječavanja obavljanja djelatnosti te uz pomoć policije udaljava osobe iz radnih prostora, a pečat uklanja kada nadzirana osoba postupi po inspekcijskom rješenju.</w:t>
      </w:r>
    </w:p>
    <w:p>
      <w:pPr>
        <w:pBdr/>
        <w:pStyle w:val="Normal"/>
        <w:spacing/>
        <w:ind/>
        <w:rPr>
          <w:rFonts w:ascii="Arial" w:eastAsia="Arial" w:hAnsi="Arial" w:cs="Arial"/>
        </w:rPr>
      </w:pPr>
    </w:p>
    <w:p>
      <w:pPr>
        <w:pBdr/>
        <w:pStyle w:val="Heading 2"/>
        <w:spacing/>
        <w:ind/>
        <w:rPr/>
      </w:pPr>
      <w:r>
        <w:rPr/>
        <w:t xml:space="preserve">Obustava postupka izvršenja</w:t>
      </w:r>
    </w:p>
    <w:p>
      <w:pPr>
        <w:pBdr/>
        <w:pStyle w:val="Heading 2"/>
        <w:spacing/>
        <w:ind/>
        <w:rPr/>
      </w:pPr>
      <w:r>
        <w:rPr/>
        <w:t xml:space="preserve">Članak 319.</w:t>
      </w:r>
    </w:p>
    <w:p>
      <w:pPr>
        <w:pBdr/>
        <w:pStyle w:val="Normal"/>
        <w:spacing/>
        <w:ind/>
        <w:rPr>
          <w:rFonts w:ascii="Arial" w:eastAsia="Arial" w:hAnsi="Arial" w:cs="Arial"/>
          <w:iCs/>
        </w:rPr>
      </w:pPr>
      <w:r>
        <w:rPr>
          <w:rFonts w:ascii="Arial" w:eastAsia="Arial" w:hAnsi="Arial" w:cs="Arial"/>
        </w:rPr>
        <w:t xml:space="preserve">Ako izvršenik izvrši obvezu čije je izvršenje određeno rješenjem o izvršenju, inspektor po službenoj dužnosti donosi rješenje o obustavi postupka izvršenja.</w:t>
      </w:r>
    </w:p>
    <w:p>
      <w:pPr>
        <w:pBdr/>
        <w:pStyle w:val="Normal"/>
        <w:spacing/>
        <w:ind/>
        <w:rPr>
          <w:rFonts w:ascii="Arial" w:eastAsia="Arial" w:hAnsi="Arial" w:cs="Arial"/>
          <w:iCs/>
        </w:rPr>
      </w:pPr>
    </w:p>
    <w:p>
      <w:pPr>
        <w:pBdr/>
        <w:pStyle w:val="Heading 2"/>
        <w:spacing/>
        <w:ind/>
        <w:rPr/>
      </w:pPr>
      <w:r>
        <w:rPr/>
        <w:t xml:space="preserve">Pravo na žalbu</w:t>
      </w:r>
    </w:p>
    <w:p>
      <w:pPr>
        <w:pBdr/>
        <w:pStyle w:val="Heading 2"/>
        <w:spacing/>
        <w:ind/>
        <w:rPr/>
      </w:pPr>
      <w:r>
        <w:rPr/>
        <w:t xml:space="preserve">Članak 320.</w:t>
      </w:r>
    </w:p>
    <w:p>
      <w:pPr>
        <w:pBdr/>
        <w:pStyle w:val="Normal"/>
        <w:spacing/>
        <w:ind/>
        <w:rPr>
          <w:rFonts w:ascii="Arial" w:eastAsia="Arial" w:hAnsi="Arial" w:cs="Arial"/>
        </w:rPr>
      </w:pPr>
      <w:r>
        <w:rPr>
          <w:rFonts w:ascii="Arial" w:eastAsia="Arial" w:hAnsi="Arial" w:cs="Arial"/>
        </w:rPr>
        <w:t xml:space="preserve">(1) Protiv rješenja koja inspektor donosi na temelju ovoga Zakona može se izjaviti žalba u skladu sa zakonom kojim se uređuju poslovi i ovlasti tijela nadležnog za inspekcijske poslove.</w:t>
      </w:r>
    </w:p>
    <w:p>
      <w:pPr>
        <w:pBdr/>
        <w:pStyle w:val="Normal"/>
        <w:spacing/>
        <w:ind/>
        <w:rPr>
          <w:rFonts w:ascii="Arial" w:eastAsia="Arial" w:hAnsi="Arial" w:cs="Arial"/>
        </w:rPr>
      </w:pPr>
      <w:r>
        <w:rPr>
          <w:rFonts w:ascii="Arial" w:eastAsia="Arial" w:hAnsi="Arial" w:cs="Arial"/>
        </w:rPr>
        <w:t xml:space="preserve">(2) Žalba protiv rješenja iz stavka 1. ovoga članka ne odgađa njegovo izvršenje.</w:t>
      </w:r>
    </w:p>
    <w:p>
      <w:pPr>
        <w:pBdr/>
        <w:pStyle w:val="Normal"/>
        <w:spacing/>
        <w:ind/>
        <w:rPr>
          <w:rFonts w:ascii="Arial" w:eastAsia="Arial" w:hAnsi="Arial" w:cs="Arial"/>
        </w:rPr>
      </w:pPr>
    </w:p>
    <w:p>
      <w:pPr>
        <w:pBdr/>
        <w:pStyle w:val="Heading 2"/>
        <w:spacing/>
        <w:ind/>
        <w:rPr/>
      </w:pPr>
      <w:r>
        <w:rPr/>
        <w:t xml:space="preserve">Posebni slučajevi dostave inspekcijskog rješenja</w:t>
      </w:r>
    </w:p>
    <w:p>
      <w:pPr>
        <w:pBdr/>
        <w:pStyle w:val="Heading 2"/>
        <w:spacing/>
        <w:ind/>
        <w:rPr/>
      </w:pPr>
      <w:r>
        <w:rPr/>
        <w:t xml:space="preserve">Članak 321.</w:t>
      </w:r>
    </w:p>
    <w:p>
      <w:pPr>
        <w:pBdr/>
        <w:pStyle w:val="Normal"/>
        <w:spacing/>
        <w:ind/>
        <w:rPr>
          <w:rFonts w:ascii="Arial" w:eastAsia="Arial" w:hAnsi="Arial" w:cs="Arial"/>
        </w:rPr>
      </w:pPr>
      <w:r>
        <w:rPr>
          <w:rFonts w:ascii="Arial" w:eastAsia="Arial" w:hAnsi="Arial" w:cs="Arial"/>
        </w:rPr>
        <w:t xml:space="preserve">(1) Ako je prebivalište ili boravište stranke nepoznato, inspekcijsko rješenje dostavlja se stavljanjem na oglasnu ploču tijela nadležnog za inspekcijske poslove, a obavijest o toj dostavi ostavlja se i na mjestu onečišćenja u skladu sa zakonom kojim se uređuje opći upravni postupak i drugim posebnim propisima.</w:t>
      </w:r>
    </w:p>
    <w:p>
      <w:pPr>
        <w:pBdr/>
        <w:pStyle w:val="Normal"/>
        <w:spacing/>
        <w:ind/>
        <w:rPr>
          <w:rFonts w:ascii="Arial" w:eastAsia="Arial" w:hAnsi="Arial" w:cs="Arial"/>
        </w:rPr>
      </w:pPr>
      <w:r>
        <w:rPr>
          <w:rFonts w:ascii="Arial" w:eastAsia="Arial" w:hAnsi="Arial" w:cs="Arial"/>
        </w:rPr>
        <w:t xml:space="preserve">(2) Nakon prve neuspješne dostave inspekcijskog rješenja poznatoj stranci, provedene u skladu s propisima kojima se uređuje dostava, rješenje se dostavlja stavljanjem na oglasnu ploču tijela nadležnog za inspekcijske poslove. </w:t>
      </w:r>
    </w:p>
    <w:p>
      <w:pPr>
        <w:pBdr/>
        <w:pStyle w:val="Normal"/>
        <w:spacing/>
        <w:ind/>
        <w:rPr>
          <w:rFonts w:ascii="Arial" w:eastAsia="Arial" w:hAnsi="Arial" w:cs="Arial"/>
        </w:rPr>
      </w:pPr>
      <w:r>
        <w:rPr>
          <w:rFonts w:ascii="Arial" w:eastAsia="Arial" w:hAnsi="Arial" w:cs="Arial"/>
        </w:rPr>
        <w:t xml:space="preserve">(3) U slučaju iz stavka 1. ovoga članka rješenje se smatra dostavljenim istekom osmog dana od dana stavljanja na oglasnu ploču</w:t>
      </w:r>
      <w:r>
        <w:rPr>
          <w:rFonts w:ascii="Arial" w:eastAsia="Arial" w:hAnsi="Arial" w:cs="Arial"/>
          <w:color w:val="231F20"/>
        </w:rPr>
        <w:t xml:space="preserve"> tijela nadležnog za inspekcijske poslove</w:t>
      </w:r>
      <w:r>
        <w:rPr>
          <w:rFonts w:ascii="Arial" w:eastAsia="Arial" w:hAnsi="Arial" w:cs="Arial"/>
        </w:rPr>
        <w:t xml:space="preserve">.</w:t>
      </w:r>
    </w:p>
    <w:p>
      <w:pPr>
        <w:pBdr/>
        <w:pStyle w:val="Normal"/>
        <w:spacing/>
        <w:ind/>
        <w:rPr>
          <w:rFonts w:ascii="Arial" w:eastAsia="Arial" w:hAnsi="Arial" w:cs="Arial"/>
        </w:rPr>
      </w:pPr>
      <w:r>
        <w:rPr>
          <w:rFonts w:ascii="Arial" w:eastAsia="Arial" w:hAnsi="Arial" w:cs="Arial"/>
        </w:rPr>
        <w:t xml:space="preserve">(4) Obveza izvršenja inspekcijskog rješenja i rok za podnošenje žalbe počinju teći prvoga dana nakon dostave rješenja.</w:t>
      </w:r>
    </w:p>
    <w:p>
      <w:pPr>
        <w:pBdr/>
        <w:pStyle w:val="Normal"/>
        <w:spacing/>
        <w:ind/>
        <w:rPr>
          <w:rFonts w:ascii="Arial" w:eastAsia="Arial" w:hAnsi="Arial" w:cs="Arial"/>
          <w:iCs/>
          <w:color w:val="000000"/>
        </w:rPr>
      </w:pPr>
    </w:p>
    <w:p>
      <w:pPr>
        <w:pBdr/>
        <w:pStyle w:val="Heading 2"/>
        <w:spacing/>
        <w:ind/>
        <w:rPr/>
      </w:pPr>
      <w:r>
        <w:rPr/>
        <w:t xml:space="preserve">Nepoznati onečišćivač</w:t>
      </w:r>
    </w:p>
    <w:p>
      <w:pPr>
        <w:pBdr/>
        <w:pStyle w:val="Heading 2"/>
        <w:spacing/>
        <w:ind/>
        <w:rPr/>
      </w:pPr>
      <w:r>
        <w:rPr/>
        <w:t xml:space="preserve">Članak 322.</w:t>
      </w:r>
    </w:p>
    <w:p>
      <w:pPr>
        <w:pBdr/>
        <w:pStyle w:val="Normal"/>
        <w:spacing/>
        <w:ind/>
        <w:rPr>
          <w:rFonts w:ascii="Arial" w:eastAsia="Arial" w:hAnsi="Arial" w:cs="Arial"/>
        </w:rPr>
      </w:pPr>
      <w:r>
        <w:rPr>
          <w:rFonts w:ascii="Arial" w:eastAsia="Arial" w:hAnsi="Arial" w:cs="Arial"/>
        </w:rPr>
        <w:t xml:space="preserve">(1) Ako se osoba koja je prouzročila onečišćenje okoliša ne može utvrditi, stranka u inspekcijskom postupku je jedinica lokalne samouprave na čijem je području utvrđeno onečišćenje.</w:t>
      </w:r>
    </w:p>
    <w:p>
      <w:pPr>
        <w:pBdr/>
        <w:pStyle w:val="Normal"/>
        <w:spacing/>
        <w:ind/>
        <w:rPr>
          <w:rFonts w:ascii="Arial" w:eastAsia="Arial" w:hAnsi="Arial" w:cs="Arial"/>
        </w:rPr>
      </w:pPr>
      <w:r>
        <w:rPr>
          <w:rFonts w:ascii="Arial" w:eastAsia="Arial" w:hAnsi="Arial" w:cs="Arial"/>
        </w:rPr>
        <w:t xml:space="preserve">(2) Ako onečišćenje iz stavka 1. ovoga članka predstavlja neposrednu opasnost za ljude i/ili okoliš, inspektor rješenjem naređuje jedinici lokalne samouprave da putem treće osobe provede potrebne mjere radi smanjivanja odnosno uklanjanja onečišćenja.</w:t>
      </w:r>
    </w:p>
    <w:p>
      <w:pPr>
        <w:pBdr/>
        <w:pStyle w:val="Normal"/>
        <w:spacing/>
        <w:ind/>
        <w:rPr>
          <w:rFonts w:ascii="Arial" w:eastAsia="Arial" w:hAnsi="Arial" w:cs="Arial"/>
        </w:rPr>
      </w:pPr>
      <w:r>
        <w:rPr>
          <w:rFonts w:ascii="Arial" w:eastAsia="Arial" w:hAnsi="Arial" w:cs="Arial"/>
        </w:rPr>
        <w:t xml:space="preserve">(3) U slučaju zatečenog onečišćenja iz članka 143. stavka 1. ovoga Zakona, ako se osoba koja je prouzročila onečišćenje ne može utvrditi, inspektor rješenjem naređuje jedinici lokalne samouprave da putem treće osobe provede potrebne mjere uklanjanja, kontrole, ograničavanja ili smanjenja relevantnih opasnih tvari kako zatečeno onečišćenje tla i/ili podzemnih voda više ne bi predstavljalo značajan rizik za zdravlje ljudi i/ili okoliš. </w:t>
      </w:r>
    </w:p>
    <w:p>
      <w:pPr>
        <w:pBdr/>
        <w:pStyle w:val="Normal"/>
        <w:spacing/>
        <w:ind/>
        <w:rPr>
          <w:rFonts w:ascii="Arial" w:eastAsia="Arial" w:hAnsi="Arial" w:cs="Arial"/>
        </w:rPr>
      </w:pPr>
      <w:r>
        <w:rPr>
          <w:rFonts w:ascii="Arial" w:eastAsia="Arial" w:hAnsi="Arial" w:cs="Arial"/>
        </w:rPr>
        <w:t xml:space="preserve">(4) U slučaju iz stavka 3. ovoga članka u inspekcijskom nadzoru odnosno koordiniranom inspekcijskom nadzoru utvrđuju se činjenice i okolnosti koje je potrebno uzeti u obzir pri utvrđivanju uvjeta za obavljanje djelatnosti postrojenja, a rješenje iz stavka 3. ovoga članka te zapisnik odnosno druga dokumentacija iz koje su razvidne te činjenice i okolnosti dostavljaju se Ministarstvu radi postupanja u skladu s člankom 143. stavcima 4. i 5. ovoga Zakona.</w:t>
      </w:r>
    </w:p>
    <w:p>
      <w:pPr>
        <w:pBdr/>
        <w:pStyle w:val="Normal"/>
        <w:spacing/>
        <w:ind/>
        <w:rPr>
          <w:rFonts w:ascii="Arial" w:eastAsia="Arial" w:hAnsi="Arial" w:cs="Arial"/>
        </w:rPr>
      </w:pPr>
      <w:r>
        <w:rPr>
          <w:rFonts w:ascii="Arial" w:eastAsia="Arial" w:hAnsi="Arial" w:cs="Arial"/>
        </w:rPr>
        <w:t xml:space="preserve">(5) Ako jedinica lokalne samouprave ne provede mjere iz stavaka 2. ili 3. ovoga članka u roku određenom rješenjem, mjere provodi jedinica područne (regionalne) samouprave, a troškovi njihove provedbe podmiruju se u skladu s člankom 315. stavkom 3. ovoga Zakona.</w:t>
      </w:r>
    </w:p>
    <w:p>
      <w:pPr>
        <w:pBdr/>
        <w:pStyle w:val="Normal"/>
        <w:spacing/>
        <w:ind/>
        <w:rPr>
          <w:rFonts w:ascii="Arial" w:eastAsia="Arial" w:hAnsi="Arial" w:cs="Arial"/>
        </w:rPr>
      </w:pPr>
      <w:r>
        <w:rPr>
          <w:rFonts w:ascii="Arial" w:eastAsia="Arial" w:hAnsi="Arial" w:cs="Arial"/>
        </w:rPr>
        <w:t xml:space="preserve">(6) Ako postoji osnovana sumnja da je onečišćenjem počinjen prekršaj ili kazneno djelo, inspektor bez odgode obavještava ministarstvo nadležno za poslove unutarnjih poslova i/ili nadležno državno odvjetništvo.</w:t>
      </w:r>
    </w:p>
    <w:p>
      <w:pPr>
        <w:pBdr/>
        <w:pStyle w:val="Normal"/>
        <w:spacing/>
        <w:ind/>
        <w:rPr>
          <w:rFonts w:ascii="Arial" w:eastAsia="Arial" w:hAnsi="Arial" w:cs="Arial"/>
        </w:rPr>
      </w:pPr>
      <w:r>
        <w:rPr>
          <w:rFonts w:ascii="Arial" w:eastAsia="Arial" w:hAnsi="Arial" w:cs="Arial"/>
        </w:rPr>
        <w:t xml:space="preserve">(7) Ako se nakon provedbe mjera iz stavaka 2. ili 3. ovoga članka utvrdi onečišćivač, jedinica lokalne odnosno područne (regionalne) samouprave ima pravo od njega zahtijevati naknadu troškova provedbe tih mjera. </w:t>
      </w:r>
    </w:p>
    <w:p>
      <w:pPr>
        <w:pBdr/>
        <w:pStyle w:val="Normal"/>
        <w:spacing/>
        <w:ind/>
        <w:rPr>
          <w:rFonts w:ascii="Arial" w:eastAsia="Arial" w:hAnsi="Arial" w:cs="Arial"/>
        </w:rPr>
      </w:pPr>
    </w:p>
    <w:p>
      <w:pPr>
        <w:pBdr/>
        <w:pStyle w:val="Heading 2"/>
        <w:spacing/>
        <w:ind/>
        <w:rPr/>
      </w:pPr>
      <w:r>
        <w:rPr/>
        <w:t xml:space="preserve">Više onečišćivača</w:t>
      </w:r>
    </w:p>
    <w:p>
      <w:pPr>
        <w:pBdr/>
        <w:pStyle w:val="Heading 2"/>
        <w:spacing/>
        <w:ind/>
        <w:rPr/>
      </w:pPr>
      <w:r>
        <w:rPr/>
        <w:t xml:space="preserve">Članak 323.</w:t>
      </w:r>
    </w:p>
    <w:p>
      <w:pPr>
        <w:pBdr/>
        <w:pStyle w:val="Normal"/>
        <w:spacing/>
        <w:ind/>
        <w:rPr>
          <w:rFonts w:ascii="Arial" w:eastAsia="Arial" w:hAnsi="Arial" w:cs="Arial"/>
        </w:rPr>
      </w:pPr>
      <w:r>
        <w:rPr>
          <w:rFonts w:ascii="Arial" w:eastAsia="Arial" w:hAnsi="Arial" w:cs="Arial"/>
        </w:rPr>
        <w:t xml:space="preserve">(1) Ako se utvrdi da je onečišćenje okoliša prouzročilo više onečišćivača, a nije moguće utvrditi udio svakoga od njih u nastalom onečišćenju, svim utvrđenim onečišćivačima naređuju se mjere otklanjanja posljedica onečišćenja okoliša odnosno mjere sanacije.</w:t>
      </w:r>
    </w:p>
    <w:p>
      <w:pPr>
        <w:pBdr/>
        <w:pStyle w:val="Normal"/>
        <w:spacing/>
        <w:ind/>
        <w:rPr>
          <w:rFonts w:ascii="Arial" w:eastAsia="Arial" w:hAnsi="Arial" w:cs="Arial"/>
        </w:rPr>
      </w:pPr>
      <w:r>
        <w:rPr>
          <w:rFonts w:ascii="Arial" w:eastAsia="Arial" w:hAnsi="Arial" w:cs="Arial"/>
        </w:rPr>
        <w:t xml:space="preserve">(2) U slučaju zatečenog onečišćenja iz članka 143. stavka 1. ovoga Zakona onečišćivačima iz stavka 1. ovoga članka naređuju se mjere uklanjanja, kontrole, ograničavanja ili smanjenja relevantnih opasnih tvari kako zatečeno onečišćenje tla i/ili podzemnih voda više ne bi predstavljalo značajan rizik za zdravlje ljudi i/ili okoliš.</w:t>
      </w:r>
    </w:p>
    <w:p>
      <w:pPr>
        <w:pBdr/>
        <w:pStyle w:val="Normal"/>
        <w:spacing/>
        <w:ind/>
        <w:rPr>
          <w:rFonts w:ascii="Arial" w:eastAsia="Arial" w:hAnsi="Arial" w:cs="Arial"/>
        </w:rPr>
      </w:pPr>
      <w:r>
        <w:rPr>
          <w:rFonts w:ascii="Arial" w:eastAsia="Arial" w:hAnsi="Arial" w:cs="Arial"/>
        </w:rPr>
        <w:t xml:space="preserve">(3) Onečišćivači iz stavka 1. ovoga članka solidarno snose troškove provedbe mjera iz stavaka 1. i 2. ovoga članka.</w:t>
      </w:r>
    </w:p>
    <w:p>
      <w:pPr>
        <w:pBdr/>
        <w:pStyle w:val="Normal"/>
        <w:spacing/>
        <w:ind/>
        <w:rPr>
          <w:rFonts w:ascii="Arial" w:eastAsia="Arial" w:hAnsi="Arial" w:cs="Arial"/>
          <w:i/>
          <w:color w:val="000000"/>
        </w:rPr>
      </w:pPr>
    </w:p>
    <w:p>
      <w:pPr>
        <w:pBdr/>
        <w:pStyle w:val="Heading 2"/>
        <w:spacing/>
        <w:ind/>
        <w:rPr/>
      </w:pPr>
      <w:r>
        <w:rPr/>
        <w:t xml:space="preserve">Postupanje po prijavi</w:t>
      </w:r>
    </w:p>
    <w:p>
      <w:pPr>
        <w:pBdr/>
        <w:pStyle w:val="Heading 2"/>
        <w:spacing/>
        <w:ind/>
        <w:rPr/>
      </w:pPr>
      <w:r>
        <w:rPr/>
        <w:t xml:space="preserve">Članak 324.</w:t>
      </w:r>
    </w:p>
    <w:p>
      <w:pPr>
        <w:pBdr/>
        <w:pStyle w:val="Normal"/>
        <w:spacing/>
        <w:ind/>
        <w:rPr>
          <w:rFonts w:ascii="Arial" w:eastAsia="Arial" w:hAnsi="Arial" w:cs="Arial"/>
        </w:rPr>
      </w:pPr>
      <w:r>
        <w:rPr>
          <w:rFonts w:ascii="Arial" w:eastAsia="Arial" w:hAnsi="Arial" w:cs="Arial"/>
        </w:rPr>
        <w:t xml:space="preserve">(1) Inspektor pisano obavještava poznatog podnositelja prijave o sumnji na povredu odredbi ovoga Zakona ili propisa donesenih na temelju ovoga Zakona o činjeničnom stanju utvrđenom u inspekcijskom nadzoru najkasnije 30 dana od dana njegova utvrđivanja.</w:t>
      </w:r>
    </w:p>
    <w:p>
      <w:pPr>
        <w:pBdr/>
        <w:pStyle w:val="Normal"/>
        <w:spacing/>
        <w:ind/>
        <w:rPr>
          <w:rFonts w:ascii="Arial" w:eastAsia="Arial" w:hAnsi="Arial" w:cs="Arial"/>
        </w:rPr>
      </w:pPr>
      <w:r>
        <w:rPr>
          <w:rFonts w:ascii="Arial" w:eastAsia="Arial" w:hAnsi="Arial" w:cs="Arial"/>
        </w:rPr>
        <w:t xml:space="preserve">(2) Podnositelj prijave nije stranka u inspekcijskom postupku.</w:t>
      </w:r>
    </w:p>
    <w:p>
      <w:pPr>
        <w:pBdr/>
        <w:pStyle w:val="Normal"/>
        <w:spacing/>
        <w:ind/>
        <w:rPr>
          <w:rFonts w:ascii="Arial" w:eastAsia="Arial" w:hAnsi="Arial" w:cs="Arial"/>
        </w:rPr>
      </w:pPr>
      <w:r>
        <w:rPr>
          <w:rFonts w:ascii="Arial" w:eastAsia="Arial" w:hAnsi="Arial" w:cs="Arial"/>
        </w:rPr>
        <w:t xml:space="preserve">(3) Ako se tijekom inspekcijskoga nadzora utvrdi da nema povrede odredbi ovoga Zakona ili propisa donesenih na temelju ovoga Zakona koje je ovlaštena nadzirati inspekcija zaštite okoliša ni opravdanog razloga za daljnje vođenje postupka, a podnositelj prijave zahtijeva izvođenje dokaza, postupak se nastavlja na njegov zahtjev.</w:t>
      </w:r>
    </w:p>
    <w:p>
      <w:pPr>
        <w:pBdr/>
        <w:pStyle w:val="Normal"/>
        <w:spacing/>
        <w:ind/>
        <w:rPr>
          <w:rFonts w:ascii="Arial" w:eastAsia="Arial" w:hAnsi="Arial" w:cs="Arial"/>
        </w:rPr>
      </w:pPr>
      <w:r>
        <w:rPr>
          <w:rFonts w:ascii="Arial" w:eastAsia="Arial" w:hAnsi="Arial" w:cs="Arial"/>
        </w:rPr>
        <w:t xml:space="preserve">(4) Troškove daljnjeg vođenja postupka iz stavka 3. ovoga članka u cijelosti snosi podnositelj prijave, kojem inspektor zaključkom nalaže da unaprijed položi novčani iznos za troškove izvođenja dodatnih dokaza.</w:t>
      </w:r>
    </w:p>
    <w:p>
      <w:pPr>
        <w:pBdr/>
        <w:pStyle w:val="Normal"/>
        <w:spacing/>
        <w:ind/>
        <w:rPr>
          <w:rFonts w:ascii="Arial" w:eastAsia="Arial" w:hAnsi="Arial" w:cs="Arial"/>
        </w:rPr>
      </w:pPr>
    </w:p>
    <w:p>
      <w:pPr>
        <w:pBdr/>
        <w:pStyle w:val="Heading 2"/>
        <w:spacing/>
        <w:ind/>
        <w:rPr/>
      </w:pPr>
      <w:r>
        <w:rPr/>
        <w:t xml:space="preserve">Ukidanje suglasnosti za obavljanje stručnih poslova zaštite okoliša i prirode</w:t>
      </w:r>
    </w:p>
    <w:p>
      <w:pPr>
        <w:pBdr/>
        <w:pStyle w:val="Heading 2"/>
        <w:spacing/>
        <w:ind/>
        <w:rPr/>
      </w:pPr>
      <w:r>
        <w:rPr/>
        <w:t xml:space="preserve">Članak 325.</w:t>
      </w:r>
    </w:p>
    <w:p>
      <w:pPr>
        <w:pBdr/>
        <w:pStyle w:val="Normal"/>
        <w:spacing/>
        <w:ind/>
        <w:rPr>
          <w:rFonts w:ascii="Arial" w:eastAsia="Arial" w:hAnsi="Arial" w:cs="Arial"/>
        </w:rPr>
      </w:pPr>
      <w:r>
        <w:rPr>
          <w:rFonts w:ascii="Arial" w:eastAsia="Arial" w:hAnsi="Arial" w:cs="Arial"/>
        </w:rPr>
        <w:t xml:space="preserve">Ako u inspekcijskom nadzoru utvrdi da ovlaštenik ne ispunjava propisane uvjete za obavljanje stručnih poslova zaštite okoliša i prirode ili te poslove obavlja protivno odredbama ovoga Zakona ili propisa donesenih na temelju ovoga Zakona, inspektor predlaže Ministarstvu ukidanje suglasnosti iz članka 26. stavka 4. ovoga Zakona.</w:t>
      </w:r>
    </w:p>
    <w:p>
      <w:pPr>
        <w:pBdr/>
        <w:pStyle w:val="Normal"/>
        <w:spacing/>
        <w:ind/>
        <w:rPr>
          <w:rFonts w:ascii="Arial" w:eastAsia="Arial" w:hAnsi="Arial" w:cs="Arial"/>
          <w:i/>
          <w:iCs/>
        </w:rPr>
      </w:pPr>
    </w:p>
    <w:p>
      <w:pPr>
        <w:pBdr/>
        <w:pStyle w:val="Heading 2"/>
        <w:spacing/>
        <w:ind/>
        <w:rPr/>
      </w:pPr>
      <w:r>
        <w:rPr/>
        <w:t xml:space="preserve">Ukidanje okolišne dozvole</w:t>
      </w:r>
    </w:p>
    <w:p>
      <w:pPr>
        <w:pBdr/>
        <w:pStyle w:val="Heading 2"/>
        <w:spacing/>
        <w:ind/>
        <w:rPr/>
      </w:pPr>
      <w:r>
        <w:rPr/>
        <w:t xml:space="preserve">Članak 326.</w:t>
      </w:r>
    </w:p>
    <w:p>
      <w:pPr>
        <w:pBdr/>
        <w:pStyle w:val="Normal"/>
        <w:spacing/>
        <w:ind/>
        <w:rPr>
          <w:rFonts w:ascii="Arial" w:eastAsia="Arial" w:hAnsi="Arial" w:cs="Arial"/>
        </w:rPr>
      </w:pPr>
      <w:r>
        <w:rPr>
          <w:rFonts w:ascii="Arial" w:eastAsia="Arial" w:hAnsi="Arial" w:cs="Arial"/>
        </w:rPr>
        <w:t xml:space="preserve">Nadležni inspektor bez odgode dostavlja Ministarstvu obrazloženi prijedlog za ukidanje okolišne dozvole i zapisnik o provedenom inspekcijskom nadzoru ako u tom nadzoru utvrdi da:</w:t>
      </w:r>
    </w:p>
    <w:p>
      <w:pPr>
        <w:pBdr/>
        <w:pStyle w:val="Normal"/>
        <w:spacing/>
        <w:ind/>
        <w:rPr>
          <w:rFonts w:ascii="Arial" w:eastAsia="Arial" w:hAnsi="Arial" w:cs="Arial"/>
        </w:rPr>
      </w:pPr>
      <w:r>
        <w:rPr>
          <w:rFonts w:ascii="Arial" w:eastAsia="Arial" w:hAnsi="Arial" w:cs="Arial"/>
        </w:rPr>
        <w:t xml:space="preserve">- operater unatoč izrečenim inspekcijskim mjerama ili zabrani rada nastavlja s radom postrojenja protivno uvjetima okolišne dozvole, čime ugrožava zdravlje ljudi ili uzrokuje znatno onečišćenje okoliša</w:t>
      </w:r>
    </w:p>
    <w:p>
      <w:pPr>
        <w:pBdr/>
        <w:pStyle w:val="Normal"/>
        <w:spacing/>
        <w:ind/>
        <w:rPr>
          <w:rFonts w:ascii="Arial" w:eastAsia="Arial" w:hAnsi="Arial" w:cs="Arial"/>
        </w:rPr>
      </w:pPr>
      <w:r>
        <w:rPr>
          <w:rFonts w:ascii="Arial" w:eastAsia="Arial" w:hAnsi="Arial" w:cs="Arial"/>
        </w:rPr>
        <w:t xml:space="preserve">- operater kojem je odobren produljeni rok iz članka 137. stavka 1. ovoga Zakona ili izuzeće iz članka 138. stavka 1. ovoga Zakona ne ispunjava uvjete, ne provodi mjere ili ne ostvaruje ključne etape provedbe utvrđene okolišnom dozvolom.</w:t>
      </w:r>
    </w:p>
    <w:p>
      <w:pPr>
        <w:pBdr/>
        <w:pStyle w:val="Normal"/>
        <w:spacing/>
        <w:ind/>
        <w:rPr>
          <w:rFonts w:ascii="Arial" w:eastAsia="Arial" w:hAnsi="Arial" w:cs="Arial"/>
          <w:i/>
          <w:iCs/>
        </w:rPr>
      </w:pPr>
    </w:p>
    <w:p>
      <w:pPr>
        <w:pBdr/>
        <w:pStyle w:val="Heading 2"/>
        <w:spacing/>
        <w:ind/>
        <w:rPr/>
      </w:pPr>
      <w:r>
        <w:rPr/>
        <w:t xml:space="preserve">Ukidanje registracije postrojenja</w:t>
      </w:r>
    </w:p>
    <w:p>
      <w:pPr>
        <w:pBdr/>
        <w:pStyle w:val="Heading 2"/>
        <w:spacing/>
        <w:ind/>
        <w:rPr/>
      </w:pPr>
      <w:r>
        <w:rPr/>
        <w:t xml:space="preserve">Članak 327.</w:t>
      </w:r>
    </w:p>
    <w:p>
      <w:pPr>
        <w:pBdr/>
        <w:pStyle w:val="Normal"/>
        <w:spacing/>
        <w:ind/>
        <w:rPr>
          <w:rFonts w:ascii="Arial" w:eastAsia="Arial" w:hAnsi="Arial" w:cs="Arial"/>
          <w:i/>
          <w:iCs/>
        </w:rPr>
      </w:pPr>
      <w:r>
        <w:rPr>
          <w:rFonts w:ascii="Arial" w:eastAsia="Arial" w:hAnsi="Arial" w:cs="Arial"/>
        </w:rPr>
        <w:t xml:space="preserve">Ako utvrdi da operater nije u rokovima propisanima ovim Zakonom uskladio rad postrojenja s operativnim pravilima propisanim pravilnikom iz članka 163. stavka 1. ovoga Zakona, inspektor predlaže Ministarstvu ukidanje registracije postrojenja.</w:t>
      </w:r>
    </w:p>
    <w:p>
      <w:pPr>
        <w:pBdr/>
        <w:pStyle w:val="Normal"/>
        <w:spacing/>
        <w:ind/>
        <w:rPr>
          <w:rFonts w:ascii="Arial" w:eastAsia="Arial" w:hAnsi="Arial" w:cs="Arial"/>
          <w:i/>
          <w:iCs/>
        </w:rPr>
      </w:pPr>
    </w:p>
    <w:p>
      <w:pPr>
        <w:pBdr/>
        <w:pStyle w:val="Heading 2"/>
        <w:spacing/>
        <w:ind/>
        <w:rPr/>
      </w:pPr>
      <w:r>
        <w:rPr/>
        <w:t xml:space="preserve">Godišnje izvješće o radu</w:t>
      </w:r>
    </w:p>
    <w:p>
      <w:pPr>
        <w:pBdr/>
        <w:pStyle w:val="Heading 2"/>
        <w:spacing/>
        <w:ind/>
        <w:rPr/>
      </w:pPr>
      <w:r>
        <w:rPr/>
        <w:t xml:space="preserve">Članak 328.</w:t>
      </w:r>
    </w:p>
    <w:p>
      <w:pPr>
        <w:pBdr/>
        <w:pStyle w:val="Normal"/>
        <w:spacing/>
        <w:ind/>
        <w:rPr>
          <w:rFonts w:ascii="Arial" w:eastAsia="Arial" w:hAnsi="Arial" w:cs="Arial"/>
          <w:color w:val="000000"/>
        </w:rPr>
      </w:pPr>
      <w:r>
        <w:rPr>
          <w:rFonts w:ascii="Arial" w:eastAsia="Arial" w:hAnsi="Arial" w:cs="Arial"/>
          <w:color w:val="000000"/>
        </w:rPr>
        <w:t xml:space="preserve">(1) Inspekcija zaštite okoliša izrađuje godišnje izvješće o radu koje sadrži:</w:t>
      </w:r>
    </w:p>
    <w:p>
      <w:pPr>
        <w:pBdr/>
        <w:pStyle w:val="Normal"/>
        <w:spacing/>
        <w:ind/>
        <w:rPr>
          <w:rFonts w:ascii="Arial" w:eastAsia="Arial" w:hAnsi="Arial" w:cs="Arial"/>
        </w:rPr>
      </w:pPr>
      <w:r>
        <w:rPr>
          <w:rFonts w:ascii="Arial" w:eastAsia="Arial" w:hAnsi="Arial" w:cs="Arial"/>
        </w:rPr>
        <w:t xml:space="preserve">- podatke i informacije o provedbi plana i programa rada</w:t>
      </w:r>
    </w:p>
    <w:p>
      <w:pPr>
        <w:pBdr/>
        <w:pStyle w:val="Normal"/>
        <w:spacing/>
        <w:ind/>
        <w:rPr>
          <w:rFonts w:ascii="Arial" w:eastAsia="Arial" w:hAnsi="Arial" w:cs="Arial"/>
        </w:rPr>
      </w:pPr>
      <w:r>
        <w:rPr>
          <w:rFonts w:ascii="Arial" w:eastAsia="Arial" w:hAnsi="Arial" w:cs="Arial"/>
        </w:rPr>
        <w:t xml:space="preserve">- podatke i informacije o poduzetim mjerama radi primjene propisa iz nadležnosti Ministarstva</w:t>
      </w:r>
    </w:p>
    <w:p>
      <w:pPr>
        <w:pBdr/>
        <w:pStyle w:val="Normal"/>
        <w:spacing/>
        <w:ind/>
        <w:rPr>
          <w:rFonts w:ascii="Arial" w:eastAsia="Arial" w:hAnsi="Arial" w:cs="Arial"/>
        </w:rPr>
      </w:pPr>
      <w:r>
        <w:rPr>
          <w:rFonts w:ascii="Arial" w:eastAsia="Arial" w:hAnsi="Arial" w:cs="Arial"/>
        </w:rPr>
        <w:t xml:space="preserve">- zajedničko izvješće o provedenim koordiniranim inspekcijskim nadzorima i drugim aktivnostima provedenima u suradnji s drugim inspekcijama u području zaštite okoliša</w:t>
      </w:r>
    </w:p>
    <w:p>
      <w:pPr>
        <w:pBdr/>
        <w:pStyle w:val="Normal"/>
        <w:spacing/>
        <w:ind/>
        <w:rPr>
          <w:rFonts w:ascii="Arial" w:eastAsia="Arial" w:hAnsi="Arial" w:cs="Arial"/>
        </w:rPr>
      </w:pPr>
      <w:r>
        <w:rPr>
          <w:rFonts w:ascii="Arial" w:eastAsia="Arial" w:hAnsi="Arial" w:cs="Arial"/>
        </w:rPr>
        <w:t xml:space="preserve">- prijedloge za unaprjeđenje inspekcijskog nadzora i stanja zaštite okoliša.</w:t>
      </w:r>
    </w:p>
    <w:p>
      <w:pPr>
        <w:pBdr/>
        <w:pStyle w:val="Normal"/>
        <w:spacing/>
        <w:ind/>
        <w:rPr>
          <w:rFonts w:ascii="Arial" w:eastAsia="Arial" w:hAnsi="Arial" w:cs="Arial"/>
        </w:rPr>
      </w:pPr>
      <w:r>
        <w:rPr>
          <w:rFonts w:ascii="Arial" w:eastAsia="Arial" w:hAnsi="Arial" w:cs="Arial"/>
        </w:rPr>
        <w:t xml:space="preserve">(2) Tijelo nadležno za inspekcijske poslove dostavlja izvješće iz stavka 1. ovoga članka Vladi, a Ministarstvo i tijelo nadležno za inspekcijske poslove objavljuju ga na svojim mrežnim stranicama.</w:t>
      </w:r>
    </w:p>
    <w:p>
      <w:pPr>
        <w:pBdr/>
        <w:pStyle w:val="Normal"/>
        <w:spacing/>
        <w:ind/>
        <w:rPr>
          <w:rFonts w:ascii="Arial" w:eastAsia="Arial" w:hAnsi="Arial" w:cs="Arial"/>
          <w:i/>
          <w:iCs/>
          <w:color w:val="000000"/>
        </w:rPr>
      </w:pPr>
    </w:p>
    <w:p>
      <w:pPr>
        <w:pBdr/>
        <w:pStyle w:val="Heading 2"/>
        <w:spacing/>
        <w:ind/>
        <w:rPr/>
      </w:pPr>
      <w:r>
        <w:rPr/>
        <w:t xml:space="preserve">Javnost u obavljanju inspekcijskog nadzora</w:t>
      </w:r>
    </w:p>
    <w:p>
      <w:pPr>
        <w:pBdr/>
        <w:pStyle w:val="Heading 2"/>
        <w:spacing/>
        <w:ind/>
        <w:rPr/>
      </w:pPr>
      <w:r>
        <w:rPr/>
        <w:t xml:space="preserve">Članak 329.</w:t>
      </w:r>
    </w:p>
    <w:p>
      <w:pPr>
        <w:pBdr/>
        <w:pStyle w:val="Normal"/>
        <w:spacing/>
        <w:ind/>
        <w:rPr>
          <w:rFonts w:ascii="Arial" w:eastAsia="Arial" w:hAnsi="Arial" w:cs="Arial"/>
        </w:rPr>
      </w:pPr>
      <w:r>
        <w:rPr>
          <w:rFonts w:ascii="Arial" w:eastAsia="Arial" w:hAnsi="Arial" w:cs="Arial"/>
        </w:rPr>
        <w:t xml:space="preserve">(1) Tijelo nadležno za inspekcijske poslove na svojim mrežnim stranicama objavljuje informacije o provedenim inspekcijskim nadzorima odnosno koordiniranim inspekcijskim nadzorima postrojenja za koja je propisana obveza ishođenja okolišne dozvole, drugim aktivnostima inspekcije zaštite okoliša te aktivnostima provedenima u suradnji s drugim inspekcijama u području zaštite okoliša.</w:t>
      </w:r>
    </w:p>
    <w:p>
      <w:pPr>
        <w:pBdr/>
        <w:pStyle w:val="Normal"/>
        <w:spacing/>
        <w:ind/>
        <w:rPr>
          <w:rFonts w:ascii="Arial" w:eastAsia="Arial" w:hAnsi="Arial" w:cs="Arial"/>
        </w:rPr>
      </w:pPr>
      <w:r>
        <w:rPr>
          <w:rFonts w:ascii="Arial" w:eastAsia="Arial" w:hAnsi="Arial" w:cs="Arial"/>
        </w:rPr>
        <w:t xml:space="preserve">(2) Informacija o provedenim inspekcijskim nadzorima iz stavka 1. ovoga članka sadrži:</w:t>
      </w:r>
    </w:p>
    <w:p>
      <w:pPr>
        <w:pBdr/>
        <w:pStyle w:val="Normal"/>
        <w:spacing/>
        <w:ind/>
        <w:rPr>
          <w:rFonts w:ascii="Arial" w:eastAsia="Arial" w:hAnsi="Arial" w:cs="Arial"/>
        </w:rPr>
      </w:pPr>
      <w:r>
        <w:rPr>
          <w:rFonts w:ascii="Arial" w:eastAsia="Arial" w:hAnsi="Arial" w:cs="Arial"/>
        </w:rPr>
        <w:t xml:space="preserve">- naziv nadzirane osobe i lokaciju provedbe nadzora</w:t>
      </w:r>
    </w:p>
    <w:p>
      <w:pPr>
        <w:pBdr/>
        <w:pStyle w:val="Normal"/>
        <w:spacing/>
        <w:ind/>
        <w:rPr>
          <w:rFonts w:ascii="Arial" w:eastAsia="Arial" w:hAnsi="Arial" w:cs="Arial"/>
        </w:rPr>
      </w:pPr>
      <w:r>
        <w:rPr>
          <w:rFonts w:ascii="Arial" w:eastAsia="Arial" w:hAnsi="Arial" w:cs="Arial"/>
        </w:rPr>
        <w:t xml:space="preserve">- datum provedbe nadzora</w:t>
      </w:r>
    </w:p>
    <w:p>
      <w:pPr>
        <w:pBdr/>
        <w:pStyle w:val="Normal"/>
        <w:spacing/>
        <w:ind/>
        <w:rPr>
          <w:rFonts w:ascii="Arial" w:eastAsia="Arial" w:hAnsi="Arial" w:cs="Arial"/>
        </w:rPr>
      </w:pPr>
      <w:r>
        <w:rPr>
          <w:rFonts w:ascii="Arial" w:eastAsia="Arial" w:hAnsi="Arial" w:cs="Arial"/>
        </w:rPr>
        <w:t xml:space="preserve">- podatke o inspekcijskim službama koje su sudjelovale u nadzoru</w:t>
      </w:r>
    </w:p>
    <w:p>
      <w:pPr>
        <w:pBdr/>
        <w:pStyle w:val="Normal"/>
        <w:spacing/>
        <w:ind/>
        <w:rPr>
          <w:rFonts w:ascii="Arial" w:eastAsia="Arial" w:hAnsi="Arial" w:cs="Arial"/>
        </w:rPr>
      </w:pPr>
      <w:r>
        <w:rPr>
          <w:rFonts w:ascii="Arial" w:eastAsia="Arial" w:hAnsi="Arial" w:cs="Arial"/>
        </w:rPr>
        <w:t xml:space="preserve">- utvrđeno stanje u pogledu primjene propisa</w:t>
      </w:r>
    </w:p>
    <w:p>
      <w:pPr>
        <w:pBdr/>
        <w:pStyle w:val="Normal"/>
        <w:spacing/>
        <w:ind/>
        <w:rPr>
          <w:rFonts w:ascii="Arial" w:eastAsia="Arial" w:hAnsi="Arial" w:cs="Arial"/>
        </w:rPr>
      </w:pPr>
      <w:r>
        <w:rPr>
          <w:rFonts w:ascii="Arial" w:eastAsia="Arial" w:hAnsi="Arial" w:cs="Arial"/>
        </w:rPr>
        <w:t xml:space="preserve">- poduzete inspekcijske mjere</w:t>
      </w:r>
    </w:p>
    <w:p>
      <w:pPr>
        <w:pBdr/>
        <w:pStyle w:val="Normal"/>
        <w:spacing/>
        <w:ind/>
        <w:rPr>
          <w:rFonts w:ascii="Arial" w:eastAsia="Arial" w:hAnsi="Arial" w:cs="Arial"/>
        </w:rPr>
      </w:pPr>
      <w:r>
        <w:rPr>
          <w:rFonts w:ascii="Arial" w:eastAsia="Arial" w:hAnsi="Arial" w:cs="Arial"/>
        </w:rPr>
        <w:t xml:space="preserve">- stanje izvršenja naređenih mjera.</w:t>
      </w:r>
    </w:p>
    <w:p>
      <w:pPr>
        <w:pBdr/>
        <w:pStyle w:val="Normal"/>
        <w:spacing/>
        <w:ind/>
        <w:rPr>
          <w:rFonts w:ascii="Arial" w:eastAsia="Arial" w:hAnsi="Arial" w:cs="Arial"/>
        </w:rPr>
      </w:pPr>
      <w:r>
        <w:rPr>
          <w:rFonts w:ascii="Arial" w:eastAsia="Arial" w:hAnsi="Arial" w:cs="Arial"/>
        </w:rPr>
        <w:t xml:space="preserve">(3) Tijelo nadležno za inspekcijske poslove tromjesečno zbirno obavještava javnost o provedenim koordiniranim inspekcijskim nadzorima postrojenja za koja je izdana okolišna dozvola.</w:t>
      </w:r>
    </w:p>
    <w:p>
      <w:pPr>
        <w:pBdr/>
        <w:pStyle w:val="Normal"/>
        <w:spacing/>
        <w:ind/>
        <w:rPr>
          <w:rFonts w:ascii="Arial" w:eastAsia="Arial" w:hAnsi="Arial" w:cs="Arial"/>
        </w:rPr>
      </w:pPr>
      <w:r>
        <w:rPr>
          <w:rFonts w:ascii="Arial" w:eastAsia="Arial" w:hAnsi="Arial" w:cs="Arial"/>
        </w:rPr>
        <w:t xml:space="preserve">(4) Uz obavještavanje iz stavaka 1. i 3. ovoga članka tijelo nadležno za inspekcijske poslove za svaki provedeni koordinirani inspekcijski nadzor postrojenja za koja je izdana okolišna dozvola izrađuje izvješće o inspekcijskom nadzoru za javnost koje sadrži ocjenu usklađenosti rada postrojenja s uvjetima okolišne dozvole, zaključke provedenog nadzora i radnje potrebne za otklanjanje utvrđenih nepravilnosti, uz izostavljanje podataka zaštićenih kao poslovna tajna u skladu s posebnim propisima o tajnosti podataka.</w:t>
      </w:r>
    </w:p>
    <w:p>
      <w:pPr>
        <w:pBdr/>
        <w:pStyle w:val="Normal"/>
        <w:spacing/>
        <w:ind/>
        <w:rPr>
          <w:rFonts w:ascii="Arial" w:eastAsia="Arial" w:hAnsi="Arial" w:cs="Arial"/>
        </w:rPr>
      </w:pPr>
      <w:r>
        <w:rPr>
          <w:rFonts w:ascii="Arial" w:eastAsia="Arial" w:hAnsi="Arial" w:cs="Arial"/>
        </w:rPr>
        <w:t xml:space="preserve">(5) Tijelo nadležno za inspekcijske poslove objavljuje izvješće iz stavka 4. ovoga članka na svojim mrežnim stranicama u skladu s propisom o pravu na pristup informacijama najkasnije u roku od četiri mjeseca od dana provedenog nadzora.</w:t>
      </w:r>
    </w:p>
    <w:p>
      <w:pPr>
        <w:pBdr/>
        <w:pStyle w:val="Normal"/>
        <w:spacing/>
        <w:ind/>
        <w:rPr>
          <w:rFonts w:ascii="Arial" w:eastAsia="Arial" w:hAnsi="Arial" w:cs="Arial"/>
        </w:rPr>
      </w:pPr>
    </w:p>
    <w:p>
      <w:pPr>
        <w:pBdr/>
        <w:pStyle w:val="Heading 2"/>
        <w:spacing/>
        <w:ind/>
        <w:rPr/>
      </w:pPr>
      <w:r>
        <w:rPr/>
        <w:t xml:space="preserve">Prekršajne i kaznene prijave</w:t>
      </w:r>
    </w:p>
    <w:p>
      <w:pPr>
        <w:pBdr/>
        <w:pStyle w:val="Heading 2"/>
        <w:spacing/>
        <w:ind/>
        <w:rPr/>
      </w:pPr>
      <w:r>
        <w:rPr/>
        <w:t xml:space="preserve">Članak 330.</w:t>
      </w:r>
    </w:p>
    <w:p>
      <w:pPr>
        <w:pBdr/>
        <w:pStyle w:val="Normal"/>
        <w:spacing/>
        <w:ind/>
        <w:rPr>
          <w:rFonts w:ascii="Arial" w:eastAsia="Arial" w:hAnsi="Arial" w:cs="Arial"/>
        </w:rPr>
      </w:pPr>
      <w:r>
        <w:rPr>
          <w:rFonts w:ascii="Arial" w:eastAsia="Arial" w:hAnsi="Arial" w:cs="Arial"/>
        </w:rPr>
        <w:t xml:space="preserve">Ako se inspekcijskim nadzorom utvrdi povredu odredbi ovoga Zakona ili propisa donesenih na temelju ovoga Zakona, tijelo nadležno za inspekcijske poslove:</w:t>
      </w:r>
    </w:p>
    <w:p>
      <w:pPr>
        <w:pBdr/>
        <w:pStyle w:val="Normal"/>
        <w:spacing/>
        <w:ind/>
        <w:rPr>
          <w:rFonts w:ascii="Arial" w:eastAsia="Arial" w:hAnsi="Arial" w:cs="Arial"/>
        </w:rPr>
      </w:pPr>
      <w:r>
        <w:rPr>
          <w:rFonts w:ascii="Arial" w:eastAsia="Arial" w:hAnsi="Arial" w:cs="Arial"/>
          <w:color w:val="000000"/>
        </w:rPr>
        <w:t xml:space="preserve">- podnosi optužni prijedlog ako su ispunjeni uvjeti propisani propisima  kojima se uređuju prekršaji i prekršajni postupak </w:t>
      </w:r>
    </w:p>
    <w:p>
      <w:pPr>
        <w:pBdr/>
        <w:pStyle w:val="Normal"/>
        <w:spacing/>
        <w:ind/>
        <w:rPr>
          <w:rFonts w:ascii="Arial" w:eastAsia="Arial" w:hAnsi="Arial" w:cs="Arial"/>
        </w:rPr>
      </w:pPr>
      <w:r>
        <w:rPr>
          <w:rFonts w:ascii="Arial" w:eastAsia="Arial" w:hAnsi="Arial" w:cs="Arial"/>
          <w:color w:val="000000"/>
        </w:rPr>
        <w:t xml:space="preserve">- podnosi kaznenu prijavu nadležnom tijelu ako postoji osnovana sumnja da je počinjeno kazneno djelo</w:t>
      </w:r>
    </w:p>
    <w:p>
      <w:pPr>
        <w:pBdr/>
        <w:pStyle w:val="Normal"/>
        <w:spacing/>
        <w:ind/>
        <w:rPr>
          <w:rFonts w:ascii="Arial" w:eastAsia="Arial" w:hAnsi="Arial" w:cs="Arial"/>
        </w:rPr>
      </w:pPr>
      <w:r>
        <w:rPr>
          <w:rFonts w:ascii="Arial" w:eastAsia="Arial" w:hAnsi="Arial" w:cs="Arial"/>
        </w:rPr>
        <w:t xml:space="preserve">- poduzima druge mjere i obavlja druge radnje za koje je ovlašteno ovim Zakonom i posebnim propisima iz područja zaštite prirode, voda, zraka, gospodarenja otpadom, buke, svjetlosnog onečišćenja i dr.</w:t>
      </w:r>
    </w:p>
    <w:p>
      <w:pPr>
        <w:pBdr/>
        <w:pStyle w:val="Normal"/>
        <w:spacing/>
        <w:ind/>
        <w:rPr>
          <w:rFonts w:ascii="Arial" w:eastAsia="Arial" w:hAnsi="Arial" w:cs="Arial"/>
        </w:rPr>
      </w:pPr>
    </w:p>
    <w:p>
      <w:pPr>
        <w:pBdr/>
        <w:pStyle w:val="Heading 2"/>
        <w:spacing/>
        <w:ind/>
        <w:rPr/>
      </w:pPr>
      <w:r>
        <w:rPr/>
        <w:t xml:space="preserve">Članak 331.</w:t>
      </w:r>
    </w:p>
    <w:p>
      <w:pPr>
        <w:pBdr/>
        <w:pStyle w:val="Normal"/>
        <w:spacing/>
        <w:ind/>
        <w:rPr>
          <w:rFonts w:ascii="Arial" w:eastAsia="Arial" w:hAnsi="Arial" w:cs="Arial"/>
        </w:rPr>
      </w:pPr>
      <w:r>
        <w:rPr>
          <w:rFonts w:ascii="Arial" w:eastAsia="Arial" w:hAnsi="Arial" w:cs="Arial"/>
        </w:rPr>
        <w:t xml:space="preserve">Ako se u inspekcijskom nadzoru, koordiniranom inspekcijskom nadzoru odnosno koordiniranom Seveso nadzoru utvrdi povreda odredbi ovoga Zakona ili propisa donesenih na temelju ovoga Zakona koje se odnosi na pojedinu sastavnicu okoliša ili zaštitu od utjecaja opterećenja na okoliš, inspekcijske službe nadležne za provedbu nadzora iz članka 288.,</w:t>
      </w:r>
      <w:r>
        <w:rPr>
          <w:rFonts w:ascii="Arial" w:eastAsia="Arial" w:hAnsi="Arial" w:cs="Arial"/>
          <w:color w:val="FF0000"/>
        </w:rPr>
        <w:t xml:space="preserve"> </w:t>
      </w:r>
      <w:r>
        <w:rPr>
          <w:rFonts w:ascii="Arial" w:eastAsia="Arial" w:hAnsi="Arial" w:cs="Arial"/>
        </w:rPr>
        <w:t xml:space="preserve">svaka u okviru svoje nadležnosti:</w:t>
      </w:r>
    </w:p>
    <w:p>
      <w:pPr>
        <w:pBdr/>
        <w:pStyle w:val="Normal"/>
        <w:spacing/>
        <w:ind/>
        <w:rPr>
          <w:rFonts w:ascii="Arial" w:eastAsia="Arial" w:hAnsi="Arial" w:cs="Arial"/>
        </w:rPr>
      </w:pPr>
      <w:r>
        <w:rPr>
          <w:rFonts w:ascii="Arial" w:eastAsia="Arial" w:hAnsi="Arial" w:cs="Arial"/>
        </w:rPr>
        <w:t xml:space="preserve">- podnose optužni prijedlog ako su ispunjeni uvjeti propisani propisima kojima se uređuju prekršaji i prekršajni postupak </w:t>
      </w:r>
    </w:p>
    <w:p>
      <w:pPr>
        <w:pBdr/>
        <w:pStyle w:val="Normal"/>
        <w:spacing/>
        <w:ind/>
        <w:rPr>
          <w:rFonts w:ascii="Arial" w:eastAsia="Arial" w:hAnsi="Arial" w:cs="Arial"/>
        </w:rPr>
      </w:pPr>
      <w:r>
        <w:rPr>
          <w:rFonts w:ascii="Arial" w:eastAsia="Arial" w:hAnsi="Arial" w:cs="Arial"/>
        </w:rPr>
        <w:t xml:space="preserve">- podnose kaznenu prijavu nadležnom tijelu ako postoji osnovana sumnja da je počinjeno kazneno djelo.</w:t>
      </w:r>
    </w:p>
    <w:p>
      <w:pPr>
        <w:pBdr/>
        <w:pStyle w:val="Normal"/>
        <w:spacing/>
        <w:ind/>
        <w:rPr>
          <w:rFonts w:ascii="Arial" w:eastAsia="Arial" w:hAnsi="Arial" w:cs="Arial"/>
          <w:b/>
        </w:rPr>
      </w:pPr>
    </w:p>
    <w:p>
      <w:pPr>
        <w:pBdr/>
        <w:pStyle w:val="Heading 1"/>
        <w:spacing/>
        <w:ind/>
        <w:rPr>
          <w:rFonts w:ascii="Arial" w:eastAsia="Arial" w:hAnsi="Arial" w:cs="Arial"/>
          <w:szCs w:val="24"/>
        </w:rPr>
      </w:pPr>
      <w:r>
        <w:rPr>
          <w:rFonts w:ascii="Arial" w:eastAsia="Arial" w:hAnsi="Arial" w:cs="Arial"/>
          <w:szCs w:val="24"/>
        </w:rPr>
        <w:t xml:space="preserve">DIO PETNAESTI NAKNADA ŠTETE ZA ZDRAVLJE LJUDI</w:t>
      </w:r>
    </w:p>
    <w:p>
      <w:pPr>
        <w:pBdr/>
        <w:pStyle w:val="Heading 2"/>
        <w:spacing/>
        <w:ind/>
        <w:rPr/>
      </w:pPr>
      <w:r>
        <w:rPr/>
        <w:t xml:space="preserve">Šteta za zdravlje ljudi</w:t>
      </w:r>
    </w:p>
    <w:p>
      <w:pPr>
        <w:pBdr/>
        <w:pStyle w:val="Heading 2"/>
        <w:spacing/>
        <w:ind/>
        <w:rPr/>
      </w:pPr>
      <w:r>
        <w:rPr/>
        <w:t xml:space="preserve">Članak 332.</w:t>
      </w:r>
    </w:p>
    <w:p>
      <w:pPr>
        <w:pBdr/>
        <w:pStyle w:val="Normal"/>
        <w:spacing/>
        <w:ind/>
        <w:rPr>
          <w:rFonts w:ascii="Arial" w:eastAsia="Arial" w:hAnsi="Arial" w:cs="Arial"/>
        </w:rPr>
      </w:pPr>
      <w:r>
        <w:rPr>
          <w:rFonts w:ascii="Arial" w:eastAsia="Arial" w:hAnsi="Arial" w:cs="Arial"/>
        </w:rPr>
        <w:t xml:space="preserve">(1) Za štetu za zdravlje ljudi nastalu zbog povrede odredbi ovoga Zakona kojima se uređuje okolišna dozvola i registracija postrojenja za uzgoj životinja, propisa donesenih na temelju tih odredbi, uvjeta iz okolišne dozvole ili operativnih pravila odgovara onečišćivač, odnosno pravna ili fizička osoba koja je prouzročila štetu, u skladu s propisima kojima se uređuju obvezni odnosi. </w:t>
      </w:r>
    </w:p>
    <w:p>
      <w:pPr>
        <w:pBdr/>
        <w:pStyle w:val="Normal"/>
        <w:spacing/>
        <w:ind/>
        <w:rPr>
          <w:rFonts w:ascii="Arial" w:eastAsia="Arial" w:hAnsi="Arial" w:cs="Arial"/>
        </w:rPr>
      </w:pPr>
      <w:r>
        <w:rPr>
          <w:rFonts w:ascii="Arial" w:eastAsia="Arial" w:hAnsi="Arial" w:cs="Arial"/>
        </w:rPr>
        <w:t xml:space="preserve">(2) Rok za ostvarivanje prava na naknadu štete iz stavka 1. ne počinje teći prije prestanka  povrede ni prije nego što je osoba koja traži naknadu saznala ili se razumno moglo očekivati da je saznala da je pretrpjela štetu zbog te povrede.</w:t>
      </w:r>
    </w:p>
    <w:p>
      <w:pPr>
        <w:pBdr/>
        <w:pStyle w:val="Normal"/>
        <w:spacing/>
        <w:ind/>
        <w:rPr>
          <w:rFonts w:ascii="Arial" w:eastAsia="Arial" w:hAnsi="Arial" w:cs="Arial"/>
        </w:rPr>
      </w:pPr>
    </w:p>
    <w:p>
      <w:pPr>
        <w:pBdr/>
        <w:pStyle w:val="Heading 1"/>
        <w:spacing/>
        <w:ind/>
        <w:rPr>
          <w:rFonts w:ascii="Arial" w:eastAsia="Arial" w:hAnsi="Arial" w:cs="Arial"/>
          <w:szCs w:val="24"/>
        </w:rPr>
      </w:pPr>
      <w:bookmarkStart w:name="_Toc237275936" w:id="44"/>
      <w:r>
        <w:rPr>
          <w:rFonts w:ascii="Arial" w:eastAsia="Arial" w:hAnsi="Arial" w:cs="Arial"/>
          <w:szCs w:val="24"/>
        </w:rPr>
        <w:t xml:space="preserve">DIO ŠESNAESTI PREKRŠAJNE ODREDBE</w:t>
      </w:r>
      <w:bookmarkEnd w:id="44"/>
    </w:p>
    <w:p>
      <w:pPr>
        <w:pBdr/>
        <w:pStyle w:val="Heading 2"/>
        <w:spacing/>
        <w:ind/>
        <w:rPr>
          <w:strike/>
        </w:rPr>
      </w:pPr>
      <w:r>
        <w:rPr/>
        <w:t xml:space="preserve">Prekršaji operatera za nezakonit rad</w:t>
      </w:r>
    </w:p>
    <w:p>
      <w:pPr>
        <w:pBdr/>
        <w:pStyle w:val="Heading 2"/>
        <w:spacing/>
        <w:ind/>
        <w:rPr/>
      </w:pPr>
      <w:r>
        <w:rPr/>
        <w:t xml:space="preserve">Članak 333.</w:t>
      </w:r>
    </w:p>
    <w:p>
      <w:pPr>
        <w:pBdr/>
        <w:pStyle w:val="Normal"/>
        <w:spacing/>
        <w:ind/>
        <w:rPr>
          <w:rFonts w:ascii="Arial" w:eastAsia="Arial" w:hAnsi="Arial" w:cs="Arial"/>
        </w:rPr>
      </w:pPr>
      <w:r>
        <w:rPr>
          <w:rFonts w:ascii="Arial" w:eastAsia="Arial" w:hAnsi="Arial" w:cs="Arial"/>
        </w:rPr>
        <w:t xml:space="preserve">(1) Novčanom kaznom u iznosu do 3 % ukupnog godišnjeg prometa operatera ostvarenog u Europskoj uniji u financijskoj godini koja prethodi godini u kojoj je izrečena novčana kazna, kaznit će se za prekršaj pravna osoba koja kao operater:</w:t>
      </w:r>
    </w:p>
    <w:p>
      <w:pPr>
        <w:pBdr/>
        <w:pStyle w:val="Normal"/>
        <w:spacing/>
        <w:ind/>
        <w:rPr>
          <w:rFonts w:ascii="Arial" w:eastAsia="Arial" w:hAnsi="Arial" w:cs="Arial"/>
        </w:rPr>
      </w:pPr>
      <w:r>
        <w:rPr>
          <w:rFonts w:ascii="Arial" w:eastAsia="Arial" w:hAnsi="Arial" w:cs="Arial"/>
        </w:rPr>
        <w:t xml:space="preserve">1. započne s radom ili radi bez izvršne okolišne dozvole, izmjene i/ili dopune okolišne dozvole (članak 76. stavak 1. i 3. i članak 120. stavak 4.)</w:t>
      </w:r>
    </w:p>
    <w:p>
      <w:pPr>
        <w:pBdr/>
        <w:pStyle w:val="Normal"/>
        <w:spacing/>
        <w:ind/>
        <w:rPr>
          <w:rFonts w:ascii="Arial" w:eastAsia="Arial" w:hAnsi="Arial" w:cs="Arial"/>
        </w:rPr>
      </w:pPr>
      <w:r>
        <w:rPr>
          <w:rFonts w:ascii="Arial" w:eastAsia="Arial" w:hAnsi="Arial" w:cs="Arial"/>
        </w:rPr>
        <w:t xml:space="preserve">2. započne rad ili radi bez izvršnog rješenja o registraciji postrojenja (članak 161. stavak 4.)</w:t>
      </w:r>
    </w:p>
    <w:p>
      <w:pPr>
        <w:pBdr/>
        <w:pStyle w:val="Normal"/>
        <w:spacing/>
        <w:ind/>
        <w:rPr>
          <w:rFonts w:ascii="Arial" w:eastAsia="Arial" w:hAnsi="Arial" w:cs="Arial"/>
        </w:rPr>
      </w:pPr>
      <w:r>
        <w:rPr>
          <w:rFonts w:ascii="Arial" w:eastAsia="Arial" w:hAnsi="Arial" w:cs="Arial"/>
        </w:rPr>
        <w:t xml:space="preserve">3. provede značajnu promjenu za koju je Ministarstvo utvrdilo da je potrebno podnijeti zahtjev za novu registraciju prije izvršnosti novog rješenja o registraciji (članak 160. stavak 3.)</w:t>
      </w:r>
    </w:p>
    <w:p>
      <w:pPr>
        <w:pBdr/>
        <w:pStyle w:val="Normal"/>
        <w:spacing/>
        <w:ind/>
        <w:rPr>
          <w:rFonts w:ascii="Arial" w:eastAsia="Arial" w:hAnsi="Arial" w:cs="Arial"/>
        </w:rPr>
      </w:pPr>
      <w:r>
        <w:rPr>
          <w:rFonts w:ascii="Arial" w:eastAsia="Arial" w:hAnsi="Arial" w:cs="Arial"/>
        </w:rPr>
        <w:t xml:space="preserve">4. ne prekine odmah rad postrojenja ili njegova odgovarajućeg dijela u slučaju iz članka 152. stavka 2. ovoga Zakona ili ne postupi po rješenju inspektora kojim je zabranjen rad postrojenja ili njegova odgovarajućeg dijela (članak 303. stavci 3. i 4. i članak 306. stavak 2.).</w:t>
      </w:r>
    </w:p>
    <w:p>
      <w:pPr>
        <w:pBdr/>
        <w:pStyle w:val="Normal"/>
        <w:spacing/>
        <w:ind/>
        <w:rPr>
          <w:rFonts w:ascii="Arial" w:eastAsia="Arial" w:hAnsi="Arial" w:cs="Arial"/>
        </w:rPr>
      </w:pPr>
      <w:r>
        <w:rPr>
          <w:rFonts w:ascii="Arial" w:eastAsia="Arial" w:hAnsi="Arial" w:cs="Arial"/>
        </w:rPr>
        <w:t xml:space="preserve">(2) Iznimno od stavka 1. ovoga članka, ako nije moguće utvrditi ukupan godišnji promet operatera ili ako operater nije ostvario promet u financijskoj godini koja prethodi godini u kojoj je izrečena novčana kazna, pravna osoba iz stavka 1. ovoga članka kaznit će se za prekršaj novčanom kaznom u iznosu od 40.000,00 do 120.000,00 eura. </w:t>
      </w:r>
    </w:p>
    <w:p>
      <w:pPr>
        <w:pBdr/>
        <w:pStyle w:val="Normal"/>
        <w:spacing/>
        <w:ind/>
        <w:rPr>
          <w:rFonts w:ascii="Arial" w:eastAsia="Arial" w:hAnsi="Arial" w:cs="Arial"/>
        </w:rPr>
      </w:pPr>
      <w:r>
        <w:rPr>
          <w:rFonts w:ascii="Arial" w:eastAsia="Arial" w:hAnsi="Arial" w:cs="Arial"/>
        </w:rPr>
        <w:t xml:space="preserve">(3) Za prekršaje iz stavka 1. ovoga članka kaznit će se i odgovorna osoba u pravnoj osobi novčanom kaznom u iznosu od 2.000,00 do 5.000,00 eura.</w:t>
      </w:r>
    </w:p>
    <w:p>
      <w:pPr>
        <w:pBdr/>
        <w:pStyle w:val="Normal"/>
        <w:spacing/>
        <w:ind/>
        <w:rPr>
          <w:rFonts w:ascii="Arial" w:eastAsia="Arial" w:hAnsi="Arial" w:cs="Arial"/>
          <w:i/>
          <w:iCs/>
        </w:rPr>
      </w:pPr>
    </w:p>
    <w:p>
      <w:pPr>
        <w:pBdr/>
        <w:pStyle w:val="Heading 2"/>
        <w:spacing/>
        <w:ind/>
        <w:rPr/>
      </w:pPr>
      <w:r>
        <w:rPr/>
        <w:t xml:space="preserve">Prekršaji u području okolišne dozvole</w:t>
      </w:r>
    </w:p>
    <w:p>
      <w:pPr>
        <w:pBdr/>
        <w:pStyle w:val="Heading 2"/>
        <w:spacing/>
        <w:ind/>
        <w:rPr/>
      </w:pPr>
      <w:r>
        <w:rPr/>
        <w:t xml:space="preserve">Članak 334.</w:t>
      </w:r>
    </w:p>
    <w:p>
      <w:pPr>
        <w:pBdr/>
        <w:pStyle w:val="Normal"/>
        <w:spacing/>
        <w:ind/>
        <w:rPr>
          <w:rFonts w:ascii="Arial" w:eastAsia="Arial" w:hAnsi="Arial" w:cs="Arial"/>
        </w:rPr>
      </w:pPr>
      <w:r>
        <w:rPr>
          <w:rFonts w:ascii="Arial" w:eastAsia="Arial" w:hAnsi="Arial" w:cs="Arial"/>
        </w:rPr>
        <w:t xml:space="preserve">(1) Novčanom kaznom u iznosu od 15.000,00 do 50.000,00 eura kaznit će se za prekršaj pravna osoba koja kao operater postrojenja s okolišnom dozvolom:</w:t>
      </w:r>
    </w:p>
    <w:p>
      <w:pPr>
        <w:pBdr/>
        <w:pStyle w:val="Normal"/>
        <w:spacing/>
        <w:ind/>
        <w:rPr>
          <w:rFonts w:ascii="Arial" w:eastAsia="Arial" w:hAnsi="Arial" w:cs="Arial"/>
        </w:rPr>
      </w:pPr>
      <w:r>
        <w:rPr>
          <w:rFonts w:ascii="Arial" w:eastAsia="Arial" w:hAnsi="Arial" w:cs="Arial"/>
        </w:rPr>
        <w:t xml:space="preserve">1. ne dostavi Ministarstvu dokumentaciju i dokaze potrebne za postupak preispitivanja u roku iz članka 126. stavka 1. odnosno članka 139. stavka 1. ovoga Zakona (članak 126. stavak 1. i članak 139. stavak 1.)</w:t>
      </w:r>
    </w:p>
    <w:p>
      <w:pPr>
        <w:pBdr/>
        <w:pStyle w:val="Normal"/>
        <w:spacing/>
        <w:ind/>
        <w:rPr>
          <w:rFonts w:ascii="Arial" w:eastAsia="Arial" w:hAnsi="Arial" w:cs="Arial"/>
        </w:rPr>
      </w:pPr>
      <w:r>
        <w:rPr>
          <w:rFonts w:ascii="Arial" w:eastAsia="Arial" w:hAnsi="Arial" w:cs="Arial"/>
        </w:rPr>
        <w:t xml:space="preserve">2. ne uskladi rad postrojenja s izmijenjenim i/ili dopunjenim</w:t>
      </w:r>
      <w:r>
        <w:rPr>
          <w:rFonts w:ascii="Arial" w:eastAsia="Arial" w:hAnsi="Arial" w:cs="Arial"/>
          <w:b/>
          <w:bCs/>
        </w:rPr>
        <w:t xml:space="preserve"> </w:t>
      </w:r>
      <w:r>
        <w:rPr>
          <w:rFonts w:ascii="Arial" w:eastAsia="Arial" w:hAnsi="Arial" w:cs="Arial"/>
        </w:rPr>
        <w:t xml:space="preserve">uvjetima okolišne dozvole najkasnije u roku od četiri godine od dana objave odluke Europske komisije iz članka 125. stavka 1. ovoga Zakona (članak 125. stavak 2.)</w:t>
      </w:r>
    </w:p>
    <w:p>
      <w:pPr>
        <w:pBdr/>
        <w:pStyle w:val="Normal"/>
        <w:spacing/>
        <w:ind/>
        <w:rPr>
          <w:rFonts w:ascii="Arial" w:eastAsia="Arial" w:hAnsi="Arial" w:cs="Arial"/>
        </w:rPr>
      </w:pPr>
      <w:r>
        <w:rPr>
          <w:rFonts w:ascii="Arial" w:eastAsia="Arial" w:hAnsi="Arial" w:cs="Arial"/>
        </w:rPr>
        <w:t xml:space="preserve">3. ne dostavi Ministarstvu analizu mogućnosti onečišćenja tla i podzemnih voda u roku iz članka 355. stavka 1. ovoga Zakona odnosno, ako je utvrđena obveza izrade temeljnog izvješća, ne dostavi Ministarstvu temeljno izvješće u roku iz članka 356. stavka 1. ovoga Zakona</w:t>
      </w:r>
    </w:p>
    <w:p>
      <w:pPr>
        <w:pBdr/>
        <w:pStyle w:val="Normal"/>
        <w:spacing/>
        <w:ind/>
        <w:rPr>
          <w:rFonts w:ascii="Arial" w:eastAsia="Arial" w:hAnsi="Arial" w:cs="Arial"/>
        </w:rPr>
      </w:pPr>
      <w:r>
        <w:rPr>
          <w:rFonts w:ascii="Arial" w:eastAsia="Arial" w:hAnsi="Arial" w:cs="Arial"/>
        </w:rPr>
        <w:t xml:space="preserve">4. obavlja djelatnost u postrojenju protivno uvjetima i mjerama utvrđenima u okolišnoj dozvoli (članak 75. stavak 2. i članak 94. stavak 2.) </w:t>
      </w:r>
    </w:p>
    <w:p>
      <w:pPr>
        <w:pBdr/>
        <w:pStyle w:val="Normal"/>
        <w:spacing/>
        <w:ind/>
        <w:rPr>
          <w:rFonts w:ascii="Arial" w:eastAsia="Arial" w:hAnsi="Arial" w:cs="Arial"/>
        </w:rPr>
      </w:pPr>
      <w:r>
        <w:rPr>
          <w:rFonts w:ascii="Arial" w:eastAsia="Arial" w:hAnsi="Arial" w:cs="Arial"/>
        </w:rPr>
        <w:t xml:space="preserve">5. u slučaju izvanrednog događaja ili nesreće odmah ne obavijesti nadležna tijela, ne poduzme mjere radi ograničavanja posljedica i sprječavanja mogućih daljnjih izvanrednih događaja ili nesreća ili ne poduzme dodatne mjere naređene rješenjem nadležnog inspektora (članak 151.)</w:t>
      </w:r>
    </w:p>
    <w:p>
      <w:pPr>
        <w:pBdr/>
        <w:pStyle w:val="Normal"/>
        <w:spacing/>
        <w:ind/>
        <w:rPr>
          <w:rFonts w:ascii="Arial" w:eastAsia="Arial" w:hAnsi="Arial" w:cs="Arial"/>
        </w:rPr>
      </w:pPr>
      <w:r>
        <w:rPr>
          <w:rFonts w:ascii="Arial" w:eastAsia="Arial" w:hAnsi="Arial" w:cs="Arial"/>
        </w:rPr>
        <w:t xml:space="preserve">6. u slučaju kršenja uvjeta okolišne dozvole odmah ne obavijesti Ministarstvo i tijelo nadležno za inspekcijske poslove u području zaštite okoliša, ne poduzme mjere radi ponovnog postizanja sukladnosti u najkraćem mogućem roku ili ne poduzme posebne i dodatne mjere naređene rješenjem nadležnog inspektora (članak 152. stavak 1.)</w:t>
      </w:r>
    </w:p>
    <w:p>
      <w:pPr>
        <w:pBdr/>
        <w:pStyle w:val="Normal"/>
        <w:spacing/>
        <w:ind/>
        <w:rPr>
          <w:rFonts w:ascii="Arial" w:eastAsia="Arial" w:hAnsi="Arial" w:cs="Arial"/>
        </w:rPr>
      </w:pPr>
      <w:r>
        <w:rPr>
          <w:rFonts w:ascii="Arial" w:eastAsia="Arial" w:hAnsi="Arial" w:cs="Arial"/>
        </w:rPr>
        <w:t xml:space="preserve">7. ne uključi plan preobrazbe u EMS ili ne osigura ocjenu njegove usklađenosti u rokovima propisanim člankom 135. stavcima 2. do 5. ovoga Zakona</w:t>
      </w:r>
    </w:p>
    <w:p>
      <w:pPr>
        <w:pBdr/>
        <w:pStyle w:val="Normal"/>
        <w:spacing/>
        <w:ind/>
        <w:rPr>
          <w:rFonts w:ascii="Arial" w:eastAsia="Arial" w:hAnsi="Arial" w:cs="Arial"/>
        </w:rPr>
      </w:pPr>
      <w:r>
        <w:rPr>
          <w:rFonts w:ascii="Arial" w:eastAsia="Arial" w:hAnsi="Arial" w:cs="Arial"/>
        </w:rPr>
        <w:t xml:space="preserve">8. ne osigura praćenje emisija sukladno uvjetima iz okolišne dozvole (članak 113. stavci 1. i  članak 116. stavak 1.)</w:t>
      </w:r>
    </w:p>
    <w:p>
      <w:pPr>
        <w:pBdr/>
        <w:pStyle w:val="Normal"/>
        <w:spacing/>
        <w:ind/>
        <w:rPr>
          <w:rFonts w:ascii="Arial" w:eastAsia="Arial" w:hAnsi="Arial" w:cs="Arial"/>
        </w:rPr>
      </w:pPr>
      <w:r>
        <w:rPr>
          <w:rFonts w:ascii="Arial" w:eastAsia="Arial" w:hAnsi="Arial" w:cs="Arial"/>
        </w:rPr>
        <w:t xml:space="preserve">9. ne provede mjere određene rješenjem iz članka 145. stavka 1. odnosno članka 146. stavka 3. ovoga Zakona</w:t>
      </w:r>
    </w:p>
    <w:p>
      <w:pPr>
        <w:pBdr/>
        <w:pStyle w:val="Normal"/>
        <w:spacing/>
        <w:ind/>
        <w:rPr>
          <w:rFonts w:ascii="Arial" w:eastAsia="Arial" w:hAnsi="Arial" w:cs="Arial"/>
        </w:rPr>
      </w:pPr>
      <w:r>
        <w:rPr>
          <w:rFonts w:ascii="Arial" w:eastAsia="Arial" w:hAnsi="Arial" w:cs="Arial"/>
        </w:rPr>
        <w:t xml:space="preserve">10. ne pripremi, ne uspostavi, ne provodi ili redovito ne ažurira EMS odnosno ne osigura njegovu reviziju u propisanom roku (članak 80. stavak 1., članak 81. stavak 1. i članak 357.)</w:t>
      </w:r>
    </w:p>
    <w:p>
      <w:pPr>
        <w:pBdr/>
        <w:pStyle w:val="Normal"/>
        <w:spacing/>
        <w:ind/>
        <w:rPr>
          <w:rFonts w:ascii="Arial" w:eastAsia="Arial" w:hAnsi="Arial" w:cs="Arial"/>
        </w:rPr>
      </w:pPr>
      <w:r>
        <w:rPr>
          <w:rFonts w:ascii="Arial" w:eastAsia="Arial" w:hAnsi="Arial" w:cs="Arial"/>
        </w:rPr>
        <w:t xml:space="preserve">11. ne ispunjava uvjete, mjere i ključne etape provedbe utvrđene okolišnom dozvolom (članak 140. stavak 1.)</w:t>
      </w:r>
    </w:p>
    <w:p>
      <w:pPr>
        <w:pBdr/>
        <w:pStyle w:val="Normal"/>
        <w:spacing/>
        <w:ind/>
        <w:rPr>
          <w:rFonts w:ascii="Arial" w:eastAsia="Arial" w:hAnsi="Arial" w:cs="Arial"/>
        </w:rPr>
      </w:pPr>
      <w:r>
        <w:rPr>
          <w:rFonts w:ascii="Arial" w:eastAsia="Arial" w:hAnsi="Arial" w:cs="Arial"/>
        </w:rPr>
        <w:t xml:space="preserve">12. dostavi netočne ili nepotpune podatke koji su bitno utjecali na izdavanje okolišne dozvole odnosno utvrđivanje njezinih uvjeta (članak 85. stavak 1. i članak 131. stavak 1.)</w:t>
      </w:r>
    </w:p>
    <w:p>
      <w:pPr>
        <w:pBdr/>
        <w:pStyle w:val="Normal"/>
        <w:spacing/>
        <w:ind/>
        <w:rPr>
          <w:rFonts w:ascii="Arial" w:eastAsia="Arial" w:hAnsi="Arial" w:cs="Arial"/>
        </w:rPr>
      </w:pPr>
      <w:r>
        <w:rPr>
          <w:rFonts w:ascii="Arial" w:eastAsia="Arial" w:hAnsi="Arial" w:cs="Arial"/>
        </w:rPr>
        <w:t xml:space="preserve">13. na zahtjev Ministarstva ne dostavi informacije potrebne za preispitivanje uvjeta okolišne dozvole (članak 124. stavak 2.)</w:t>
      </w:r>
    </w:p>
    <w:p>
      <w:pPr>
        <w:pBdr/>
        <w:pStyle w:val="Normal"/>
        <w:spacing/>
        <w:ind/>
        <w:rPr>
          <w:rFonts w:ascii="Arial" w:eastAsia="Arial" w:hAnsi="Arial" w:cs="Arial"/>
        </w:rPr>
      </w:pPr>
      <w:r>
        <w:rPr>
          <w:rFonts w:ascii="Arial" w:eastAsia="Arial" w:hAnsi="Arial" w:cs="Arial"/>
        </w:rPr>
        <w:t xml:space="preserve">14. odmah ne obavijesti Ministarstvo o prestanku postojanja razloga zbog kojih je odobreno odstupanje u slučaju krize zbog izvanrednih okolnosti (članak 111. stavak 2.).</w:t>
      </w:r>
    </w:p>
    <w:p>
      <w:pPr>
        <w:pBdr/>
        <w:pStyle w:val="Normal"/>
        <w:spacing/>
        <w:ind/>
        <w:rPr>
          <w:rFonts w:ascii="Arial" w:eastAsia="Arial" w:hAnsi="Arial" w:cs="Arial"/>
        </w:rPr>
      </w:pPr>
      <w:r>
        <w:rPr>
          <w:rFonts w:ascii="Arial" w:eastAsia="Arial" w:hAnsi="Arial" w:cs="Arial"/>
        </w:rPr>
        <w:t xml:space="preserve">(2) Za prekršaje iz stavka 1. ovoga članka kaznit će se i odgovorna osoba u pravnoj osobi novčanom kaznom u iznosu od 1.500,00 do 3.000,00 eura.</w:t>
      </w:r>
    </w:p>
    <w:p>
      <w:pPr>
        <w:pBdr/>
        <w:pStyle w:val="Normal"/>
        <w:spacing/>
        <w:ind/>
        <w:rPr>
          <w:rFonts w:ascii="Arial" w:eastAsia="Arial" w:hAnsi="Arial" w:cs="Arial"/>
          <w:i/>
          <w:iCs/>
        </w:rPr>
      </w:pPr>
    </w:p>
    <w:p>
      <w:pPr>
        <w:pBdr/>
        <w:pStyle w:val="Heading 2"/>
        <w:spacing/>
        <w:ind/>
        <w:rPr/>
      </w:pPr>
      <w:r>
        <w:rPr/>
        <w:t xml:space="preserve">Prekršaji u području uzgoja životinja</w:t>
      </w:r>
    </w:p>
    <w:p>
      <w:pPr>
        <w:pBdr/>
        <w:pStyle w:val="Heading 2"/>
        <w:spacing/>
        <w:ind/>
        <w:rPr/>
      </w:pPr>
      <w:r>
        <w:rPr/>
        <w:t xml:space="preserve">Članak 335.</w:t>
      </w:r>
    </w:p>
    <w:p>
      <w:pPr>
        <w:pBdr/>
        <w:pStyle w:val="Normal"/>
        <w:spacing/>
        <w:ind/>
        <w:rPr>
          <w:rFonts w:ascii="Arial" w:eastAsia="Arial" w:hAnsi="Arial" w:cs="Arial"/>
        </w:rPr>
      </w:pPr>
      <w:r>
        <w:rPr>
          <w:rFonts w:ascii="Arial" w:eastAsia="Arial" w:hAnsi="Arial" w:cs="Arial"/>
        </w:rPr>
        <w:t xml:space="preserve">(1) Novčanom kaznom u iznosu od 10.000,00 do 35.000,00 eura kaznit će se za prekršaj pravna osoba koja kao operater postrojenja za uzgoj životinja iz članka 155. ovoga Zakona:</w:t>
      </w:r>
    </w:p>
    <w:p>
      <w:pPr>
        <w:pBdr/>
        <w:pStyle w:val="Normal"/>
        <w:spacing/>
        <w:ind/>
        <w:rPr>
          <w:rFonts w:ascii="Arial" w:eastAsia="Arial" w:hAnsi="Arial" w:cs="Arial"/>
        </w:rPr>
      </w:pPr>
      <w:r>
        <w:rPr>
          <w:rFonts w:ascii="Arial" w:eastAsia="Arial" w:hAnsi="Arial" w:cs="Arial"/>
        </w:rPr>
        <w:t xml:space="preserve">1. obavlja djelatnost u postrojenju protivno operativnim pravilima (članak 164. stavak 1.)</w:t>
      </w:r>
    </w:p>
    <w:p>
      <w:pPr>
        <w:pBdr/>
        <w:pStyle w:val="Normal"/>
        <w:spacing/>
        <w:ind/>
        <w:rPr>
          <w:rFonts w:ascii="Arial" w:eastAsia="Arial" w:hAnsi="Arial" w:cs="Arial"/>
        </w:rPr>
      </w:pPr>
      <w:r>
        <w:rPr>
          <w:rFonts w:ascii="Arial" w:eastAsia="Arial" w:hAnsi="Arial" w:cs="Arial"/>
        </w:rPr>
        <w:t xml:space="preserve">2. ne provodi praćenje vrijednosti emisija i povezanih razina okolišne učinkovitosti u skladu s operativnim pravilima iz pravilnika iz članka 163. stavka 1. ovoga Zakona (članak 165. stavak 1.)</w:t>
      </w:r>
    </w:p>
    <w:p>
      <w:pPr>
        <w:pBdr/>
        <w:pStyle w:val="Normal"/>
        <w:spacing/>
        <w:ind/>
        <w:rPr>
          <w:rFonts w:ascii="Arial" w:eastAsia="Arial" w:hAnsi="Arial" w:cs="Arial"/>
        </w:rPr>
      </w:pPr>
      <w:r>
        <w:rPr>
          <w:rFonts w:ascii="Arial" w:eastAsia="Arial" w:hAnsi="Arial" w:cs="Arial"/>
        </w:rPr>
        <w:t xml:space="preserve">3. u slučaju nesukladnosti s graničnim vrijednostima emisija ili graničnim vrijednostima okolišne učinkovitosti odmah ne poduzme sve potrebne mjere radi ponovnog postizanja sukladnosti ili o tome odmah ne obavijesti tijelo nadležno za inspekcijske poslove (članak 166. stavak 1.)</w:t>
      </w:r>
    </w:p>
    <w:p>
      <w:pPr>
        <w:pBdr/>
        <w:pStyle w:val="Normal"/>
        <w:spacing/>
        <w:ind/>
        <w:rPr>
          <w:rFonts w:ascii="Arial" w:eastAsia="Arial" w:hAnsi="Arial" w:cs="Arial"/>
        </w:rPr>
      </w:pPr>
      <w:r>
        <w:rPr>
          <w:rFonts w:ascii="Arial" w:eastAsia="Arial" w:hAnsi="Arial" w:cs="Arial"/>
        </w:rPr>
        <w:t xml:space="preserve">4. ne poduzme mjere naređene rješenjem inspektora radi ponovnog postizanja sukladnosti (članak 306. stavak 1.)</w:t>
      </w:r>
    </w:p>
    <w:p>
      <w:pPr>
        <w:pBdr/>
        <w:pStyle w:val="Normal"/>
        <w:spacing/>
        <w:ind/>
        <w:rPr>
          <w:rFonts w:ascii="Arial" w:eastAsia="Arial" w:hAnsi="Arial" w:cs="Arial"/>
        </w:rPr>
      </w:pPr>
      <w:r>
        <w:rPr>
          <w:rFonts w:ascii="Arial" w:eastAsia="Arial" w:hAnsi="Arial" w:cs="Arial"/>
        </w:rPr>
        <w:t xml:space="preserve">5. na zahtjev tijela nadležnog za inspekcijske poslove odmah ne stavi na raspolaganje podatke i informacije potrebne za provjeru sukladnosti postrojenja za uzgoj životinja s operativnim pravilima (članak 167. stavak 2.)</w:t>
      </w:r>
    </w:p>
    <w:p>
      <w:pPr>
        <w:pBdr/>
        <w:pStyle w:val="Normal"/>
        <w:spacing/>
        <w:ind/>
        <w:rPr>
          <w:rFonts w:ascii="Arial" w:eastAsia="Arial" w:hAnsi="Arial" w:cs="Arial"/>
        </w:rPr>
      </w:pPr>
      <w:r>
        <w:rPr>
          <w:rFonts w:ascii="Arial" w:eastAsia="Arial" w:hAnsi="Arial" w:cs="Arial"/>
        </w:rPr>
        <w:t xml:space="preserve">6. ako je djelatnost uzgoja životinja obuhvaćena rješenjem o registraciji, ne obavijesti Ministarstvo o svakoj planiranoj značajnoj promjeni postrojenja koja bi mogla imati posljedice za okoliš prije početka provedbe takve promjene (članak 160. stavak 1.)</w:t>
      </w:r>
    </w:p>
    <w:p>
      <w:pPr>
        <w:pBdr/>
        <w:pStyle w:val="Normal"/>
        <w:spacing/>
        <w:ind/>
        <w:rPr>
          <w:rFonts w:ascii="Arial" w:eastAsia="Arial" w:hAnsi="Arial" w:cs="Arial"/>
        </w:rPr>
      </w:pPr>
      <w:r>
        <w:rPr>
          <w:rFonts w:ascii="Arial" w:eastAsia="Arial" w:hAnsi="Arial" w:cs="Arial"/>
        </w:rPr>
        <w:t xml:space="preserve">7. ne postupa u skladu s obvezama u vezi s gospodarenjem stajskim gnojem i rasprostiranjem na tlo otpada, nusproizvoda životinjskog podrijetla ili drugih ostataka nastalih u postrojenju iz članka 164. stavka 2. ovoga Zakona, ako time nisu ostvarena obilježja kaznenog djela</w:t>
      </w:r>
      <w:r>
        <w:rPr>
          <w:rFonts w:ascii="Arial" w:eastAsia="Arial" w:hAnsi="Arial" w:cs="Arial"/>
          <w:highlight w:val="yellow"/>
        </w:rPr>
        <w:t xml:space="preserve"> </w:t>
      </w:r>
    </w:p>
    <w:p>
      <w:pPr>
        <w:pBdr/>
        <w:pStyle w:val="Normal"/>
        <w:spacing/>
        <w:ind/>
        <w:rPr>
          <w:rFonts w:ascii="Arial" w:eastAsia="Arial" w:hAnsi="Arial" w:cs="Arial"/>
        </w:rPr>
      </w:pPr>
      <w:r>
        <w:rPr>
          <w:rFonts w:ascii="Arial" w:eastAsia="Arial" w:hAnsi="Arial" w:cs="Arial"/>
        </w:rPr>
        <w:t xml:space="preserve">8. ako je djelatnost uzgoja životinja obuhvaćena rješenjem o registraciji, u slučaju izvanrednog događaja ili nesreće odmah ne obavijesti nadležna tijela, ne poduzme mjere radi ograničavanja posljedica i sprječavanja mogućih daljnjih izvanrednih događaja ili nesreća ili ne poduzme dodatne mjere naređene rješenjem nadležnog inspektora (članak 166. stavak 2.)</w:t>
      </w:r>
    </w:p>
    <w:p>
      <w:pPr>
        <w:pBdr/>
        <w:pStyle w:val="Normal"/>
        <w:spacing/>
        <w:ind/>
        <w:rPr>
          <w:rFonts w:ascii="Arial" w:eastAsia="Arial" w:hAnsi="Arial" w:cs="Arial"/>
        </w:rPr>
      </w:pPr>
      <w:r>
        <w:rPr>
          <w:rFonts w:ascii="Arial" w:eastAsia="Arial" w:hAnsi="Arial" w:cs="Arial"/>
        </w:rPr>
        <w:t xml:space="preserve">9. u zahtjevu za registraciju navede netočne ili nepotpune podatke koji su bitno utjecali na izdavanje rješenja o registraciji (članak 159. stavak 3.)</w:t>
      </w:r>
    </w:p>
    <w:p>
      <w:pPr>
        <w:pBdr/>
        <w:pStyle w:val="Normal"/>
        <w:spacing/>
        <w:ind/>
        <w:rPr>
          <w:rFonts w:ascii="Arial" w:eastAsia="Arial" w:hAnsi="Arial" w:cs="Arial"/>
        </w:rPr>
      </w:pPr>
      <w:r>
        <w:rPr>
          <w:rFonts w:ascii="Arial" w:eastAsia="Arial" w:hAnsi="Arial" w:cs="Arial"/>
        </w:rPr>
        <w:t xml:space="preserve">(2) Za prekršaje iz stavka 1. ovoga članka kaznit će se odgovorna osoba u pravnoj osobi novčanom kaznom u iznosu od 1.000,00 do 2.500,00 eura.</w:t>
      </w:r>
    </w:p>
    <w:p>
      <w:pPr>
        <w:pBdr/>
        <w:pStyle w:val="Normal"/>
        <w:spacing/>
        <w:ind/>
        <w:rPr>
          <w:rFonts w:ascii="Arial" w:eastAsia="Arial" w:hAnsi="Arial" w:cs="Arial"/>
        </w:rPr>
      </w:pPr>
      <w:r>
        <w:rPr>
          <w:rFonts w:ascii="Arial" w:eastAsia="Arial" w:hAnsi="Arial" w:cs="Arial"/>
        </w:rPr>
        <w:t xml:space="preserve">(3) Novčanom kaznom u iznosu od 1.000,00 do 2.500,00 eura kaznit će se i fizička osoba – obrtnik za prekršaje iz stavka 1. ovoga članka. </w:t>
      </w:r>
    </w:p>
    <w:p>
      <w:pPr>
        <w:pBdr/>
        <w:pStyle w:val="Normal"/>
        <w:spacing/>
        <w:ind/>
        <w:rPr>
          <w:rFonts w:ascii="Arial" w:eastAsia="Arial" w:hAnsi="Arial" w:cs="Arial"/>
          <w:i/>
          <w:iCs/>
        </w:rPr>
      </w:pPr>
    </w:p>
    <w:p>
      <w:pPr>
        <w:pBdr/>
        <w:pStyle w:val="Heading 2"/>
        <w:spacing/>
        <w:ind/>
        <w:rPr/>
      </w:pPr>
      <w:r>
        <w:rPr/>
        <w:t xml:space="preserve">Ostali prekršaji operatera</w:t>
      </w:r>
    </w:p>
    <w:p>
      <w:pPr>
        <w:pBdr/>
        <w:pStyle w:val="Heading 2"/>
        <w:spacing/>
        <w:ind/>
        <w:rPr/>
      </w:pPr>
      <w:r>
        <w:rPr/>
        <w:t xml:space="preserve">Članak 336.</w:t>
      </w:r>
    </w:p>
    <w:p>
      <w:pPr>
        <w:pBdr/>
        <w:pStyle w:val="Normal"/>
        <w:spacing/>
        <w:ind/>
        <w:rPr>
          <w:rFonts w:ascii="Arial" w:eastAsia="Arial" w:hAnsi="Arial" w:cs="Arial"/>
        </w:rPr>
      </w:pPr>
      <w:r>
        <w:rPr>
          <w:rFonts w:ascii="Arial" w:eastAsia="Arial" w:hAnsi="Arial" w:cs="Arial"/>
        </w:rPr>
        <w:t xml:space="preserve">(1) Novčanom kaznom u iznosu od 2.000,00 do 10.000,00 eura kaznit će se za prekršaj pravna osoba koja kao operater postrojenja:</w:t>
      </w:r>
    </w:p>
    <w:p>
      <w:pPr>
        <w:pBdr/>
        <w:pStyle w:val="Normal"/>
        <w:spacing/>
        <w:ind/>
        <w:rPr>
          <w:rFonts w:ascii="Arial" w:eastAsia="Arial" w:hAnsi="Arial" w:cs="Arial"/>
        </w:rPr>
      </w:pPr>
      <w:r>
        <w:rPr>
          <w:rFonts w:ascii="Arial" w:eastAsia="Arial" w:hAnsi="Arial" w:cs="Arial"/>
        </w:rPr>
        <w:t xml:space="preserve">1. ne obavijesti o promjeni u nazivu i/ili sjedištu operatera odnosno pri statusnoj promjeni preoblikovanja društva u propisanom roku (članak 121. stavak 4.)</w:t>
      </w:r>
    </w:p>
    <w:p>
      <w:pPr>
        <w:pBdr/>
        <w:pStyle w:val="Normal"/>
        <w:spacing/>
        <w:ind/>
        <w:rPr>
          <w:rFonts w:ascii="Arial" w:eastAsia="Arial" w:hAnsi="Arial" w:cs="Arial"/>
        </w:rPr>
      </w:pPr>
      <w:r>
        <w:rPr>
          <w:rFonts w:ascii="Arial" w:eastAsia="Arial" w:hAnsi="Arial" w:cs="Arial"/>
        </w:rPr>
        <w:t xml:space="preserve">2. ne obavijesti Ministarstvo o planiranoj promjeni u prirodi ili funkcioniranju postrojenja (članak 120. stavak 1.)</w:t>
      </w:r>
    </w:p>
    <w:p>
      <w:pPr>
        <w:pBdr/>
        <w:pStyle w:val="Normal"/>
        <w:spacing/>
        <w:ind/>
        <w:rPr>
          <w:rFonts w:ascii="Arial" w:eastAsia="Arial" w:hAnsi="Arial" w:cs="Arial"/>
        </w:rPr>
      </w:pPr>
      <w:r>
        <w:rPr>
          <w:rFonts w:ascii="Arial" w:eastAsia="Arial" w:hAnsi="Arial" w:cs="Arial"/>
        </w:rPr>
        <w:t xml:space="preserve">3. ne podnese zahtjev za prijenos okolišne dozvole u propisanom roku (članak 121. stavak 2.)</w:t>
      </w:r>
    </w:p>
    <w:p>
      <w:pPr>
        <w:pBdr/>
        <w:pStyle w:val="Normal"/>
        <w:spacing/>
        <w:ind/>
        <w:rPr>
          <w:rFonts w:ascii="Arial" w:eastAsia="Arial" w:hAnsi="Arial" w:cs="Arial"/>
        </w:rPr>
      </w:pPr>
      <w:r>
        <w:rPr>
          <w:rFonts w:ascii="Arial" w:eastAsia="Arial" w:hAnsi="Arial" w:cs="Arial"/>
        </w:rPr>
        <w:t xml:space="preserve">4. ne dostavi Ministarstvu godišnje izvješće o napretku u provedbi temeljite industrijske preobrazbe odnosno plana zatvaranja postojećeg postrojenja i njegove zamjene novim postrojenjem (članak 137. stavak 4. podstavak 4. i članak 138. stavak 4. podstavak 2.)</w:t>
      </w:r>
    </w:p>
    <w:p>
      <w:pPr>
        <w:pBdr/>
        <w:pStyle w:val="Normal"/>
        <w:spacing/>
        <w:ind/>
        <w:rPr>
          <w:rFonts w:ascii="Arial" w:eastAsia="Arial" w:hAnsi="Arial" w:cs="Arial"/>
        </w:rPr>
      </w:pPr>
      <w:r>
        <w:rPr>
          <w:rFonts w:ascii="Arial" w:eastAsia="Arial" w:hAnsi="Arial" w:cs="Arial"/>
        </w:rPr>
        <w:t xml:space="preserve">5. ne evidentira ili ne prikazuje rezultate praćenja emisija na propisani način (članak 167. stavak 1.)</w:t>
      </w:r>
    </w:p>
    <w:p>
      <w:pPr>
        <w:pBdr/>
        <w:pStyle w:val="Normal"/>
        <w:spacing/>
        <w:ind/>
        <w:rPr>
          <w:rFonts w:ascii="Arial" w:eastAsia="Arial" w:hAnsi="Arial" w:cs="Arial"/>
        </w:rPr>
      </w:pPr>
      <w:r>
        <w:rPr>
          <w:rFonts w:ascii="Arial" w:eastAsia="Arial" w:hAnsi="Arial" w:cs="Arial"/>
        </w:rPr>
        <w:t xml:space="preserve">6. ne vodi evidenciju rezultata praćenja najmanje pet godina (članak 165. stavak 3.)</w:t>
      </w:r>
    </w:p>
    <w:p>
      <w:pPr>
        <w:pBdr/>
        <w:pStyle w:val="Normal"/>
        <w:spacing/>
        <w:ind/>
        <w:rPr>
          <w:rFonts w:ascii="Arial" w:eastAsia="Arial" w:hAnsi="Arial" w:cs="Arial"/>
        </w:rPr>
      </w:pPr>
      <w:r>
        <w:rPr>
          <w:rFonts w:ascii="Arial" w:eastAsia="Arial" w:hAnsi="Arial" w:cs="Arial"/>
        </w:rPr>
        <w:t xml:space="preserve">7. ne dostavi rezultate praćenja emisija u ISZOP odnosno Ministarstvu u rokovima propisanim člankom 100. stavkom 3. ovoga Zakona</w:t>
      </w:r>
    </w:p>
    <w:p>
      <w:pPr>
        <w:pBdr/>
        <w:pStyle w:val="Normal"/>
        <w:spacing/>
        <w:ind/>
        <w:rPr>
          <w:rFonts w:ascii="Arial" w:eastAsia="Arial" w:hAnsi="Arial" w:cs="Arial"/>
        </w:rPr>
      </w:pPr>
      <w:r>
        <w:rPr>
          <w:rFonts w:ascii="Arial" w:eastAsia="Arial" w:hAnsi="Arial" w:cs="Arial"/>
        </w:rPr>
        <w:t xml:space="preserve">8. ne osigura javnu dostupnost relevantnih informacija iz EMS-</w:t>
      </w:r>
      <w:r>
        <w:rPr>
          <w:rFonts w:ascii="Arial" w:eastAsia="Arial" w:hAnsi="Arial" w:cs="Arial"/>
        </w:rPr>
        <w:t xml:space="preserve">a odnosno ne objavi plan preobrazbe, njegovo ažuriranje ili rezultate ocjene usklađenosti sukladno članku 80. stavku 3. i članku 136. stavku 3. ovoga Zakona</w:t>
      </w:r>
    </w:p>
    <w:p>
      <w:pPr>
        <w:pBdr/>
        <w:pStyle w:val="Normal"/>
        <w:spacing/>
        <w:ind/>
        <w:rPr>
          <w:rFonts w:ascii="Arial" w:eastAsia="Arial" w:hAnsi="Arial" w:cs="Arial"/>
        </w:rPr>
      </w:pPr>
      <w:r>
        <w:rPr>
          <w:rFonts w:ascii="Arial" w:eastAsia="Arial" w:hAnsi="Arial" w:cs="Arial"/>
        </w:rPr>
        <w:t xml:space="preserve">9. ne obavijesti Ministarstvo o donošenju odluke o trajnom prestanku obavljanja djelatnosti u postrojenju u roku iz članka 144. stavka 1. ovoga Zakona</w:t>
      </w:r>
    </w:p>
    <w:p>
      <w:pPr>
        <w:pBdr/>
        <w:pStyle w:val="Normal"/>
        <w:spacing/>
        <w:ind/>
        <w:rPr>
          <w:rFonts w:ascii="Arial" w:eastAsia="Arial" w:hAnsi="Arial" w:cs="Arial"/>
        </w:rPr>
      </w:pPr>
      <w:r>
        <w:rPr>
          <w:rFonts w:ascii="Arial" w:eastAsia="Arial" w:hAnsi="Arial" w:cs="Arial"/>
        </w:rPr>
        <w:t xml:space="preserve">10. ne podnese Ministarstvu zahtjev za ukidanje okolišne dozvole u roku iz članka 144. stavka 2. ovoga Zakona</w:t>
      </w:r>
    </w:p>
    <w:p>
      <w:pPr>
        <w:pBdr/>
        <w:pStyle w:val="Normal"/>
        <w:spacing/>
        <w:ind/>
        <w:rPr>
          <w:rFonts w:ascii="Arial" w:eastAsia="Arial" w:hAnsi="Arial" w:cs="Arial"/>
        </w:rPr>
      </w:pPr>
      <w:r>
        <w:rPr>
          <w:rFonts w:ascii="Arial" w:eastAsia="Arial" w:hAnsi="Arial" w:cs="Arial"/>
        </w:rPr>
        <w:t xml:space="preserve">11. ne provodi praćenje i dokazivanje rada postrojenja ispod dopuštenog praga odnosno ne izvještava tijelo nadležno za inspekcijske poslove na način i dinamikom utvrđenim rješenjem iz članka 148. stavka 3. točaka 3. i 4. ovoga Zakona</w:t>
      </w:r>
    </w:p>
    <w:p>
      <w:pPr>
        <w:pBdr/>
        <w:pStyle w:val="Normal"/>
        <w:spacing/>
        <w:ind/>
        <w:rPr>
          <w:rFonts w:ascii="Arial" w:eastAsia="Arial" w:hAnsi="Arial" w:cs="Arial"/>
        </w:rPr>
      </w:pPr>
      <w:r>
        <w:rPr>
          <w:rFonts w:ascii="Arial" w:eastAsia="Arial" w:hAnsi="Arial" w:cs="Arial"/>
        </w:rPr>
        <w:t xml:space="preserve">12. ne podnese zahtjev za registraciju u roku iz članka 369. stavka 1. ovoga Zakona</w:t>
      </w:r>
    </w:p>
    <w:p>
      <w:pPr>
        <w:pBdr/>
        <w:pStyle w:val="Normal"/>
        <w:spacing/>
        <w:ind/>
        <w:rPr>
          <w:rFonts w:ascii="Arial" w:eastAsia="Arial" w:hAnsi="Arial" w:cs="Arial"/>
        </w:rPr>
      </w:pPr>
      <w:r>
        <w:rPr>
          <w:rFonts w:ascii="Arial" w:eastAsia="Arial" w:hAnsi="Arial" w:cs="Arial"/>
        </w:rPr>
        <w:t xml:space="preserve">13. ne podnese zahtjev za izdavanje okolišne dozvole u roku iz članka 362. stavka 2. ovoga Zakona</w:t>
      </w:r>
    </w:p>
    <w:p>
      <w:pPr>
        <w:pBdr/>
        <w:pStyle w:val="Normal"/>
        <w:spacing/>
        <w:ind/>
        <w:rPr>
          <w:rFonts w:ascii="Arial" w:eastAsia="Arial" w:hAnsi="Arial" w:cs="Arial"/>
        </w:rPr>
      </w:pPr>
      <w:r>
        <w:rPr>
          <w:rFonts w:ascii="Arial" w:eastAsia="Arial" w:hAnsi="Arial" w:cs="Arial"/>
        </w:rPr>
        <w:t xml:space="preserve">14. ne podnese zahtjev za izdavanje okolišne dozvole u roku iz članka 363. stavka 2. ovoga Zakona</w:t>
      </w:r>
    </w:p>
    <w:p>
      <w:pPr>
        <w:pBdr/>
        <w:pStyle w:val="Normal"/>
        <w:spacing/>
        <w:ind/>
        <w:rPr>
          <w:rFonts w:ascii="Arial" w:eastAsia="Arial" w:hAnsi="Arial" w:cs="Arial"/>
        </w:rPr>
      </w:pPr>
      <w:r>
        <w:rPr>
          <w:rFonts w:ascii="Arial" w:eastAsia="Arial" w:hAnsi="Arial" w:cs="Arial"/>
        </w:rPr>
        <w:t xml:space="preserve">(2) Za prekršaje iz stavka 1. ovoga članka kaznit će se i odgovorna osoba u pravnoj osobi novčanom kaznom u iznosu od 300,00 do 1.000,00 eura.</w:t>
      </w:r>
    </w:p>
    <w:p>
      <w:pPr>
        <w:pBdr/>
        <w:pStyle w:val="Normal"/>
        <w:spacing/>
        <w:ind/>
        <w:rPr>
          <w:rFonts w:ascii="Arial" w:eastAsia="Arial" w:hAnsi="Arial" w:cs="Arial"/>
        </w:rPr>
      </w:pPr>
      <w:r>
        <w:rPr>
          <w:rFonts w:ascii="Arial" w:eastAsia="Arial" w:hAnsi="Arial" w:cs="Arial"/>
        </w:rPr>
        <w:t xml:space="preserve">(3) Novčanom kaznom u iznosu od 300,00 do 1.000,00 eura kaznit će se fizička osoba -  obrtnik za prekršaje iz stavka 1. ovoga članka. </w:t>
      </w:r>
    </w:p>
    <w:p>
      <w:pPr>
        <w:pBdr/>
        <w:pStyle w:val="Normal"/>
        <w:spacing/>
        <w:ind/>
        <w:rPr>
          <w:rFonts w:ascii="Arial" w:eastAsia="Arial" w:hAnsi="Arial" w:cs="Arial"/>
          <w:i/>
          <w:iCs/>
        </w:rPr>
      </w:pPr>
    </w:p>
    <w:p>
      <w:pPr>
        <w:pBdr/>
        <w:pStyle w:val="Heading 2"/>
        <w:spacing/>
        <w:ind/>
        <w:rPr/>
      </w:pPr>
      <w:r>
        <w:rPr/>
        <w:t xml:space="preserve">Prekršaji u obavljanju stručnih poslova zaštite okoliša i prirode</w:t>
      </w:r>
    </w:p>
    <w:p>
      <w:pPr>
        <w:pBdr/>
        <w:pStyle w:val="Heading 2"/>
        <w:spacing/>
        <w:ind/>
        <w:rPr/>
      </w:pPr>
      <w:r>
        <w:rPr/>
        <w:t xml:space="preserve">Članak 337.</w:t>
      </w:r>
    </w:p>
    <w:p>
      <w:pPr>
        <w:pBdr/>
        <w:pStyle w:val="Normal"/>
        <w:spacing/>
        <w:ind/>
        <w:rPr>
          <w:rFonts w:ascii="Arial" w:eastAsia="Arial" w:hAnsi="Arial" w:cs="Arial"/>
        </w:rPr>
      </w:pPr>
      <w:r>
        <w:rPr>
          <w:rFonts w:ascii="Arial" w:eastAsia="Arial" w:hAnsi="Arial" w:cs="Arial"/>
        </w:rPr>
        <w:t xml:space="preserve">(1) Novčanom kaznom od 20.000,00 do 100.000,00 eura kaznit će se za prekršaj pravna osoba - ovlaštenik ako u strateškoj studiji, studiji o utjecaju zahvata na okoliš, elaboratu zaštite okoliša ili drugom dokumentu izrađenom za potrebe provedbe postupaka propisanih ovim Zakonom navede netočne, nepotpune ili obmanjujuće podatke.</w:t>
      </w:r>
    </w:p>
    <w:p>
      <w:pPr>
        <w:pBdr/>
        <w:pStyle w:val="Normal"/>
        <w:spacing/>
        <w:ind/>
        <w:rPr>
          <w:rFonts w:ascii="Arial" w:eastAsia="Arial" w:hAnsi="Arial" w:cs="Arial"/>
        </w:rPr>
      </w:pPr>
      <w:r>
        <w:rPr>
          <w:rFonts w:ascii="Arial" w:eastAsia="Arial" w:hAnsi="Arial" w:cs="Arial"/>
        </w:rPr>
        <w:t xml:space="preserve">(2) Za prekršaj iz stavka 1. ovoga članka kaznit će se i odgovorna osoba ovlaštenika novčanom kaznom od 2.000,00 do 5.000,00 eura.</w:t>
      </w:r>
    </w:p>
    <w:p>
      <w:pPr>
        <w:pBdr/>
        <w:pStyle w:val="Normal"/>
        <w:spacing/>
        <w:ind/>
        <w:rPr>
          <w:rFonts w:ascii="Arial" w:eastAsia="Arial" w:hAnsi="Arial" w:cs="Arial"/>
        </w:rPr>
      </w:pPr>
      <w:r>
        <w:rPr>
          <w:rFonts w:ascii="Arial" w:eastAsia="Arial" w:hAnsi="Arial" w:cs="Arial"/>
        </w:rPr>
        <w:t xml:space="preserve">(3) Za prekršaj iz stavka 1. ovoga članka kaznit će se i fizička osoba – obrtnik novčanom kaznom od 5.000,00 do 15.000,00 eura.</w:t>
      </w:r>
    </w:p>
    <w:p>
      <w:pPr>
        <w:pBdr/>
        <w:pStyle w:val="Normal"/>
        <w:spacing/>
        <w:ind/>
        <w:rPr>
          <w:rFonts w:ascii="Arial" w:eastAsia="Arial" w:hAnsi="Arial" w:cs="Arial"/>
        </w:rPr>
      </w:pPr>
      <w:r>
        <w:rPr>
          <w:rFonts w:ascii="Arial" w:eastAsia="Arial" w:hAnsi="Arial" w:cs="Arial"/>
        </w:rPr>
        <w:t xml:space="preserve">(4) Za ponovljeni prekršaj iz stavka 1. ovoga članka počinjen u roku od pet godina od pravomoćnosti prethodne odluke, uz novčanu kaznu može se izreći zaštitna mjera zabrane obavljanja stručnih poslova zaštite okoliša i prirode u trajanju do dvije godine.</w:t>
      </w:r>
    </w:p>
    <w:p>
      <w:pPr>
        <w:pBdr/>
        <w:pStyle w:val="Normal"/>
        <w:spacing/>
        <w:ind/>
        <w:rPr>
          <w:rFonts w:ascii="Arial" w:eastAsia="Arial" w:hAnsi="Arial" w:cs="Arial"/>
        </w:rPr>
      </w:pPr>
      <w:r>
        <w:rPr>
          <w:rFonts w:ascii="Arial" w:eastAsia="Arial" w:hAnsi="Arial" w:cs="Arial"/>
        </w:rPr>
        <w:t xml:space="preserve">(5) Novčanom kaznom od 10.000,00 do 50.000,00 eura kaznit će se za prekršaj pravna osoba ako:</w:t>
      </w:r>
    </w:p>
    <w:p>
      <w:pPr>
        <w:pBdr/>
        <w:pStyle w:val="Normal"/>
        <w:spacing/>
        <w:ind/>
        <w:rPr>
          <w:rFonts w:ascii="Arial" w:eastAsia="Arial" w:hAnsi="Arial" w:cs="Arial"/>
        </w:rPr>
      </w:pPr>
      <w:r>
        <w:rPr>
          <w:rFonts w:ascii="Arial" w:eastAsia="Arial" w:hAnsi="Arial" w:cs="Arial"/>
        </w:rPr>
        <w:t xml:space="preserve">1. obavlja stručne poslove zaštite okoliša i prirode, a ne ispunjava uvjete propisane ovim Zakonom, odnosno posebnim propisom (članak 26. stavak 2.)</w:t>
      </w:r>
    </w:p>
    <w:p>
      <w:pPr>
        <w:pBdr/>
        <w:pStyle w:val="Normal"/>
        <w:spacing/>
        <w:ind/>
        <w:rPr>
          <w:rFonts w:ascii="Arial" w:eastAsia="Arial" w:hAnsi="Arial" w:cs="Arial"/>
        </w:rPr>
      </w:pPr>
      <w:r>
        <w:rPr>
          <w:rFonts w:ascii="Arial" w:eastAsia="Arial" w:hAnsi="Arial" w:cs="Arial"/>
        </w:rPr>
        <w:t xml:space="preserve">2. započne obavljati stručne poslove zaštite okoliša i prirode bez ishođene suglasnosti Ministarstva za obavljanje tih poslova (članak 26. stavak 4.)</w:t>
      </w:r>
    </w:p>
    <w:p>
      <w:pPr>
        <w:pBdr/>
        <w:pStyle w:val="Normal"/>
        <w:spacing/>
        <w:ind/>
        <w:rPr>
          <w:rFonts w:ascii="Arial" w:eastAsia="Arial" w:hAnsi="Arial" w:cs="Arial"/>
        </w:rPr>
      </w:pPr>
      <w:r>
        <w:rPr>
          <w:rFonts w:ascii="Arial" w:eastAsia="Arial" w:hAnsi="Arial" w:cs="Arial"/>
        </w:rPr>
        <w:t xml:space="preserve">3. obavlja stručne poslove zaštite okoliša i prirode u svojstvu ovlaštenika, u istom postupku u kojem je nositelj zahvata, operater, projektant ili izrađivač strategije, plana ili programa (članak 26. stavak 6.)</w:t>
      </w:r>
    </w:p>
    <w:p>
      <w:pPr>
        <w:pBdr/>
        <w:pStyle w:val="Normal"/>
        <w:spacing/>
        <w:ind/>
        <w:rPr>
          <w:rFonts w:ascii="Arial" w:eastAsia="Arial" w:hAnsi="Arial" w:cs="Arial"/>
        </w:rPr>
      </w:pPr>
      <w:r>
        <w:rPr>
          <w:rFonts w:ascii="Arial" w:eastAsia="Arial" w:hAnsi="Arial" w:cs="Arial"/>
        </w:rPr>
        <w:t xml:space="preserve">4. obavlja stručne poslove zaštite okoliša i prirode suprotno odredbama članka 62. stavka 6. ovoga Zakona</w:t>
      </w:r>
    </w:p>
    <w:p>
      <w:pPr>
        <w:pBdr/>
        <w:pStyle w:val="Normal"/>
        <w:spacing/>
        <w:ind/>
        <w:rPr>
          <w:rFonts w:ascii="Arial" w:eastAsia="Arial" w:hAnsi="Arial" w:cs="Arial"/>
        </w:rPr>
      </w:pPr>
      <w:r>
        <w:rPr>
          <w:rFonts w:ascii="Arial" w:eastAsia="Arial" w:hAnsi="Arial" w:cs="Arial"/>
        </w:rPr>
        <w:t xml:space="preserve">5. ne obavijesti Ministarstvo u propisanom roku o svakoj promjeni ili prestanku ispunjavanja uvjeta za obavljanje stručnih poslova zaštite okoliša i prirode (članak 31. stavak 1. i 2.)</w:t>
      </w:r>
    </w:p>
    <w:p>
      <w:pPr>
        <w:pBdr/>
        <w:pStyle w:val="Normal"/>
        <w:spacing/>
        <w:ind/>
        <w:rPr>
          <w:rFonts w:ascii="Arial" w:eastAsia="Arial" w:hAnsi="Arial" w:cs="Arial"/>
        </w:rPr>
      </w:pPr>
      <w:r>
        <w:rPr>
          <w:rFonts w:ascii="Arial" w:eastAsia="Arial" w:hAnsi="Arial" w:cs="Arial"/>
        </w:rPr>
        <w:t xml:space="preserve">6. kao ovlaštenik iz druge države članice Europske unije započne obavljati stručne poslove zaštite okoliša i prirode u Republici Hrvatskoj prije nego što obavijesti Ministarstvo i dokaže da u matičnoj državi ispunjava uvjete za obavljanje tih poslova (članak 30. stavak 3.)</w:t>
      </w:r>
    </w:p>
    <w:p>
      <w:pPr>
        <w:pBdr/>
        <w:pStyle w:val="Normal"/>
        <w:spacing/>
        <w:ind/>
        <w:rPr>
          <w:rFonts w:ascii="Arial" w:eastAsia="Arial" w:hAnsi="Arial" w:cs="Arial"/>
        </w:rPr>
      </w:pPr>
      <w:r>
        <w:rPr>
          <w:rFonts w:ascii="Arial" w:eastAsia="Arial" w:hAnsi="Arial" w:cs="Arial"/>
        </w:rPr>
        <w:t xml:space="preserve">7. obavlja stručne poslove zaštite okoliša i prirode za vrijeme trajanja privremenog ukidanja suglasnosti (članak 32. stavak 2.)</w:t>
      </w:r>
    </w:p>
    <w:p>
      <w:pPr>
        <w:pBdr/>
        <w:pStyle w:val="Normal"/>
        <w:spacing/>
        <w:ind/>
        <w:rPr>
          <w:rFonts w:ascii="Arial" w:eastAsia="Arial" w:hAnsi="Arial" w:cs="Arial"/>
        </w:rPr>
      </w:pPr>
      <w:r>
        <w:rPr>
          <w:rFonts w:ascii="Arial" w:eastAsia="Arial" w:hAnsi="Arial" w:cs="Arial"/>
        </w:rPr>
        <w:t xml:space="preserve">(6) Novčanom kaznom iz stavka 5. ovoga članka kaznit će se za prekršaj pravna osoba ovlaštenik koja Ministarstvu za potrebe informacijskog sustava zaštite okoliša u propisanim rokovima ne dostavlja točne, potpune i vjerodostojne podatke i informacije kao i odgovarajuća izvješća ili ako ne osigura nesmetan pristup podacima i korištenje podataka za potrebe informacijskog sustava zaštite okoliša (članak 217.).</w:t>
      </w:r>
    </w:p>
    <w:p>
      <w:pPr>
        <w:pBdr/>
        <w:pStyle w:val="Normal"/>
        <w:spacing/>
        <w:ind/>
        <w:rPr>
          <w:rFonts w:ascii="Arial" w:eastAsia="Arial" w:hAnsi="Arial" w:cs="Arial"/>
        </w:rPr>
      </w:pPr>
      <w:r>
        <w:rPr>
          <w:rFonts w:ascii="Arial" w:eastAsia="Arial" w:hAnsi="Arial" w:cs="Arial"/>
        </w:rPr>
        <w:t xml:space="preserve">(7) Za prekršaj iz stavka 6. ovoga članka kaznit će se i odgovorna osoba ovlaštenika novčanom kaznom od 3.000,00 do 6.500,00 eura.</w:t>
      </w:r>
    </w:p>
    <w:p>
      <w:pPr>
        <w:pBdr/>
        <w:pStyle w:val="Normal"/>
        <w:spacing/>
        <w:ind/>
        <w:rPr>
          <w:rFonts w:ascii="Arial" w:eastAsia="Arial" w:hAnsi="Arial" w:cs="Arial"/>
        </w:rPr>
      </w:pPr>
      <w:r>
        <w:rPr>
          <w:rFonts w:ascii="Arial" w:eastAsia="Arial" w:hAnsi="Arial" w:cs="Arial"/>
        </w:rPr>
        <w:t xml:space="preserve">(8) Novčanom kaznom od 2.000,00 do 5.000,00 eura kaznit će se i fizička osoba – obrtnik za prekršaj iz stavka 5. točaka 1., 2., 3., 4. i 5. ovoga članka.</w:t>
      </w:r>
    </w:p>
    <w:p>
      <w:pPr>
        <w:pBdr/>
        <w:pStyle w:val="Normal"/>
        <w:spacing/>
        <w:ind/>
        <w:rPr>
          <w:rFonts w:ascii="Arial" w:eastAsia="Arial" w:hAnsi="Arial" w:cs="Arial"/>
        </w:rPr>
      </w:pPr>
    </w:p>
    <w:p>
      <w:pPr>
        <w:pBdr/>
        <w:pStyle w:val="Heading 2"/>
        <w:spacing/>
        <w:ind/>
        <w:rPr/>
      </w:pPr>
      <w:r>
        <w:rPr/>
        <w:t xml:space="preserve">Članak 338.</w:t>
      </w:r>
    </w:p>
    <w:p>
      <w:pPr>
        <w:pBdr/>
        <w:pStyle w:val="Normal"/>
        <w:spacing/>
        <w:ind/>
        <w:rPr>
          <w:rFonts w:ascii="Arial" w:eastAsia="Arial" w:hAnsi="Arial" w:cs="Arial"/>
        </w:rPr>
      </w:pPr>
      <w:r>
        <w:rPr>
          <w:rFonts w:ascii="Arial" w:eastAsia="Arial" w:hAnsi="Arial" w:cs="Arial"/>
        </w:rPr>
        <w:t xml:space="preserve">(1) Novčanom kaznom od 15.000,00 do 50.000,00 eura kaznit će se za prekršaj pravna osoba ako:</w:t>
      </w:r>
    </w:p>
    <w:p>
      <w:pPr>
        <w:pBdr/>
        <w:pStyle w:val="Normal"/>
        <w:spacing/>
        <w:ind/>
        <w:rPr>
          <w:rFonts w:ascii="Arial" w:eastAsia="Arial" w:hAnsi="Arial" w:cs="Arial"/>
        </w:rPr>
      </w:pPr>
      <w:r>
        <w:rPr>
          <w:rFonts w:ascii="Arial" w:eastAsia="Arial" w:hAnsi="Arial" w:cs="Arial"/>
        </w:rPr>
        <w:t xml:space="preserve">1. ne izradi Plan usklađivanja postrojenja s tehničkim standardima zaštite okoliša uređenim ovim Zakonom odnosno posebnim propisom te s propisanim mjerama iz potvrđenih međunarodnih ugovora (članak 25. stavak 1.)</w:t>
      </w:r>
    </w:p>
    <w:p>
      <w:pPr>
        <w:pBdr/>
        <w:pStyle w:val="Normal"/>
        <w:spacing/>
        <w:ind/>
        <w:rPr>
          <w:rFonts w:ascii="Arial" w:eastAsia="Arial" w:hAnsi="Arial" w:cs="Arial"/>
        </w:rPr>
      </w:pPr>
      <w:r>
        <w:rPr>
          <w:rFonts w:ascii="Arial" w:eastAsia="Arial" w:hAnsi="Arial" w:cs="Arial"/>
        </w:rPr>
        <w:t xml:space="preserve">2. kod izrade Plana iz članka 25. stavka 1. ovoga Zakona ne poštuje ovim Zakonom i posebnim propisima određene tehničke standarde i rokove prilagodbe postrojenja i/ili se ne pridržava utvrđenih tehničkih standarda i/ili rokova prilikom provedbe Plana (članak 25. stavak 2.)</w:t>
      </w:r>
    </w:p>
    <w:p>
      <w:pPr>
        <w:pBdr/>
        <w:pStyle w:val="Normal"/>
        <w:spacing/>
        <w:ind/>
        <w:rPr>
          <w:rFonts w:ascii="Arial" w:eastAsia="Arial" w:hAnsi="Arial" w:cs="Arial"/>
        </w:rPr>
      </w:pPr>
      <w:r>
        <w:rPr>
          <w:rFonts w:ascii="Arial" w:eastAsia="Arial" w:hAnsi="Arial" w:cs="Arial"/>
        </w:rPr>
        <w:t xml:space="preserve">3. ne izradi planove i programe sukladno ovom Zakonu i propisima donesenim na temelju ovoga Zakona odnosno sukladno posebnom propisu kojim je propisana obveza izrade tih dokumenata vezano za djelatnost kojom se bavi (članak 25. stavak 3.)</w:t>
      </w:r>
    </w:p>
    <w:p>
      <w:pPr>
        <w:pBdr/>
        <w:pStyle w:val="Normal"/>
        <w:spacing/>
        <w:ind/>
        <w:rPr>
          <w:rFonts w:ascii="Arial" w:eastAsia="Arial" w:hAnsi="Arial" w:cs="Arial"/>
        </w:rPr>
      </w:pPr>
      <w:r>
        <w:rPr>
          <w:rFonts w:ascii="Arial" w:eastAsia="Arial" w:hAnsi="Arial" w:cs="Arial"/>
        </w:rPr>
        <w:t xml:space="preserve">4. u svrhu izvršavanja obveza iz članka 170. stavka 3. ovoga Zakona ne utvrdi moguću prisutnost odnosno prisutnost opasnih tvari prema vrstama i količinama, ne obavijesti o tome Ministarstvo ili ne dostavi obavijest u Registar postrojenja u kojima su prisutne opasne tvari u slučajevima i rokovima propisanim člankom 170. stavcima 3., 4. i 5. ovoga Zakona </w:t>
      </w:r>
    </w:p>
    <w:p>
      <w:pPr>
        <w:pBdr/>
        <w:pStyle w:val="Normal"/>
        <w:spacing/>
        <w:ind/>
        <w:rPr>
          <w:rFonts w:ascii="Arial" w:eastAsia="Arial" w:hAnsi="Arial" w:cs="Arial"/>
        </w:rPr>
      </w:pPr>
      <w:r>
        <w:rPr>
          <w:rFonts w:ascii="Arial" w:eastAsia="Arial" w:hAnsi="Arial" w:cs="Arial"/>
        </w:rPr>
        <w:t xml:space="preserve">5. utvrdi prisutnost velikih količina opasnih tvari, a ne izradi izvješće o sigurnosti i unutarnji plan (članak 172. stavak 1.)</w:t>
      </w:r>
    </w:p>
    <w:p>
      <w:pPr>
        <w:pBdr/>
        <w:pStyle w:val="Normal"/>
        <w:spacing/>
        <w:ind/>
        <w:rPr>
          <w:rFonts w:ascii="Arial" w:eastAsia="Arial" w:hAnsi="Arial" w:cs="Arial"/>
        </w:rPr>
      </w:pPr>
      <w:r>
        <w:rPr>
          <w:rFonts w:ascii="Arial" w:eastAsia="Arial" w:hAnsi="Arial" w:cs="Arial"/>
        </w:rPr>
        <w:t xml:space="preserve">6. utvrdi prisutnost malih količina opasnih tvari u području postrojenja, a ne izradi politiku sprječavanja velikih nesreća s pripadajućom dokumentacijom, odnosno ne postupa u skladu s tom politikom (članak 173.)</w:t>
      </w:r>
    </w:p>
    <w:p>
      <w:pPr>
        <w:pBdr/>
        <w:pStyle w:val="Normal"/>
        <w:spacing/>
        <w:ind/>
        <w:rPr>
          <w:rFonts w:ascii="Arial" w:eastAsia="Arial" w:hAnsi="Arial" w:cs="Arial"/>
        </w:rPr>
      </w:pPr>
      <w:r>
        <w:rPr>
          <w:rFonts w:ascii="Arial" w:eastAsia="Arial" w:hAnsi="Arial" w:cs="Arial"/>
        </w:rPr>
        <w:t xml:space="preserve">7. ne podnese zahtjev za ishođenje suglasnosti na izvješće o sigurnosti odnosno na politiku sprječavanja velikih nesreća najkasnije šest mjeseci prije početka rada područja postrojenja (članak 177. stavak 1.)</w:t>
      </w:r>
    </w:p>
    <w:p>
      <w:pPr>
        <w:pBdr/>
        <w:pStyle w:val="Normal"/>
        <w:spacing/>
        <w:ind/>
        <w:rPr>
          <w:rFonts w:ascii="Arial" w:eastAsia="Arial" w:hAnsi="Arial" w:cs="Arial"/>
        </w:rPr>
      </w:pPr>
      <w:r>
        <w:rPr>
          <w:rFonts w:ascii="Arial" w:eastAsia="Arial" w:hAnsi="Arial" w:cs="Arial"/>
        </w:rPr>
        <w:t xml:space="preserve">8. ne podnese zahtjev za ishođenje suglasnosti na izmjenu i/ili dopunu izvješća o sigurnosti odnosno na izmjenu i/ili dopunu politike sprječavanja velikih nesreća najkasnije šest mjeseci prije provedbe značajne promjene u radu područja postrojenja (članak 180 stavak 1.)</w:t>
      </w:r>
    </w:p>
    <w:p>
      <w:pPr>
        <w:pBdr/>
        <w:pStyle w:val="Normal"/>
        <w:spacing/>
        <w:ind/>
        <w:rPr>
          <w:rFonts w:ascii="Arial" w:eastAsia="Arial" w:hAnsi="Arial" w:cs="Arial"/>
          <w:b/>
          <w:bCs/>
        </w:rPr>
      </w:pPr>
      <w:r>
        <w:rPr>
          <w:rFonts w:ascii="Arial" w:eastAsia="Arial" w:hAnsi="Arial" w:cs="Arial"/>
        </w:rPr>
        <w:t xml:space="preserve">9. ne preispituje i prema potrebi ne ažurira izvješće o sigurnosti ili ne osigura sljedivost njegovih izmjena i dopuna, ne preispituje i ne testira te prema potrebi ne ažurira unutarnji plan odnosno ne preispituje i prema potrebi ne ažurira politiku sprječavanja velikih nesreća i pripadajuću dokumentaciju ili ne osigura sljedivost njihovih izmjena i dopuna (članak 181. stavci 1., 2. i 3.)</w:t>
      </w:r>
    </w:p>
    <w:p>
      <w:pPr>
        <w:pBdr/>
        <w:pStyle w:val="Normal"/>
        <w:spacing/>
        <w:ind/>
        <w:rPr>
          <w:rFonts w:ascii="Arial" w:eastAsia="Arial" w:hAnsi="Arial" w:cs="Arial"/>
        </w:rPr>
      </w:pPr>
      <w:r>
        <w:rPr>
          <w:rFonts w:ascii="Arial" w:eastAsia="Arial" w:hAnsi="Arial" w:cs="Arial"/>
        </w:rPr>
        <w:t xml:space="preserve">10. ne dostavi bez odgađanja ažurirano izvješće o sigurnosti, odnosno ne dostavi bez odgađanja ažuriranu politiku sprječavanja velikih nesreća i pripadajuću dokumentaciju tijelu nadležnom za inspekcijske poslove (članak 181. stavak 4.)</w:t>
      </w:r>
    </w:p>
    <w:p>
      <w:pPr>
        <w:pBdr/>
        <w:pStyle w:val="Normal"/>
        <w:spacing/>
        <w:ind/>
        <w:rPr>
          <w:rFonts w:ascii="Arial" w:eastAsia="Arial" w:hAnsi="Arial" w:cs="Arial"/>
        </w:rPr>
      </w:pPr>
      <w:r>
        <w:rPr>
          <w:rFonts w:ascii="Arial" w:eastAsia="Arial" w:hAnsi="Arial" w:cs="Arial"/>
        </w:rPr>
        <w:t xml:space="preserve">11. novi operater ne podnese zahtjev za izmjenu suglasnosti u roku od 15 dana od dana nastale promjene u upravljanju područjem postrojenja (članak 182. stavak 1.)</w:t>
      </w:r>
    </w:p>
    <w:p>
      <w:pPr>
        <w:pBdr/>
        <w:pStyle w:val="Normal"/>
        <w:spacing/>
        <w:ind/>
        <w:rPr>
          <w:rFonts w:ascii="Arial" w:eastAsia="Arial" w:hAnsi="Arial" w:cs="Arial"/>
        </w:rPr>
      </w:pPr>
      <w:r>
        <w:rPr>
          <w:rFonts w:ascii="Arial" w:eastAsia="Arial" w:hAnsi="Arial" w:cs="Arial"/>
        </w:rPr>
        <w:t xml:space="preserve">12. ne postupi u skladu s obvezama informiranja, redovitog preispitivanja i ažuriranja informacija te osiguravanja njihove trajne dostupnosti javnosti iz članka 186. stavaka 1., 3. i 4. ovoga Zakona</w:t>
      </w:r>
    </w:p>
    <w:p>
      <w:pPr>
        <w:pBdr/>
        <w:pStyle w:val="Normal"/>
        <w:spacing/>
        <w:ind/>
        <w:rPr>
          <w:rFonts w:ascii="Arial" w:eastAsia="Arial" w:hAnsi="Arial" w:cs="Arial"/>
        </w:rPr>
      </w:pPr>
      <w:r>
        <w:rPr>
          <w:rFonts w:ascii="Arial" w:eastAsia="Arial" w:hAnsi="Arial" w:cs="Arial"/>
        </w:rPr>
        <w:t xml:space="preserve">13. ne dostavi Izvješće o sigurnosti ministarstvu nadležnom za poslove civilne zaštite radi izrade vanjskih planova (članak 188. stavak 1.) </w:t>
      </w:r>
    </w:p>
    <w:p>
      <w:pPr>
        <w:pBdr/>
        <w:pStyle w:val="Normal"/>
        <w:spacing/>
        <w:ind/>
        <w:rPr>
          <w:rFonts w:ascii="Arial" w:eastAsia="Arial" w:hAnsi="Arial" w:cs="Arial"/>
        </w:rPr>
      </w:pPr>
      <w:r>
        <w:rPr>
          <w:rFonts w:ascii="Arial" w:eastAsia="Arial" w:hAnsi="Arial" w:cs="Arial"/>
        </w:rPr>
        <w:t xml:space="preserve">14. ne obavlja praćenje stanja okoliša, odnosno podatke o mjerenjima emisija i imisija ne dostavlja Ministarstvu u pisanom i/ili elektroničkom obliku (članak 198. stavak 1.)</w:t>
      </w:r>
    </w:p>
    <w:p>
      <w:pPr>
        <w:pBdr/>
        <w:pStyle w:val="Normal"/>
        <w:spacing/>
        <w:ind/>
        <w:rPr>
          <w:rFonts w:ascii="Arial" w:eastAsia="Arial" w:hAnsi="Arial" w:cs="Arial"/>
        </w:rPr>
      </w:pPr>
      <w:r>
        <w:rPr>
          <w:rFonts w:ascii="Arial" w:eastAsia="Arial" w:hAnsi="Arial" w:cs="Arial"/>
        </w:rPr>
        <w:t xml:space="preserve">15. koristi logotip EMAS protivno Uredbi EZ broj 1221/2009 (članak 278. stavak 1.).</w:t>
      </w:r>
    </w:p>
    <w:p>
      <w:pPr>
        <w:pBdr/>
        <w:pStyle w:val="Normal"/>
        <w:spacing/>
        <w:ind/>
        <w:rPr>
          <w:rFonts w:ascii="Arial" w:eastAsia="Arial" w:hAnsi="Arial" w:cs="Arial"/>
        </w:rPr>
      </w:pPr>
      <w:r>
        <w:rPr>
          <w:rFonts w:ascii="Arial" w:eastAsia="Arial" w:hAnsi="Arial" w:cs="Arial"/>
        </w:rPr>
        <w:t xml:space="preserve">(2) Za prekršaje iz stavka 1. ovoga članka kaznit će se i odgovorna osoba u pravnoj osobi novčanom kaznom od 2.000,00 do 3.000,00 eura.</w:t>
      </w:r>
    </w:p>
    <w:p>
      <w:pPr>
        <w:pBdr/>
        <w:pStyle w:val="Normal"/>
        <w:spacing/>
        <w:ind/>
        <w:rPr>
          <w:rFonts w:ascii="Arial" w:eastAsia="Arial" w:hAnsi="Arial" w:cs="Arial"/>
        </w:rPr>
      </w:pPr>
      <w:r>
        <w:rPr>
          <w:rFonts w:ascii="Arial" w:eastAsia="Arial" w:hAnsi="Arial" w:cs="Arial"/>
        </w:rPr>
        <w:t xml:space="preserve">(3) Novčanom kaznom od 1.000,00 do 2.000,00 eura kaznit će se fizička osoba-</w:t>
      </w:r>
      <w:r>
        <w:rPr>
          <w:rFonts w:ascii="Arial" w:eastAsia="Arial" w:hAnsi="Arial" w:cs="Arial"/>
        </w:rPr>
        <w:t xml:space="preserve">obrtnik za prekršaje iz stavka 1. ovoga članka.</w:t>
      </w:r>
    </w:p>
    <w:p>
      <w:pPr>
        <w:pBdr/>
        <w:pStyle w:val="Normal"/>
        <w:spacing/>
        <w:ind/>
        <w:rPr>
          <w:rFonts w:ascii="Arial" w:eastAsia="Arial" w:hAnsi="Arial" w:cs="Arial"/>
          <w:b/>
          <w:bCs/>
        </w:rPr>
      </w:pPr>
    </w:p>
    <w:p>
      <w:pPr>
        <w:pBdr/>
        <w:pStyle w:val="Heading 2"/>
        <w:spacing/>
        <w:ind/>
        <w:rPr/>
      </w:pPr>
      <w:r>
        <w:rPr/>
        <w:t xml:space="preserve">Članak 339.</w:t>
      </w:r>
    </w:p>
    <w:p>
      <w:pPr>
        <w:pBdr/>
        <w:pStyle w:val="Normal"/>
        <w:spacing/>
        <w:ind/>
        <w:rPr>
          <w:rFonts w:ascii="Arial" w:eastAsia="Arial" w:hAnsi="Arial" w:cs="Arial"/>
        </w:rPr>
      </w:pPr>
      <w:r>
        <w:rPr>
          <w:rFonts w:ascii="Arial" w:eastAsia="Arial" w:hAnsi="Arial" w:cs="Arial"/>
        </w:rPr>
        <w:t xml:space="preserve">(1) Novčanom kaznom od 10.000,00 do 50.000,00 eura kaznit će se za prekršaj proizvođač, odnosno osoba koja stavlja proizvod na tržište koji, kada je to propisano, prije stavljanja na tržište na ambalažu proizvoda, odnosno na prateću tehničku dokumentaciju uz proizvod, ne stavi uputu kojom se potrošač obavješćuje o utjecaju proizvoda i ambalaže na okoliš te upućuje na način postupanja s proizvodom i ambalažom nakon njegove uporabe (članak 283.).</w:t>
      </w:r>
    </w:p>
    <w:p>
      <w:pPr>
        <w:pBdr/>
        <w:pStyle w:val="Normal"/>
        <w:spacing/>
        <w:ind/>
        <w:rPr>
          <w:rFonts w:ascii="Arial" w:eastAsia="Arial" w:hAnsi="Arial" w:cs="Arial"/>
        </w:rPr>
      </w:pPr>
      <w:r>
        <w:rPr>
          <w:rFonts w:ascii="Arial" w:eastAsia="Arial" w:hAnsi="Arial" w:cs="Arial"/>
        </w:rPr>
        <w:t xml:space="preserve">(2) Za prekršaj iz stavka 1. ovoga članka kaznit će se i odgovorna osoba proizvođača, odnosno osobe koja stavlja proizvod na tržište novčanom kaznom od 1.000,00 do 2.000,00 eura.</w:t>
      </w:r>
    </w:p>
    <w:p>
      <w:pPr>
        <w:pBdr/>
        <w:pStyle w:val="Normal"/>
        <w:spacing/>
        <w:ind/>
        <w:rPr>
          <w:rFonts w:ascii="Arial" w:eastAsia="Arial" w:hAnsi="Arial" w:cs="Arial"/>
        </w:rPr>
      </w:pPr>
    </w:p>
    <w:p>
      <w:pPr>
        <w:pBdr/>
        <w:pStyle w:val="Heading 2"/>
        <w:spacing/>
        <w:ind/>
        <w:rPr/>
      </w:pPr>
      <w:r>
        <w:rPr/>
        <w:t xml:space="preserve">Članak 340.</w:t>
      </w:r>
    </w:p>
    <w:p>
      <w:pPr>
        <w:pBdr/>
        <w:pStyle w:val="Normal"/>
        <w:spacing/>
        <w:ind/>
        <w:rPr>
          <w:rFonts w:ascii="Arial" w:eastAsia="Arial" w:hAnsi="Arial" w:cs="Arial"/>
        </w:rPr>
      </w:pPr>
      <w:r>
        <w:rPr>
          <w:rFonts w:ascii="Arial" w:eastAsia="Arial" w:hAnsi="Arial" w:cs="Arial"/>
        </w:rPr>
        <w:t xml:space="preserve">(1) Novčanom kaznom od 50.000,00 do 130.000,00 eura kaznit će se za prekršaj pravna osoba ako:</w:t>
      </w:r>
    </w:p>
    <w:p>
      <w:pPr>
        <w:pBdr/>
        <w:pStyle w:val="Normal"/>
        <w:spacing/>
        <w:ind/>
        <w:rPr>
          <w:rFonts w:ascii="Arial" w:eastAsia="Arial" w:hAnsi="Arial" w:cs="Arial"/>
        </w:rPr>
      </w:pPr>
      <w:r>
        <w:rPr>
          <w:rFonts w:ascii="Arial" w:eastAsia="Arial" w:hAnsi="Arial" w:cs="Arial"/>
        </w:rPr>
        <w:t xml:space="preserve">1. pri radu postrojenja ne poduzme sve, ili propusti poduzeti neku od mjera radi sprječavanja onečišćenja (članak 79.)</w:t>
      </w:r>
    </w:p>
    <w:p>
      <w:pPr>
        <w:pBdr/>
        <w:pStyle w:val="Normal"/>
        <w:spacing/>
        <w:ind/>
        <w:rPr>
          <w:rFonts w:ascii="Arial" w:eastAsia="Arial" w:hAnsi="Arial" w:cs="Arial"/>
        </w:rPr>
      </w:pPr>
      <w:r>
        <w:rPr>
          <w:rFonts w:ascii="Arial" w:eastAsia="Arial" w:hAnsi="Arial" w:cs="Arial"/>
        </w:rPr>
        <w:t xml:space="preserve">2. u postrojenju u kojem su prisutne opasne tvari ne poduzme preventivne mjere nužne za smanjenje rizika nastanka i sprječavanje nastanka velikih nesreća te mjere za ograničavanje utjecaja velikih nesreća na ljude, materijalna dobra i okoliš (članak 170. stavak 1.)</w:t>
      </w:r>
    </w:p>
    <w:p>
      <w:pPr>
        <w:pBdr/>
        <w:pStyle w:val="Normal"/>
        <w:spacing/>
        <w:ind/>
        <w:rPr>
          <w:rFonts w:ascii="Arial" w:eastAsia="Arial" w:hAnsi="Arial" w:cs="Arial"/>
        </w:rPr>
      </w:pPr>
      <w:r>
        <w:rPr>
          <w:rFonts w:ascii="Arial" w:eastAsia="Arial" w:hAnsi="Arial" w:cs="Arial"/>
        </w:rPr>
        <w:t xml:space="preserve">3. ne pruži Ministarstvu i tijelu nadležnom za inspekcijske poslove dokaze da je poduzeo sve potrebne mjere za sprječavanje velike nesreće u skladu sa ovim Zakonom i provedbenim propisima ovoga Zakona (članak 170. stavak 2.)</w:t>
      </w:r>
    </w:p>
    <w:p>
      <w:pPr>
        <w:pBdr/>
        <w:pStyle w:val="Normal"/>
        <w:spacing/>
        <w:ind/>
        <w:rPr>
          <w:rFonts w:ascii="Arial" w:eastAsia="Arial" w:hAnsi="Arial" w:cs="Arial"/>
        </w:rPr>
      </w:pPr>
      <w:r>
        <w:rPr>
          <w:rFonts w:ascii="Arial" w:eastAsia="Arial" w:hAnsi="Arial" w:cs="Arial"/>
        </w:rPr>
        <w:t xml:space="preserve">4. u slučaju velike nesreće ne postupi u skladu s odredbama članka 187. stavcima 1., 3. i 4. ovoga Zakona </w:t>
      </w:r>
    </w:p>
    <w:p>
      <w:pPr>
        <w:pBdr/>
        <w:pStyle w:val="Normal"/>
        <w:spacing/>
        <w:ind/>
        <w:rPr>
          <w:rFonts w:ascii="Arial" w:eastAsia="Arial" w:hAnsi="Arial" w:cs="Arial"/>
        </w:rPr>
      </w:pPr>
      <w:r>
        <w:rPr>
          <w:rFonts w:ascii="Arial" w:eastAsia="Arial" w:hAnsi="Arial" w:cs="Arial"/>
        </w:rPr>
        <w:t xml:space="preserve">5. ako ne postupi u skladu s odredbama članka 183. stavcima 1. i 2. ovoga Zakona u vezi sa zatvaranjem područja postrojenja</w:t>
      </w:r>
    </w:p>
    <w:p>
      <w:pPr>
        <w:pBdr/>
        <w:pStyle w:val="Normal"/>
        <w:spacing/>
        <w:ind/>
        <w:rPr>
          <w:rFonts w:ascii="Arial" w:eastAsia="Arial" w:hAnsi="Arial" w:cs="Arial"/>
        </w:rPr>
      </w:pPr>
      <w:r>
        <w:rPr>
          <w:rFonts w:ascii="Arial" w:eastAsia="Arial" w:hAnsi="Arial" w:cs="Arial"/>
        </w:rPr>
        <w:t xml:space="preserve">6. u slučaju prijeteće opasnosti od štete ne poduzme mjere sprječavanja i odmah ne obavijesti ministarstvo nadležno za poslove civilne zaštite (članak 253. stavci 1. i 3.)</w:t>
      </w:r>
    </w:p>
    <w:p>
      <w:pPr>
        <w:pBdr/>
        <w:pStyle w:val="Normal"/>
        <w:spacing/>
        <w:ind/>
        <w:rPr>
          <w:rFonts w:ascii="Arial" w:eastAsia="Arial" w:hAnsi="Arial" w:cs="Arial"/>
        </w:rPr>
      </w:pPr>
      <w:r>
        <w:rPr>
          <w:rFonts w:ascii="Arial" w:eastAsia="Arial" w:hAnsi="Arial" w:cs="Arial"/>
        </w:rPr>
        <w:t xml:space="preserve">7. u slučaju nastanka štete u okolišu:</w:t>
      </w:r>
    </w:p>
    <w:p>
      <w:pPr>
        <w:pBdr/>
        <w:pStyle w:val="Normal"/>
        <w:spacing/>
        <w:ind/>
        <w:rPr>
          <w:rFonts w:ascii="Arial" w:eastAsia="Arial" w:hAnsi="Arial" w:cs="Arial"/>
        </w:rPr>
      </w:pPr>
      <w:r>
        <w:rPr>
          <w:rFonts w:ascii="Arial" w:eastAsia="Arial" w:hAnsi="Arial" w:cs="Arial"/>
        </w:rPr>
        <w:t xml:space="preserve">a. bez odgađanja ne obavijesti ministarstvo nadležno za poslove civilne zaštite</w:t>
      </w:r>
    </w:p>
    <w:p>
      <w:pPr>
        <w:pBdr/>
        <w:pStyle w:val="Normal"/>
        <w:spacing/>
        <w:ind/>
        <w:rPr>
          <w:rFonts w:ascii="Arial" w:eastAsia="Arial" w:hAnsi="Arial" w:cs="Arial"/>
        </w:rPr>
      </w:pPr>
      <w:r>
        <w:rPr>
          <w:rFonts w:ascii="Arial" w:eastAsia="Arial" w:hAnsi="Arial" w:cs="Arial"/>
        </w:rPr>
        <w:t xml:space="preserve">b. ne poduzme sve primjenjive mjere za trenutačni nadzor, ograničavanje, otklanjanje i ostale potrebne radnje za stavljanje uzročnika štete pod kontrolu u cilju sprječavanja daljnjih šteta na okolišu i opasnosti za ljudsko zdravlje</w:t>
      </w:r>
    </w:p>
    <w:p>
      <w:pPr>
        <w:pBdr/>
        <w:pStyle w:val="Normal"/>
        <w:spacing/>
        <w:ind/>
        <w:rPr>
          <w:rFonts w:ascii="Arial" w:eastAsia="Arial" w:hAnsi="Arial" w:cs="Arial"/>
        </w:rPr>
      </w:pPr>
      <w:r>
        <w:rPr>
          <w:rFonts w:ascii="Arial" w:eastAsia="Arial" w:hAnsi="Arial" w:cs="Arial"/>
        </w:rPr>
        <w:t xml:space="preserve">c. ne poduzme potrebne mjere otklanjanja štete u okolišu utvrđene u skladu sa člancima 259. do 262. ovoga Zakona (članak 255. stavak 1.),</w:t>
      </w:r>
    </w:p>
    <w:p>
      <w:pPr>
        <w:pBdr/>
        <w:pStyle w:val="Normal"/>
        <w:spacing/>
        <w:ind/>
        <w:rPr>
          <w:rFonts w:ascii="Arial" w:eastAsia="Arial" w:hAnsi="Arial" w:cs="Arial"/>
        </w:rPr>
      </w:pPr>
      <w:r>
        <w:rPr>
          <w:rFonts w:ascii="Arial" w:eastAsia="Arial" w:hAnsi="Arial" w:cs="Arial"/>
        </w:rPr>
        <w:t xml:space="preserve">8. ne izradi sanacijski program i na njega ne ishodi suglasnost Ministarstva (članak 259. stavak 1. i članak 261. stavak 1.)</w:t>
      </w:r>
    </w:p>
    <w:p>
      <w:pPr>
        <w:pBdr/>
        <w:pStyle w:val="Normal"/>
        <w:spacing/>
        <w:ind/>
        <w:rPr>
          <w:rFonts w:ascii="Arial" w:eastAsia="Arial" w:hAnsi="Arial" w:cs="Arial"/>
        </w:rPr>
      </w:pPr>
      <w:r>
        <w:rPr>
          <w:rFonts w:ascii="Arial" w:eastAsia="Arial" w:hAnsi="Arial" w:cs="Arial"/>
        </w:rPr>
        <w:t xml:space="preserve">9. ne provede mjere otklanjanja štete u okolišu i program praćenja stanja okoliša nakon provedene sanacije (članak 262. stavak 1.)</w:t>
      </w:r>
    </w:p>
    <w:p>
      <w:pPr>
        <w:pBdr/>
        <w:pStyle w:val="Normal"/>
        <w:spacing/>
        <w:ind/>
        <w:rPr>
          <w:rFonts w:ascii="Arial" w:eastAsia="Arial" w:hAnsi="Arial" w:cs="Arial"/>
        </w:rPr>
      </w:pPr>
      <w:r>
        <w:rPr>
          <w:rFonts w:ascii="Arial" w:eastAsia="Arial" w:hAnsi="Arial" w:cs="Arial"/>
        </w:rPr>
        <w:t xml:space="preserve">10. ne provodi mjere i/ili program praćenja stanja okoliša propisane rješenjem o prihvatljivosti zahvata za okoliš, odnosno rješenjem nakon provedene ocjene o potrebi procjene utjecaja zahvata za okoliš (članak 66. stavak 2. i članak 67. stavak 4.).</w:t>
      </w:r>
    </w:p>
    <w:p>
      <w:pPr>
        <w:pBdr/>
        <w:pStyle w:val="Normal"/>
        <w:spacing/>
        <w:ind/>
        <w:rPr>
          <w:rFonts w:ascii="Arial" w:eastAsia="Arial" w:hAnsi="Arial" w:cs="Arial"/>
        </w:rPr>
      </w:pPr>
      <w:r>
        <w:rPr>
          <w:rFonts w:ascii="Arial" w:eastAsia="Arial" w:hAnsi="Arial" w:cs="Arial"/>
        </w:rPr>
        <w:t xml:space="preserve">(2) Novčanom kaznom iz stavka 1. ovoga članka kaznit će se za prekršaj nositelj zahvata pravna osoba ako u slučaju značajne izmjene ili dopune zahvata, odnosno izmjene propisanih mjera zaštite okoliša i/ili programa praćenja stanja okoliša, prije podnošenja zahtjeva za izdavanje lokacijske dozvole odnosno drugog odobrenja za zahvat ne podnese zahtjev radi provedbe postupka iz članka 59. ovoga Zakona (članak 72. stavak 2.).</w:t>
      </w:r>
    </w:p>
    <w:p>
      <w:pPr>
        <w:pBdr/>
        <w:pStyle w:val="Normal"/>
        <w:spacing/>
        <w:ind/>
        <w:rPr>
          <w:rFonts w:ascii="Arial" w:eastAsia="Arial" w:hAnsi="Arial" w:cs="Arial"/>
        </w:rPr>
      </w:pPr>
      <w:r>
        <w:rPr>
          <w:rFonts w:ascii="Arial" w:eastAsia="Arial" w:hAnsi="Arial" w:cs="Arial"/>
        </w:rPr>
        <w:t xml:space="preserve">(3) Za prekršaje iz stavka 1. ovoga članka kaznit će se fizička osoba novčanom kaznom od 2.000,00 do 2.500,00 eura.</w:t>
      </w:r>
    </w:p>
    <w:p>
      <w:pPr>
        <w:pBdr/>
        <w:pStyle w:val="Normal"/>
        <w:spacing/>
        <w:ind/>
        <w:rPr>
          <w:rFonts w:ascii="Arial" w:eastAsia="Arial" w:hAnsi="Arial" w:cs="Arial"/>
        </w:rPr>
      </w:pPr>
      <w:r>
        <w:rPr>
          <w:rFonts w:ascii="Arial" w:eastAsia="Arial" w:hAnsi="Arial" w:cs="Arial"/>
        </w:rPr>
        <w:t xml:space="preserve">(4) Za prekršaje iz stavka 1. ovoga članka kaznit će se i odgovorna osoba u pravnoj osobi novčanom kaznom od 2.000,00 do 6.000,00 eura.</w:t>
      </w:r>
    </w:p>
    <w:p>
      <w:pPr>
        <w:pBdr/>
        <w:pStyle w:val="Normal"/>
        <w:spacing/>
        <w:ind/>
        <w:rPr>
          <w:rFonts w:ascii="Arial" w:eastAsia="Arial" w:hAnsi="Arial" w:cs="Arial"/>
        </w:rPr>
      </w:pPr>
    </w:p>
    <w:p>
      <w:pPr>
        <w:pBdr/>
        <w:pStyle w:val="Heading 2"/>
        <w:spacing/>
        <w:ind/>
        <w:rPr/>
      </w:pPr>
      <w:r>
        <w:rPr/>
        <w:t xml:space="preserve">Članak 341.</w:t>
      </w:r>
    </w:p>
    <w:p>
      <w:pPr>
        <w:pBdr/>
        <w:pStyle w:val="Normal"/>
        <w:spacing/>
        <w:ind/>
        <w:rPr>
          <w:rFonts w:ascii="Arial" w:eastAsia="Arial" w:hAnsi="Arial" w:cs="Arial"/>
        </w:rPr>
      </w:pPr>
      <w:r>
        <w:rPr>
          <w:rFonts w:ascii="Arial" w:eastAsia="Arial" w:hAnsi="Arial" w:cs="Arial"/>
        </w:rPr>
        <w:t xml:space="preserve">(1) Novčanom kaznom od 15.000,00 do 50.000,00 eura kaznit će se za prekršaj nositelj zahvata pravna osoba ukoliko za zahvat za koji je određeno provođenje procjene utjecaja </w:t>
      </w:r>
      <w:r>
        <w:rPr>
          <w:rFonts w:ascii="Arial" w:eastAsia="Arial" w:hAnsi="Arial" w:cs="Arial"/>
        </w:rPr>
        <w:t xml:space="preserve">na okoliš putem stručnih i za to osposobljenih osoba ne provodi mjerenja emisije i ne vodi o tome očevidnike, putem stručnih i za to osposobljenih osoba ne provodi mjerenja imisije, odnosno ne sudjeluje u mjerenju imisija, prema udjelu svoga zahvata u onečišćavanju okoliša, te ne sudjeluje u praćenju prirodnih i drugih pojava koje su posljedica onečišćavanja okoliša (članak 198. stavak 1.).</w:t>
      </w:r>
    </w:p>
    <w:p>
      <w:pPr>
        <w:pBdr/>
        <w:pStyle w:val="Normal"/>
        <w:spacing/>
        <w:ind/>
        <w:rPr>
          <w:rFonts w:ascii="Arial" w:eastAsia="Arial" w:hAnsi="Arial" w:cs="Arial"/>
        </w:rPr>
      </w:pPr>
      <w:r>
        <w:rPr>
          <w:rFonts w:ascii="Arial" w:eastAsia="Arial" w:hAnsi="Arial" w:cs="Arial"/>
        </w:rPr>
        <w:t xml:space="preserve">(2) Za prekršaj iz stavka 1. ovoga članka kaznit će se i odgovorna osoba nositelja zahvata i nositelj zahvata fizička osoba novčanom kaznom od 1.000,00 do 2.500,00 eura.</w:t>
      </w:r>
    </w:p>
    <w:p>
      <w:pPr>
        <w:pBdr/>
        <w:pStyle w:val="Normal"/>
        <w:spacing/>
        <w:ind/>
        <w:rPr>
          <w:rFonts w:ascii="Arial" w:eastAsia="Arial" w:hAnsi="Arial" w:cs="Arial"/>
          <w:b/>
        </w:rPr>
      </w:pPr>
    </w:p>
    <w:p>
      <w:pPr>
        <w:pBdr/>
        <w:pStyle w:val="Heading 2"/>
        <w:spacing/>
        <w:ind/>
        <w:rPr/>
      </w:pPr>
      <w:r>
        <w:rPr/>
        <w:t xml:space="preserve">Članak 342.</w:t>
      </w:r>
    </w:p>
    <w:p>
      <w:pPr>
        <w:pBdr/>
        <w:pStyle w:val="Normal"/>
        <w:spacing/>
        <w:ind/>
        <w:rPr>
          <w:rFonts w:ascii="Arial" w:eastAsia="Arial" w:hAnsi="Arial" w:cs="Arial"/>
        </w:rPr>
      </w:pPr>
      <w:r>
        <w:rPr>
          <w:rFonts w:ascii="Arial" w:eastAsia="Arial" w:hAnsi="Arial" w:cs="Arial"/>
        </w:rPr>
        <w:t xml:space="preserve">(1) Novčanom kaznom u iznosu od 1.000,00 do 2.500,00 eura kaznit će se za prekršaj odgovorna osoba u jedinici područne (regionalne) samouprave ako ne izvrši provjeru potpunosti, dosljednosti i vjerodostojnosti podataka dostavljenih od strane obveznika, kao i provjeru poštivanja propisanog roka (članak 199. stavak 4.).</w:t>
      </w:r>
    </w:p>
    <w:p>
      <w:pPr>
        <w:pBdr/>
        <w:pStyle w:val="Normal"/>
        <w:spacing/>
        <w:ind/>
        <w:rPr>
          <w:rFonts w:ascii="Arial" w:eastAsia="Arial" w:hAnsi="Arial" w:cs="Arial"/>
        </w:rPr>
      </w:pPr>
      <w:r>
        <w:rPr>
          <w:rFonts w:ascii="Arial" w:eastAsia="Arial" w:hAnsi="Arial" w:cs="Arial"/>
        </w:rPr>
        <w:t xml:space="preserve">(2) Novčanom kaznom u iznosu od 1.000,00 do 2.500,00 eura kaznit će se za prekršaj odgovorna osoba u jedinici lokalne samouprave i jedinici područne (regionalne) samouprave ako ne osigura sredstva za financiranje zaštite okoliša (članak 275. stavak 1.).</w:t>
      </w:r>
    </w:p>
    <w:p>
      <w:pPr>
        <w:pBdr/>
        <w:pStyle w:val="Normal"/>
        <w:spacing/>
        <w:ind/>
        <w:rPr>
          <w:rFonts w:ascii="Arial" w:eastAsia="Arial" w:hAnsi="Arial" w:cs="Arial"/>
          <w:b/>
          <w:bCs/>
        </w:rPr>
      </w:pPr>
    </w:p>
    <w:p>
      <w:pPr>
        <w:pBdr/>
        <w:pStyle w:val="Heading 2"/>
        <w:spacing/>
        <w:ind/>
        <w:rPr/>
      </w:pPr>
      <w:r>
        <w:rPr/>
        <w:t xml:space="preserve">Članak 343.</w:t>
      </w:r>
    </w:p>
    <w:p>
      <w:pPr>
        <w:pBdr/>
        <w:pStyle w:val="Normal"/>
        <w:spacing/>
        <w:ind/>
        <w:rPr>
          <w:rFonts w:ascii="Arial" w:eastAsia="Arial" w:hAnsi="Arial" w:cs="Arial"/>
        </w:rPr>
      </w:pPr>
      <w:r>
        <w:rPr>
          <w:rFonts w:ascii="Arial" w:eastAsia="Arial" w:hAnsi="Arial" w:cs="Arial"/>
        </w:rPr>
        <w:t xml:space="preserve">(1) Novčanom kaznom u iznosu od 2.500,00 do 15.000,00 eura kaznit će se za prekršaj pravna osoba ako onemogući obavljanje pregleda inspektora ili ne dostavi u određenom roku na uvid sve podatke i dokumentaciju potrebnu u provedbi nadzora (članak 296.).</w:t>
      </w:r>
    </w:p>
    <w:p>
      <w:pPr>
        <w:pBdr/>
        <w:pStyle w:val="Normal"/>
        <w:spacing/>
        <w:ind/>
        <w:rPr>
          <w:rFonts w:ascii="Arial" w:eastAsia="Arial" w:hAnsi="Arial" w:cs="Arial"/>
        </w:rPr>
      </w:pPr>
      <w:r>
        <w:rPr>
          <w:rFonts w:ascii="Arial" w:eastAsia="Arial" w:hAnsi="Arial" w:cs="Arial"/>
        </w:rPr>
        <w:t xml:space="preserve">(2) Za prekršaj iz stavka 1. ovoga članka kaznit će se novčanom kaznom u iznosu od 1.000,00 do 2.500,00 eura fizička osoba – obrtnik i fizička osoba nositelj zahvata.</w:t>
      </w:r>
    </w:p>
    <w:p>
      <w:pPr>
        <w:pBdr/>
        <w:pStyle w:val="Normal"/>
        <w:spacing/>
        <w:ind/>
        <w:rPr>
          <w:rFonts w:ascii="Arial" w:eastAsia="Arial" w:hAnsi="Arial" w:cs="Arial"/>
        </w:rPr>
      </w:pPr>
      <w:r>
        <w:rPr>
          <w:rFonts w:ascii="Arial" w:eastAsia="Arial" w:hAnsi="Arial" w:cs="Arial"/>
        </w:rPr>
        <w:t xml:space="preserve">(3) Za prekršaj iz stavka 1. ovoga članka kaznit će se novčanom kaznom u iznosu od 1.000,00 do 2.500,00 eura i odgovorna osoba u pravnoj osobi.</w:t>
      </w:r>
    </w:p>
    <w:p>
      <w:pPr>
        <w:pBdr/>
        <w:pStyle w:val="Normal"/>
        <w:spacing/>
        <w:ind/>
        <w:rPr>
          <w:rFonts w:ascii="Arial" w:eastAsia="Arial" w:hAnsi="Arial" w:cs="Arial"/>
        </w:rPr>
      </w:pPr>
    </w:p>
    <w:p>
      <w:pPr>
        <w:pBdr/>
        <w:pStyle w:val="Heading 2"/>
        <w:spacing/>
        <w:ind/>
        <w:rPr/>
      </w:pPr>
      <w:r>
        <w:rPr/>
        <w:t xml:space="preserve">Članak 344.</w:t>
      </w:r>
    </w:p>
    <w:p>
      <w:pPr>
        <w:pBdr/>
        <w:pStyle w:val="Normal"/>
        <w:spacing/>
        <w:ind/>
        <w:rPr>
          <w:rFonts w:ascii="Arial" w:eastAsia="Arial" w:hAnsi="Arial" w:cs="Arial"/>
        </w:rPr>
      </w:pPr>
      <w:r>
        <w:rPr>
          <w:rFonts w:ascii="Arial" w:eastAsia="Arial" w:hAnsi="Arial" w:cs="Arial"/>
        </w:rPr>
        <w:t xml:space="preserve">(1) Novčanom kaznom od 10.000 do 50.000 eura kaznit će se za prekršaj pravna osoba koja je obveznik prema Uredbi (EU) 2024/1244 ako:</w:t>
      </w:r>
    </w:p>
    <w:p>
      <w:pPr>
        <w:pBdr/>
        <w:pStyle w:val="Normal"/>
        <w:spacing/>
        <w:ind/>
        <w:rPr>
          <w:rFonts w:ascii="Arial" w:eastAsia="Arial" w:hAnsi="Arial" w:cs="Arial"/>
        </w:rPr>
      </w:pPr>
      <w:r>
        <w:rPr>
          <w:rFonts w:ascii="Arial" w:eastAsia="Arial" w:hAnsi="Arial" w:cs="Arial"/>
        </w:rPr>
        <w:t xml:space="preserve">1. u propisanom roku ne dostavi podatke i informacije koje je dužna dostaviti u skladu s člankom 6. Uredbe (EU) 2024/1244</w:t>
      </w:r>
    </w:p>
    <w:p>
      <w:pPr>
        <w:pBdr/>
        <w:pStyle w:val="Normal"/>
        <w:spacing/>
        <w:ind/>
        <w:rPr>
          <w:rFonts w:ascii="Arial" w:eastAsia="Arial" w:hAnsi="Arial" w:cs="Arial"/>
        </w:rPr>
      </w:pPr>
      <w:r>
        <w:rPr>
          <w:rFonts w:ascii="Arial" w:eastAsia="Arial" w:hAnsi="Arial" w:cs="Arial"/>
        </w:rPr>
        <w:t xml:space="preserve">2. pri pribavljanju, utvrđivanju i prijavljivanju podataka ne postupi u skladu s člankom 6. stavcima 3. do 7. Uredbe (EU) 2024/1244</w:t>
      </w:r>
    </w:p>
    <w:p>
      <w:pPr>
        <w:pBdr/>
        <w:pStyle w:val="Normal"/>
        <w:spacing/>
        <w:ind/>
        <w:rPr>
          <w:rFonts w:ascii="Arial" w:eastAsia="Arial" w:hAnsi="Arial" w:cs="Arial"/>
        </w:rPr>
      </w:pPr>
      <w:r>
        <w:rPr>
          <w:rFonts w:ascii="Arial" w:eastAsia="Arial" w:hAnsi="Arial" w:cs="Arial"/>
        </w:rPr>
        <w:t xml:space="preserve">3. ne osigura kvalitetu podataka u skladu s člankom 9. stavkom 1. Uredbe (EU) 2024/1244 ili na zahtjev nadležnog tijela bez odgode ne dostavi ispravljene podatke u skladu s člankom 9. stavkom 2. te Uredbe</w:t>
      </w:r>
    </w:p>
    <w:p>
      <w:pPr>
        <w:pBdr/>
        <w:pStyle w:val="Normal"/>
        <w:spacing/>
        <w:ind/>
        <w:rPr>
          <w:rFonts w:ascii="Arial" w:eastAsia="Arial" w:hAnsi="Arial" w:cs="Arial"/>
        </w:rPr>
      </w:pPr>
      <w:r>
        <w:rPr>
          <w:rFonts w:ascii="Arial" w:eastAsia="Arial" w:hAnsi="Arial" w:cs="Arial"/>
        </w:rPr>
        <w:t xml:space="preserve">4. ne čuva evidencije i podatke odnosno opis metodologije prikupljanja podataka u roku propisanom člankom 6. stavkom 8. Uredbe (EU) 2024/1244.</w:t>
      </w:r>
    </w:p>
    <w:p>
      <w:pPr>
        <w:pBdr/>
        <w:pStyle w:val="Normal"/>
        <w:spacing/>
        <w:ind/>
        <w:rPr>
          <w:rFonts w:ascii="Arial" w:eastAsia="Arial" w:hAnsi="Arial" w:cs="Arial"/>
        </w:rPr>
      </w:pPr>
      <w:r>
        <w:rPr>
          <w:rFonts w:ascii="Arial" w:eastAsia="Arial" w:hAnsi="Arial" w:cs="Arial"/>
        </w:rPr>
        <w:t xml:space="preserve">(2) Za prekršaje iz stavka 1. ovoga članka kaznit će se i odgovorna osoba u pravnoj osobi novčanom kaznom od 1.000,00 do 3.000,00 eura.</w:t>
      </w:r>
    </w:p>
    <w:p>
      <w:pPr>
        <w:pBdr/>
        <w:pStyle w:val="Normal"/>
        <w:spacing/>
        <w:ind/>
        <w:rPr>
          <w:rFonts w:ascii="Arial" w:eastAsia="Arial" w:hAnsi="Arial" w:cs="Arial"/>
        </w:rPr>
      </w:pPr>
      <w:r>
        <w:rPr>
          <w:rFonts w:ascii="Arial" w:eastAsia="Arial" w:hAnsi="Arial" w:cs="Arial"/>
        </w:rPr>
        <w:t xml:space="preserve">(3) Novčanom kaznom od 2.000,00 do 10.000,00 eura kaznit će se fizička osoba – obrtnik odnosno osoba koja obavlja drugu samostalnu djelatnost koja je operater u smislu Uredbe (EU) 2024/1244 za prekršaje iz stavka 1. ovoga članka.</w:t>
      </w:r>
    </w:p>
    <w:p>
      <w:pPr>
        <w:pBdr/>
        <w:pStyle w:val="Normal"/>
        <w:spacing/>
        <w:ind/>
        <w:rPr>
          <w:rFonts w:ascii="Arial" w:eastAsia="Arial" w:hAnsi="Arial" w:cs="Arial"/>
        </w:rPr>
      </w:pPr>
      <w:r>
        <w:rPr>
          <w:rFonts w:ascii="Arial" w:eastAsia="Arial" w:hAnsi="Arial" w:cs="Arial"/>
        </w:rPr>
        <w:t xml:space="preserve">(4) Novčanom kaznom od 1.000,00 do 3.000,00 eura kaznit će se fizička osoba koja je operater u smislu Uredbe (EU) 2024/1244 za prekršaje iz stavka 1. ovoga članka.</w:t>
      </w:r>
    </w:p>
    <w:p>
      <w:pPr>
        <w:pBdr/>
        <w:pStyle w:val="Normal"/>
        <w:spacing/>
        <w:ind/>
        <w:rPr>
          <w:rFonts w:ascii="Arial" w:eastAsia="Arial" w:hAnsi="Arial" w:cs="Arial"/>
        </w:rPr>
      </w:pPr>
      <w:r>
        <w:rPr>
          <w:rFonts w:ascii="Arial" w:eastAsia="Arial" w:hAnsi="Arial" w:cs="Arial"/>
        </w:rPr>
        <w:t xml:space="preserve">(5) Novčanom kaznom od 10.000,00 do 50.000,00 eura kaznit će se za prekršaj pravna osoba koja je obveznik dostave podataka u Registar onečišćavanja okoliša, ako, u odnosu na podatke i informacije čija obveza dostave ne proizlazi iz Uredbe (EU) 2024/1244, ne dostavi podatke u propisanom roku ili dostavi podatke koji nisu vjerodostojni, točni ili ažurni (članak 199. stavak 2.).</w:t>
      </w:r>
    </w:p>
    <w:p>
      <w:pPr>
        <w:pBdr/>
        <w:pStyle w:val="Normal"/>
        <w:spacing/>
        <w:ind/>
        <w:rPr>
          <w:rFonts w:ascii="Arial" w:eastAsia="Arial" w:hAnsi="Arial" w:cs="Arial"/>
        </w:rPr>
      </w:pPr>
      <w:r>
        <w:rPr>
          <w:rFonts w:ascii="Arial" w:eastAsia="Arial" w:hAnsi="Arial" w:cs="Arial"/>
        </w:rPr>
        <w:t xml:space="preserve">(6) Za prekršaj iz stavka 5. ovoga članka kaznit će se i odgovorna osoba u pravnoj osobi novčanom kaznom od 1.000,00 do 3.000,00 eura.</w:t>
      </w:r>
    </w:p>
    <w:p>
      <w:pPr>
        <w:pBdr/>
        <w:pStyle w:val="Normal"/>
        <w:spacing/>
        <w:ind/>
        <w:rPr>
          <w:rFonts w:ascii="Arial" w:eastAsia="Arial" w:hAnsi="Arial" w:cs="Arial"/>
          <w:b/>
          <w:bCs/>
        </w:rPr>
      </w:pPr>
    </w:p>
    <w:p>
      <w:pPr>
        <w:pBdr/>
        <w:pStyle w:val="Heading 2"/>
        <w:spacing/>
        <w:ind/>
        <w:rPr/>
      </w:pPr>
      <w:r>
        <w:rPr/>
        <w:t xml:space="preserve">Članak 345.</w:t>
      </w:r>
    </w:p>
    <w:p>
      <w:pPr>
        <w:pBdr/>
        <w:pStyle w:val="Normal"/>
        <w:spacing/>
        <w:ind/>
        <w:rPr>
          <w:rFonts w:ascii="Arial" w:eastAsia="Arial" w:hAnsi="Arial" w:cs="Arial"/>
        </w:rPr>
      </w:pPr>
      <w:r>
        <w:rPr>
          <w:rFonts w:ascii="Arial" w:eastAsia="Arial" w:hAnsi="Arial" w:cs="Arial"/>
        </w:rPr>
        <w:t xml:space="preserve">(1) Za prekršaje propisane ovim Zakonom prekršajni postupak ne može biti pokrenut kada protekne tri godine od dana počinjenja prekršaja.</w:t>
      </w:r>
    </w:p>
    <w:p>
      <w:pPr>
        <w:pBdr/>
        <w:pStyle w:val="Normal"/>
        <w:spacing/>
        <w:ind/>
        <w:rPr>
          <w:rFonts w:ascii="Arial" w:eastAsia="Arial" w:hAnsi="Arial" w:cs="Arial"/>
        </w:rPr>
      </w:pPr>
      <w:r>
        <w:rPr>
          <w:rFonts w:ascii="Arial" w:eastAsia="Arial" w:hAnsi="Arial" w:cs="Arial"/>
        </w:rPr>
        <w:t xml:space="preserve">(2) Izrečene prekršajne sankcije ne mogu biti izvršene ako od dana pravomoćnosti odluke o prekršaju protekne tri godine.</w:t>
      </w:r>
    </w:p>
    <w:p>
      <w:pPr>
        <w:pBdr/>
        <w:pStyle w:val="Normal"/>
        <w:spacing/>
        <w:ind/>
        <w:rPr>
          <w:rFonts w:ascii="Arial" w:eastAsia="Arial" w:hAnsi="Arial" w:cs="Arial"/>
          <w:b/>
          <w:bCs/>
        </w:rPr>
      </w:pPr>
    </w:p>
    <w:p>
      <w:pPr>
        <w:pBdr/>
        <w:pStyle w:val="Heading 1"/>
        <w:spacing/>
        <w:ind/>
        <w:rPr>
          <w:rFonts w:ascii="Arial" w:eastAsia="Arial" w:hAnsi="Arial" w:cs="Arial"/>
          <w:szCs w:val="24"/>
        </w:rPr>
      </w:pPr>
      <w:r>
        <w:rPr>
          <w:rFonts w:ascii="Arial" w:eastAsia="Arial" w:hAnsi="Arial" w:cs="Arial"/>
          <w:szCs w:val="24"/>
        </w:rPr>
        <w:t xml:space="preserve">DIO SEDAMNAESTI PRIJELAZNE I ZAVRŠNE ODREDBE</w:t>
      </w:r>
    </w:p>
    <w:p>
      <w:pPr>
        <w:pBdr/>
        <w:pStyle w:val="Heading 2"/>
        <w:spacing/>
        <w:ind/>
        <w:rPr/>
      </w:pPr>
      <w:r>
        <w:rPr/>
        <w:t xml:space="preserve">Dovršetak započetih postupaka</w:t>
      </w:r>
    </w:p>
    <w:p>
      <w:pPr>
        <w:pBdr/>
        <w:pStyle w:val="Heading 2"/>
        <w:spacing/>
        <w:ind/>
        <w:rPr/>
      </w:pPr>
      <w:r>
        <w:rPr/>
        <w:t xml:space="preserve">Članak 346.</w:t>
      </w:r>
    </w:p>
    <w:p>
      <w:pPr>
        <w:pBdr/>
        <w:pStyle w:val="Normal"/>
        <w:spacing/>
        <w:ind/>
        <w:rPr>
          <w:rFonts w:ascii="Arial" w:eastAsia="Arial" w:hAnsi="Arial" w:cs="Arial"/>
        </w:rPr>
      </w:pPr>
      <w:r>
        <w:rPr>
          <w:rFonts w:ascii="Arial" w:eastAsia="Arial" w:hAnsi="Arial" w:cs="Arial"/>
        </w:rPr>
        <w:t xml:space="preserve">(1) Postupci pokrenuti prema odredbama Zakona o zaštiti okoliša (»Narodne novine«, broj 80/13., 153/13., 78/15., 12/18. i 118/18.) prije stupanja na snagu ovoga Zakona dovršit će se prema odredbama toga Zakona, osim ako je ovim Zakonom drukčije propisano.</w:t>
      </w:r>
    </w:p>
    <w:p>
      <w:pPr>
        <w:pBdr/>
        <w:pStyle w:val="Normal"/>
        <w:spacing/>
        <w:ind/>
        <w:rPr>
          <w:rFonts w:ascii="Arial" w:eastAsia="Arial" w:hAnsi="Arial" w:cs="Arial"/>
        </w:rPr>
      </w:pPr>
      <w:r>
        <w:rPr>
          <w:rFonts w:ascii="Arial" w:eastAsia="Arial" w:hAnsi="Arial" w:cs="Arial"/>
        </w:rPr>
        <w:t xml:space="preserve">(2) Iznimno od stavka 1. ovoga članka, u postupcima izdavanja, izmjene i/ili dopune te preispitivanja okolišne dozvole koji su započeti prije stupanja na snagu ovoga Zakona, a do tada nisu dovršeni, zamjenski parametri i smanjena učestalost praćenja emisija mogu se odobriti samo pod uvjetima iz članka 113. stavaka 2. i 3. ovoga Zakona.</w:t>
      </w:r>
    </w:p>
    <w:p>
      <w:pPr>
        <w:pBdr/>
        <w:pStyle w:val="Normal"/>
        <w:spacing/>
        <w:ind/>
        <w:rPr>
          <w:rFonts w:ascii="Arial" w:eastAsia="Arial" w:hAnsi="Arial" w:cs="Arial"/>
        </w:rPr>
      </w:pPr>
    </w:p>
    <w:p>
      <w:pPr>
        <w:pBdr/>
        <w:pStyle w:val="Heading 2"/>
        <w:spacing/>
        <w:ind/>
        <w:rPr/>
      </w:pPr>
      <w:r>
        <w:rPr/>
        <w:t xml:space="preserve">Rokovi za donošenje uredbi</w:t>
      </w:r>
    </w:p>
    <w:p>
      <w:pPr>
        <w:pBdr/>
        <w:pStyle w:val="Heading 2"/>
        <w:spacing/>
        <w:ind/>
        <w:rPr/>
      </w:pPr>
      <w:r>
        <w:rPr/>
        <w:t xml:space="preserve">Članak 347.</w:t>
      </w:r>
    </w:p>
    <w:p>
      <w:pPr>
        <w:pBdr/>
        <w:pStyle w:val="Normal"/>
        <w:spacing/>
        <w:ind/>
        <w:rPr>
          <w:rFonts w:ascii="Arial" w:eastAsia="Arial" w:hAnsi="Arial" w:cs="Arial"/>
        </w:rPr>
      </w:pPr>
      <w:r>
        <w:rPr>
          <w:rFonts w:ascii="Arial" w:eastAsia="Arial" w:hAnsi="Arial" w:cs="Arial"/>
        </w:rPr>
        <w:t xml:space="preserve">(1) Vlada će u roku od dvije godine od dana stupanja na snagu ovoga Zakona donijeti uredbe iz članka 20. stavka 4. i članka 36. stavaka 1. i 3. ovoga Zakona.</w:t>
      </w:r>
    </w:p>
    <w:p>
      <w:pPr>
        <w:pBdr/>
        <w:pStyle w:val="Normal"/>
        <w:spacing/>
        <w:ind/>
        <w:rPr>
          <w:rFonts w:ascii="Arial" w:eastAsia="Arial" w:hAnsi="Arial" w:cs="Arial"/>
        </w:rPr>
      </w:pPr>
      <w:r>
        <w:rPr>
          <w:rFonts w:ascii="Arial" w:eastAsia="Arial" w:hAnsi="Arial" w:cs="Arial"/>
        </w:rPr>
        <w:t xml:space="preserve">(2) Vlada će u roku od godine dana od dana stupanja na snagu ovoga Zakona donijeti uredbe iz članka 14. stavka 10., članka 39. stavka 6., članka 56. stavka 4., članka 76. stavka 5., članka 169. stavka 2. i članka 250. stavka 5. ovoga Zakona.</w:t>
      </w:r>
    </w:p>
    <w:p>
      <w:pPr>
        <w:pBdr/>
        <w:pStyle w:val="Normal"/>
        <w:spacing/>
        <w:ind/>
        <w:rPr>
          <w:rFonts w:ascii="Arial" w:eastAsia="Arial" w:hAnsi="Arial" w:cs="Arial"/>
        </w:rPr>
      </w:pPr>
    </w:p>
    <w:p>
      <w:pPr>
        <w:pBdr/>
        <w:pStyle w:val="Heading 2"/>
        <w:spacing/>
        <w:ind/>
        <w:rPr/>
      </w:pPr>
      <w:r>
        <w:rPr/>
        <w:t xml:space="preserve">Rokovi za donošenje pravilnika</w:t>
      </w:r>
    </w:p>
    <w:p>
      <w:pPr>
        <w:pBdr/>
        <w:pStyle w:val="Heading 2"/>
        <w:spacing/>
        <w:ind/>
        <w:rPr/>
      </w:pPr>
      <w:r>
        <w:rPr/>
        <w:t xml:space="preserve">Članak 348.</w:t>
      </w:r>
    </w:p>
    <w:p>
      <w:pPr>
        <w:pBdr/>
        <w:pStyle w:val="Normal"/>
        <w:spacing/>
        <w:ind/>
        <w:rPr>
          <w:rFonts w:ascii="Arial" w:eastAsia="Arial" w:hAnsi="Arial" w:cs="Arial"/>
        </w:rPr>
      </w:pPr>
      <w:r>
        <w:rPr>
          <w:rFonts w:ascii="Arial" w:eastAsia="Arial" w:hAnsi="Arial" w:cs="Arial"/>
        </w:rPr>
        <w:t xml:space="preserve">(1) Ministar će u roku od godine dana od dana stupanja na snagu ovoga Zakona donijeti pravilnike iz članka 95. stavka 4., članka 179. stavka 4., članka 189. stavka 3., članka 199. stavka 5., članka 222., članka 278. stavka 4., članka 282. stavka 4. i članka 283. stavka 2. ovoga Zakona.</w:t>
      </w:r>
    </w:p>
    <w:p>
      <w:pPr>
        <w:pBdr/>
        <w:pStyle w:val="Normal"/>
        <w:spacing/>
        <w:ind/>
        <w:rPr>
          <w:rFonts w:ascii="Arial" w:eastAsia="Arial" w:hAnsi="Arial" w:cs="Arial"/>
        </w:rPr>
      </w:pPr>
      <w:r>
        <w:rPr>
          <w:rFonts w:ascii="Arial" w:eastAsia="Arial" w:hAnsi="Arial" w:cs="Arial"/>
        </w:rPr>
        <w:t xml:space="preserve">(2) Ministar će u roku od dvije godine od dana stupanja na snagu ovoga Zakona donijeti pravilnik iz članka 145. stavka 5. ovoga Zakona.</w:t>
      </w:r>
    </w:p>
    <w:p>
      <w:pPr>
        <w:pBdr/>
        <w:pStyle w:val="Normal"/>
        <w:spacing/>
        <w:ind/>
        <w:rPr>
          <w:rFonts w:ascii="Arial" w:eastAsia="Arial" w:hAnsi="Arial" w:cs="Arial"/>
        </w:rPr>
      </w:pPr>
      <w:r>
        <w:rPr>
          <w:rFonts w:ascii="Arial" w:eastAsia="Arial" w:hAnsi="Arial" w:cs="Arial"/>
        </w:rPr>
        <w:t xml:space="preserve">(3) Ministar će donijeti pravilnik iz članka 163. stavka 1. ovoga Zakona u roku od godine dana od dana stupanja na snagu provedbenog akta Europske komisije donesenog na temelju članka 70.i stavka 2. Direktive 2010/75/EU kojim se utvrđuju jedinstveni uvjeti za operativna pravila za svaku od djelatnosti iz Priloga I.a toj Direktivi, a ako taj akt stupi na snagu prije stupanja na snagu ovoga Zakona, u roku od godine dana od dana stupanja na snagu ovoga Zakona.</w:t>
      </w:r>
    </w:p>
    <w:p>
      <w:pPr>
        <w:pBdr/>
        <w:pStyle w:val="Normal"/>
        <w:spacing/>
        <w:ind/>
        <w:rPr>
          <w:rFonts w:ascii="Arial" w:eastAsia="Arial" w:hAnsi="Arial" w:cs="Arial"/>
        </w:rPr>
      </w:pPr>
      <w:r>
        <w:rPr>
          <w:rFonts w:ascii="Arial" w:eastAsia="Arial" w:hAnsi="Arial" w:cs="Arial"/>
        </w:rPr>
        <w:t xml:space="preserve">(4) Ministar će u roku od godine dana od dana stupanja na snagu uredbe iz članka 76. stavka 5. ovoga Zakona donijeti pravilnik iz članka 119. stavka 3. ovoga Zakona.</w:t>
      </w:r>
    </w:p>
    <w:p>
      <w:pPr>
        <w:pBdr/>
        <w:pStyle w:val="Normal"/>
        <w:spacing/>
        <w:ind/>
        <w:rPr>
          <w:rFonts w:ascii="Arial" w:eastAsia="Arial" w:hAnsi="Arial" w:cs="Arial"/>
          <w:i/>
        </w:rPr>
      </w:pPr>
    </w:p>
    <w:p>
      <w:pPr>
        <w:pBdr/>
        <w:pStyle w:val="Heading 2"/>
        <w:spacing/>
        <w:ind/>
        <w:rPr/>
      </w:pPr>
      <w:r>
        <w:rPr/>
        <w:t xml:space="preserve">Daljnja primjena postojećih provedbenih propisa</w:t>
      </w:r>
    </w:p>
    <w:p>
      <w:pPr>
        <w:pBdr/>
        <w:pStyle w:val="Heading 2"/>
        <w:spacing/>
        <w:ind/>
        <w:rPr/>
      </w:pPr>
      <w:r>
        <w:rPr/>
        <w:t xml:space="preserve">Članak 349.</w:t>
      </w:r>
    </w:p>
    <w:p>
      <w:pPr>
        <w:pBdr/>
        <w:pStyle w:val="Normal"/>
        <w:spacing/>
        <w:ind/>
        <w:rPr>
          <w:rFonts w:ascii="Arial" w:eastAsia="Arial" w:hAnsi="Arial" w:cs="Arial"/>
        </w:rPr>
      </w:pPr>
      <w:r>
        <w:rPr>
          <w:rFonts w:ascii="Arial" w:eastAsia="Arial" w:hAnsi="Arial" w:cs="Arial"/>
        </w:rPr>
        <w:t xml:space="preserve">(1) Do dana stupanja na snagu podzakonskih akata donesenih na temelju ovoga Zakona ostaju na snazi propisi doneseni na temelju Zakona o zaštiti okoliša (»Narodne novine«, broj 80/13., 153/13., 78/15., 12/18. i 118/18.), u dijelu u kojem nisu u suprotnosti s odredbama ovoga Zakona.</w:t>
      </w:r>
    </w:p>
    <w:p>
      <w:pPr>
        <w:pBdr/>
        <w:pStyle w:val="Normal"/>
        <w:spacing/>
        <w:ind/>
        <w:rPr>
          <w:rFonts w:ascii="Arial" w:eastAsia="Arial" w:hAnsi="Arial" w:cs="Arial"/>
        </w:rPr>
      </w:pPr>
      <w:r>
        <w:rPr>
          <w:rFonts w:ascii="Arial" w:eastAsia="Arial" w:hAnsi="Arial" w:cs="Arial"/>
        </w:rPr>
        <w:t xml:space="preserve">(2) Do dana stupanja na snagu uredbe iz članka 20. stavka 4. ovoga Zakona ostaje na snazi Uredba o izradi i provedbi dokumenata Strategije upravljanja morskim okolišem i obalnim područjem (»Narodne novine«, broj 112/14., 39/17. i 112/18.).</w:t>
      </w:r>
    </w:p>
    <w:p>
      <w:pPr>
        <w:pBdr/>
        <w:pStyle w:val="Normal"/>
        <w:spacing/>
        <w:ind/>
        <w:rPr>
          <w:rFonts w:ascii="Arial" w:eastAsia="Arial" w:hAnsi="Arial" w:cs="Arial"/>
        </w:rPr>
      </w:pPr>
      <w:r>
        <w:rPr>
          <w:rFonts w:ascii="Arial" w:eastAsia="Arial" w:hAnsi="Arial" w:cs="Arial"/>
        </w:rPr>
        <w:t xml:space="preserve">(3) Do dana stupanja na snagu uredbe iz članka 36. stavka 1. ovoga Zakona kojom se uređuje kakvoća mora za kupanje ostaje na snazi Uredba o kakvoći mora za kupanje (»Narodne novine«, broj 73/08.).</w:t>
      </w:r>
    </w:p>
    <w:p>
      <w:pPr>
        <w:pBdr/>
        <w:pStyle w:val="Normal"/>
        <w:spacing/>
        <w:ind/>
        <w:rPr>
          <w:rFonts w:ascii="Arial" w:eastAsia="Arial" w:hAnsi="Arial" w:cs="Arial"/>
        </w:rPr>
      </w:pPr>
      <w:r>
        <w:rPr>
          <w:rFonts w:ascii="Arial" w:eastAsia="Arial" w:hAnsi="Arial" w:cs="Arial"/>
        </w:rPr>
        <w:t xml:space="preserve">(4) Do dana stupanja na snagu pravilnika iz članka 145. stavka 5. ovoga Zakona na utvrđivanje obveze izrade, izradu i odobravanje temeljnog izvješća primjenjuju se odredbe članaka 38. i 39. Uredbe o okolišnoj dozvoli (»Narodne novine«, broj 8/14. i 5/18.).</w:t>
      </w:r>
    </w:p>
    <w:p>
      <w:pPr>
        <w:pBdr/>
        <w:pStyle w:val="Normal"/>
        <w:spacing/>
        <w:ind/>
        <w:rPr>
          <w:rFonts w:ascii="Arial" w:eastAsia="Arial" w:hAnsi="Arial" w:cs="Arial"/>
        </w:rPr>
      </w:pPr>
    </w:p>
    <w:p>
      <w:pPr>
        <w:pBdr/>
        <w:pStyle w:val="Heading 2"/>
        <w:spacing/>
        <w:ind/>
        <w:rPr/>
      </w:pPr>
      <w:r>
        <w:rPr/>
        <w:t xml:space="preserve">Važenje odluke o Referentnom centru za more</w:t>
      </w:r>
    </w:p>
    <w:p>
      <w:pPr>
        <w:pBdr/>
        <w:pStyle w:val="Heading 2"/>
        <w:spacing/>
        <w:ind/>
        <w:rPr/>
      </w:pPr>
      <w:r>
        <w:rPr/>
        <w:t xml:space="preserve">Članak 350.</w:t>
      </w:r>
    </w:p>
    <w:p>
      <w:pPr>
        <w:pBdr/>
        <w:pStyle w:val="Normal"/>
        <w:spacing/>
        <w:ind/>
        <w:rPr>
          <w:rFonts w:ascii="Arial" w:eastAsia="Arial" w:hAnsi="Arial" w:cs="Arial"/>
        </w:rPr>
      </w:pPr>
      <w:r>
        <w:rPr>
          <w:rFonts w:ascii="Arial" w:eastAsia="Arial" w:hAnsi="Arial" w:cs="Arial"/>
        </w:rPr>
        <w:t xml:space="preserve">Odluka o određivanju Referentnog centra za more (»Narodne novine«, broj 121/25.), donesena na temelju članka 145. stavka 1. Zakona o zaštiti okoliša (»Narodne novine«, br. 80/13., 153/13., 78/15., 12/18. i 118/18.), ostaje na snazi do isteka roka utvrđenog tom Odlukom.</w:t>
      </w:r>
    </w:p>
    <w:p>
      <w:pPr>
        <w:pBdr/>
        <w:pStyle w:val="Normal"/>
        <w:spacing/>
        <w:ind/>
        <w:rPr>
          <w:rFonts w:ascii="Arial" w:eastAsia="Arial" w:hAnsi="Arial" w:cs="Arial"/>
        </w:rPr>
      </w:pPr>
    </w:p>
    <w:p>
      <w:pPr>
        <w:pBdr/>
        <w:pStyle w:val="Heading 2"/>
        <w:spacing/>
        <w:ind/>
        <w:rPr/>
      </w:pPr>
      <w:r>
        <w:rPr/>
        <w:t xml:space="preserve">Rokovi za donošenje planskih dokumenata</w:t>
      </w:r>
    </w:p>
    <w:p>
      <w:pPr>
        <w:pBdr/>
        <w:pStyle w:val="Heading 2"/>
        <w:spacing/>
        <w:ind/>
        <w:rPr/>
      </w:pPr>
      <w:r>
        <w:rPr/>
        <w:t xml:space="preserve">Članak 351.</w:t>
      </w:r>
    </w:p>
    <w:p>
      <w:pPr>
        <w:pBdr/>
        <w:pStyle w:val="Normal"/>
        <w:spacing/>
        <w:ind/>
        <w:rPr>
          <w:rFonts w:ascii="Arial" w:eastAsia="Arial" w:hAnsi="Arial" w:cs="Arial"/>
        </w:rPr>
      </w:pPr>
      <w:r>
        <w:rPr>
          <w:rFonts w:ascii="Arial" w:eastAsia="Arial" w:hAnsi="Arial" w:cs="Arial"/>
        </w:rPr>
        <w:t xml:space="preserve">(1) Vlada će u roku od godine dana od dana stupanja na snagu ovoga Zakona donijeti Plan zaštite okoliša Republike Hrvatske iz članka 17. ovoga Zakona.</w:t>
      </w:r>
    </w:p>
    <w:p>
      <w:pPr>
        <w:pBdr/>
        <w:pStyle w:val="Normal"/>
        <w:spacing/>
        <w:ind/>
        <w:rPr>
          <w:rFonts w:ascii="Arial" w:eastAsia="Arial" w:hAnsi="Arial" w:cs="Arial"/>
        </w:rPr>
      </w:pPr>
      <w:r>
        <w:rPr>
          <w:rFonts w:ascii="Arial" w:eastAsia="Arial" w:hAnsi="Arial" w:cs="Arial"/>
        </w:rPr>
        <w:t xml:space="preserve">(2) Vlada će u roku od godine dana od dana stupanja na snagu ovoga Zakona donijeti Plan intervencija iz članka 22. ovoga Zakona.</w:t>
      </w:r>
    </w:p>
    <w:p>
      <w:pPr>
        <w:pBdr/>
        <w:pStyle w:val="Normal"/>
        <w:spacing/>
        <w:ind/>
        <w:rPr>
          <w:rFonts w:ascii="Arial" w:eastAsia="Arial" w:hAnsi="Arial" w:cs="Arial"/>
        </w:rPr>
      </w:pPr>
      <w:r>
        <w:rPr>
          <w:rFonts w:ascii="Arial" w:eastAsia="Arial" w:hAnsi="Arial" w:cs="Arial"/>
        </w:rPr>
        <w:t xml:space="preserve">(3) Predstavničko tijelo županije, Grada Zagreba odnosno velikog grada u roku od šest mjeseci od dana donošenja Plana iz stavka 1. ovoga članka donijet će Program zaštite okoliša iz članka 18. ovoga Zakona.</w:t>
      </w:r>
    </w:p>
    <w:p>
      <w:pPr>
        <w:pBdr/>
        <w:pStyle w:val="Normal"/>
        <w:spacing/>
        <w:ind/>
        <w:rPr>
          <w:rFonts w:ascii="Arial" w:eastAsia="Arial" w:hAnsi="Arial" w:cs="Arial"/>
        </w:rPr>
      </w:pPr>
    </w:p>
    <w:p>
      <w:pPr>
        <w:pBdr/>
        <w:pStyle w:val="Heading 2"/>
        <w:spacing/>
        <w:ind/>
        <w:rPr/>
      </w:pPr>
      <w:r>
        <w:rPr/>
        <w:t xml:space="preserve">Prilagodba informacijskih sustava</w:t>
      </w:r>
    </w:p>
    <w:p>
      <w:pPr>
        <w:pBdr/>
        <w:pStyle w:val="Heading 2"/>
        <w:spacing/>
        <w:ind/>
        <w:rPr/>
      </w:pPr>
      <w:r>
        <w:rPr/>
        <w:t xml:space="preserve">Članak 352.</w:t>
      </w:r>
    </w:p>
    <w:p>
      <w:pPr>
        <w:pBdr/>
        <w:pStyle w:val="Normal"/>
        <w:spacing/>
        <w:ind/>
        <w:rPr>
          <w:rFonts w:ascii="Arial" w:eastAsia="Arial" w:hAnsi="Arial" w:cs="Arial"/>
        </w:rPr>
      </w:pPr>
      <w:r>
        <w:rPr>
          <w:rFonts w:ascii="Arial" w:eastAsia="Arial" w:hAnsi="Arial" w:cs="Arial"/>
        </w:rPr>
        <w:t xml:space="preserve">(1) Informacijski sustav zaštite okoliša uskladit će se u roku od dvije godine od dana stupanja na snagu ovoga Zakona s odredbama ovoga Zakona.</w:t>
      </w:r>
    </w:p>
    <w:p>
      <w:pPr>
        <w:pBdr/>
        <w:pStyle w:val="Normal"/>
        <w:spacing/>
        <w:ind/>
        <w:rPr>
          <w:rFonts w:ascii="Arial" w:eastAsia="Arial" w:hAnsi="Arial" w:cs="Arial"/>
        </w:rPr>
      </w:pPr>
      <w:r>
        <w:rPr>
          <w:rFonts w:ascii="Arial" w:eastAsia="Arial" w:hAnsi="Arial" w:cs="Arial"/>
        </w:rPr>
        <w:t xml:space="preserve">(2) Tijela javne vlasti iz članka 217. stavka 4. ovoga Zakona dužna su u roku od dvije godine od dana stupanja na snagu ovoga Zakona svoje informacijske sustave prilagoditi za povezivanje s ISZOP-</w:t>
      </w:r>
      <w:r>
        <w:rPr>
          <w:rFonts w:ascii="Arial" w:eastAsia="Arial" w:hAnsi="Arial" w:cs="Arial"/>
        </w:rPr>
        <w:t xml:space="preserve">om i omogućiti dostupnost podataka propisanih člankom 217. stavkom 4. ovoga Zakona.</w:t>
      </w:r>
    </w:p>
    <w:p>
      <w:pPr>
        <w:pBdr/>
        <w:pStyle w:val="Normal"/>
        <w:spacing/>
        <w:ind/>
        <w:rPr>
          <w:rFonts w:ascii="Arial" w:eastAsia="Arial" w:hAnsi="Arial" w:cs="Arial"/>
        </w:rPr>
      </w:pPr>
      <w:r>
        <w:rPr>
          <w:rFonts w:ascii="Arial" w:eastAsia="Arial" w:hAnsi="Arial" w:cs="Arial"/>
        </w:rPr>
        <w:t xml:space="preserve">(3) Do uspostave elektroničkog modula Očevidnika izdanih okolišnih dozvola iz članka 95. stavka 1. ovoga Zakona, Ministarstvo odnosno Zavod nastavlja voditi Očevidnik na dosadašnji način.</w:t>
      </w:r>
    </w:p>
    <w:p>
      <w:pPr>
        <w:pBdr/>
        <w:pStyle w:val="Normal"/>
        <w:spacing/>
        <w:ind/>
        <w:rPr>
          <w:rFonts w:ascii="Arial" w:eastAsia="Arial" w:hAnsi="Arial" w:cs="Arial"/>
        </w:rPr>
      </w:pPr>
    </w:p>
    <w:p>
      <w:pPr>
        <w:pBdr/>
        <w:pStyle w:val="Heading 2"/>
        <w:spacing/>
        <w:ind/>
        <w:rPr/>
      </w:pPr>
      <w:r>
        <w:rPr/>
        <w:t xml:space="preserve">Dostava podataka do uspostave elektroničkog sustava</w:t>
      </w:r>
    </w:p>
    <w:p>
      <w:pPr>
        <w:pBdr/>
        <w:pStyle w:val="Heading 2"/>
        <w:spacing/>
        <w:ind/>
        <w:rPr/>
      </w:pPr>
      <w:r>
        <w:rPr/>
        <w:t xml:space="preserve">Članak 353.</w:t>
      </w:r>
    </w:p>
    <w:p>
      <w:pPr>
        <w:pBdr/>
        <w:pStyle w:val="Normal"/>
        <w:spacing/>
        <w:ind/>
        <w:rPr>
          <w:rFonts w:ascii="Arial" w:eastAsia="Arial" w:hAnsi="Arial" w:cs="Arial"/>
        </w:rPr>
      </w:pPr>
      <w:r>
        <w:rPr>
          <w:rFonts w:ascii="Arial" w:eastAsia="Arial" w:hAnsi="Arial" w:cs="Arial"/>
        </w:rPr>
        <w:t xml:space="preserve">(1) Do uspostave pune funkcionalnosti ISZOP-</w:t>
      </w:r>
      <w:r>
        <w:rPr>
          <w:rFonts w:ascii="Arial" w:eastAsia="Arial" w:hAnsi="Arial" w:cs="Arial"/>
        </w:rPr>
        <w:t xml:space="preserve">a u dijelu koji se odnosi na izravan unos i dostavu podataka, operateri i ovlašteni laboratoriji dužni su izvješća o praćenju emisija i stanja okoliša te druge propisane podatke dostavljati nadležnim tijelima na način i u rokovima propisanim posebnim propisima kojima se uređuje zaštita zraka, voda, tla i gospodarenje otpadom te uvjetima utvrđenim u okolišnoj dozvoli odnosno operativnim pravilima i rješenju o registraciji postrojenja.</w:t>
      </w:r>
    </w:p>
    <w:p>
      <w:pPr>
        <w:pBdr/>
        <w:pStyle w:val="Normal"/>
        <w:spacing/>
        <w:ind/>
        <w:rPr>
          <w:rFonts w:ascii="Arial" w:eastAsia="Arial" w:hAnsi="Arial" w:cs="Arial"/>
          <w:iCs/>
        </w:rPr>
      </w:pPr>
      <w:r>
        <w:rPr>
          <w:rFonts w:ascii="Arial" w:eastAsia="Arial" w:hAnsi="Arial" w:cs="Arial"/>
        </w:rPr>
        <w:t xml:space="preserve">(2) Ministarstvo obavještava javnost i operatere o uspostavi pune funkcionalnosti sustava iz stavka 1. ovoga članka objavom obavijesti na svojim mrežnim stranicama.</w:t>
      </w:r>
    </w:p>
    <w:p>
      <w:pPr>
        <w:pBdr/>
        <w:pStyle w:val="Normal"/>
        <w:spacing/>
        <w:ind/>
        <w:rPr>
          <w:rFonts w:ascii="Arial" w:eastAsia="Arial" w:hAnsi="Arial" w:cs="Arial"/>
          <w:i/>
          <w:iCs/>
          <w:color w:val="000000"/>
        </w:rPr>
      </w:pPr>
    </w:p>
    <w:p>
      <w:pPr>
        <w:pBdr/>
        <w:pStyle w:val="Heading 2"/>
        <w:spacing/>
        <w:ind/>
        <w:rPr/>
      </w:pPr>
      <w:r>
        <w:rPr/>
        <w:t xml:space="preserve">Uspostava e-Okoliša</w:t>
      </w:r>
    </w:p>
    <w:p>
      <w:pPr>
        <w:pBdr/>
        <w:pStyle w:val="Heading 2"/>
        <w:spacing/>
        <w:ind/>
        <w:rPr/>
      </w:pPr>
      <w:r>
        <w:rPr/>
        <w:t xml:space="preserve">Članak 354.</w:t>
      </w:r>
    </w:p>
    <w:p>
      <w:pPr>
        <w:pBdr/>
        <w:pStyle w:val="Normal"/>
        <w:spacing/>
        <w:ind/>
        <w:rPr>
          <w:rFonts w:ascii="Arial" w:eastAsia="Arial" w:hAnsi="Arial" w:cs="Arial"/>
        </w:rPr>
      </w:pPr>
      <w:r>
        <w:rPr>
          <w:rFonts w:ascii="Arial" w:eastAsia="Arial" w:hAnsi="Arial" w:cs="Arial"/>
        </w:rPr>
        <w:t xml:space="preserve">(1) e-</w:t>
      </w:r>
      <w:r>
        <w:rPr>
          <w:rFonts w:ascii="Arial" w:eastAsia="Arial" w:hAnsi="Arial" w:cs="Arial"/>
        </w:rPr>
        <w:t xml:space="preserve">Okoliš će se u potpunosti uspostaviti najkasnije do 31. prosinca 2031. </w:t>
      </w:r>
    </w:p>
    <w:p>
      <w:pPr>
        <w:pBdr/>
        <w:pStyle w:val="Normal"/>
        <w:spacing/>
        <w:ind/>
        <w:rPr>
          <w:rFonts w:ascii="Arial" w:eastAsia="Arial" w:hAnsi="Arial" w:cs="Arial"/>
        </w:rPr>
      </w:pPr>
      <w:r>
        <w:rPr>
          <w:rFonts w:ascii="Arial" w:eastAsia="Arial" w:hAnsi="Arial" w:cs="Arial"/>
        </w:rPr>
        <w:t xml:space="preserve">(2) Pojedine funkcionalne cjeline i vrste postupaka mogu se uključivati u e-</w:t>
      </w:r>
      <w:r>
        <w:rPr>
          <w:rFonts w:ascii="Arial" w:eastAsia="Arial" w:hAnsi="Arial" w:cs="Arial"/>
        </w:rPr>
        <w:t xml:space="preserve">Okoliš postupno, do njegove potpune uspostave.</w:t>
      </w:r>
    </w:p>
    <w:p>
      <w:pPr>
        <w:pBdr/>
        <w:pStyle w:val="Normal"/>
        <w:spacing/>
        <w:ind/>
        <w:rPr>
          <w:rFonts w:ascii="Arial" w:eastAsia="Arial" w:hAnsi="Arial" w:cs="Arial"/>
        </w:rPr>
      </w:pPr>
      <w:r>
        <w:rPr>
          <w:rFonts w:ascii="Arial" w:eastAsia="Arial" w:hAnsi="Arial" w:cs="Arial"/>
        </w:rPr>
        <w:t xml:space="preserve">(3) Do potpune uspostave e-</w:t>
      </w:r>
      <w:r>
        <w:rPr>
          <w:rFonts w:ascii="Arial" w:eastAsia="Arial" w:hAnsi="Arial" w:cs="Arial"/>
        </w:rPr>
        <w:t xml:space="preserve">Okoliša iz stavka 1. ovoga članka zahtjevi i dokumentacija podnose se u skladu s odredbama ovoga Zakona. </w:t>
      </w:r>
    </w:p>
    <w:p>
      <w:pPr>
        <w:pBdr/>
        <w:pStyle w:val="Normal"/>
        <w:spacing/>
        <w:ind/>
        <w:rPr>
          <w:rFonts w:ascii="Arial" w:eastAsia="Arial" w:hAnsi="Arial" w:cs="Arial"/>
        </w:rPr>
      </w:pPr>
    </w:p>
    <w:p>
      <w:pPr>
        <w:pBdr/>
        <w:pStyle w:val="Heading 2"/>
        <w:spacing/>
        <w:ind/>
        <w:rPr/>
      </w:pPr>
      <w:r>
        <w:rPr/>
        <w:t xml:space="preserve">Usklađivanje ovlaštenika i stručnih osoba</w:t>
      </w:r>
    </w:p>
    <w:p>
      <w:pPr>
        <w:pBdr/>
        <w:pStyle w:val="Heading 2"/>
        <w:spacing/>
        <w:ind/>
        <w:rPr/>
      </w:pPr>
      <w:r>
        <w:rPr/>
        <w:t xml:space="preserve">Članak 355.</w:t>
      </w:r>
    </w:p>
    <w:p>
      <w:pPr>
        <w:pBdr/>
        <w:pStyle w:val="Normal"/>
        <w:spacing/>
        <w:ind/>
        <w:rPr>
          <w:rFonts w:ascii="Arial" w:eastAsia="Arial" w:hAnsi="Arial" w:cs="Arial"/>
        </w:rPr>
      </w:pPr>
      <w:r>
        <w:rPr>
          <w:rFonts w:ascii="Arial" w:eastAsia="Arial" w:hAnsi="Arial" w:cs="Arial"/>
        </w:rPr>
        <w:t xml:space="preserve">(1) Ovlaštenici koji na dan stupanja na snagu ovoga Zakona imaju važeću suglasnost za obavljanje stručnih poslova zaštite okoliša dužni su u roku od dvije godine od dana stupanja na snagu ovoga Zakona ishoditi novu suglasnost u skladu s odredbama ovoga Zakona.</w:t>
      </w:r>
    </w:p>
    <w:p>
      <w:pPr>
        <w:pBdr/>
        <w:pStyle w:val="Normal"/>
        <w:spacing/>
        <w:ind/>
        <w:rPr>
          <w:rFonts w:ascii="Arial" w:eastAsia="Arial" w:hAnsi="Arial" w:cs="Arial"/>
        </w:rPr>
      </w:pPr>
      <w:r>
        <w:rPr>
          <w:rFonts w:ascii="Arial" w:eastAsia="Arial" w:hAnsi="Arial" w:cs="Arial"/>
          <w:color w:val="000000"/>
        </w:rPr>
        <w:t xml:space="preserve">(2) Do ishođenja nove suglasnosti iz stavka 1. ovoga članka, a najdulje do isteka roka iz stavka 1. ovoga članka, ovlaštenici iz stavka 1. ovoga članka mogu nastaviti obavljati stručne poslove za koje im je izdana suglasnost do dana stupanja na snagu ovoga Zakona.</w:t>
      </w:r>
    </w:p>
    <w:p>
      <w:pPr>
        <w:pBdr/>
        <w:pStyle w:val="Normal"/>
        <w:spacing/>
        <w:ind/>
        <w:rPr>
          <w:rFonts w:ascii="Arial" w:eastAsia="Arial" w:hAnsi="Arial" w:cs="Arial"/>
          <w:color w:val="000000"/>
        </w:rPr>
      </w:pPr>
      <w:r>
        <w:rPr>
          <w:rFonts w:ascii="Arial" w:eastAsia="Arial" w:hAnsi="Arial" w:cs="Arial"/>
          <w:color w:val="000000"/>
        </w:rPr>
        <w:t xml:space="preserve">(3) Stručne osobe koje na dan stupanja na snagu ovoga Zakona obavljaju stručne poslove iz članka 26. stavka 2. ovoga Zakona prema uvjetima propisanima dosadašnjim </w:t>
      </w:r>
      <w:r>
        <w:rPr>
          <w:rFonts w:ascii="Arial" w:eastAsia="Arial" w:hAnsi="Arial" w:cs="Arial"/>
          <w:color w:val="000000"/>
        </w:rPr>
        <w:t xml:space="preserve">propisima mogu nastaviti obavljati te poslove najdulje tri godine od dana stupanja na snagu ovoga Zakona.</w:t>
      </w:r>
    </w:p>
    <w:p>
      <w:pPr>
        <w:pBdr/>
        <w:pStyle w:val="Normal"/>
        <w:spacing/>
        <w:ind/>
        <w:rPr>
          <w:rFonts w:ascii="Arial" w:eastAsia="Arial" w:hAnsi="Arial" w:cs="Arial"/>
        </w:rPr>
      </w:pPr>
    </w:p>
    <w:p>
      <w:pPr>
        <w:pBdr/>
        <w:pStyle w:val="Heading 2"/>
        <w:spacing/>
        <w:ind/>
        <w:rPr/>
      </w:pPr>
      <w:r>
        <w:rPr/>
        <w:t xml:space="preserve">Prijelazni rokovi za analizu mogućnosti onečišćenja</w:t>
      </w:r>
    </w:p>
    <w:p>
      <w:pPr>
        <w:pBdr/>
        <w:pStyle w:val="Heading 2"/>
        <w:spacing/>
        <w:ind/>
        <w:rPr/>
      </w:pPr>
      <w:r>
        <w:rPr/>
        <w:t xml:space="preserve">Članak 356.</w:t>
      </w:r>
    </w:p>
    <w:p>
      <w:pPr>
        <w:pBdr/>
        <w:pStyle w:val="Normal"/>
        <w:spacing/>
        <w:ind/>
        <w:rPr>
          <w:rFonts w:ascii="Arial" w:eastAsia="Arial" w:hAnsi="Arial" w:cs="Arial"/>
        </w:rPr>
      </w:pPr>
      <w:r>
        <w:rPr>
          <w:rFonts w:ascii="Arial" w:eastAsia="Arial" w:hAnsi="Arial" w:cs="Arial"/>
        </w:rPr>
        <w:t xml:space="preserve">(1) Operateri postrojenja za koja je do dana stupanja na snagu ovoga Zakona izdana okolišna dozvola, a koji do toga dana nisu ishodili suglasnost Ministarstva na temeljno izvješće sukladno člancima 38. i 39. Uredbe o okolišnoj dozvoli (»Narodne novine«, br. 8/14. i 5/18.), dužni su u roku od godine dana od dana stupanja na snagu pravilnika iz članka 145. stavka 5. ovoga Zakona dostaviti Ministarstvu analizu mogućnosti onečišćenja tla i podzemnih voda iz članka 141. stavka 4. ovoga Zakona radi utvrđivanja postojanja obveze izrade temeljnog izvješća.</w:t>
      </w:r>
    </w:p>
    <w:p>
      <w:pPr>
        <w:pBdr/>
        <w:pStyle w:val="Normal"/>
        <w:spacing/>
        <w:ind/>
        <w:rPr>
          <w:rFonts w:ascii="Arial" w:eastAsia="Arial" w:hAnsi="Arial" w:cs="Arial"/>
        </w:rPr>
      </w:pPr>
      <w:r>
        <w:rPr>
          <w:rFonts w:ascii="Arial" w:eastAsia="Arial" w:hAnsi="Arial" w:cs="Arial"/>
          <w:bCs/>
        </w:rPr>
        <w:t xml:space="preserve">(2) Suglasnost Ministarstva dana na temeljno izvješće izrađeno u početnim fazama, kojom je utvrđeno da izrada preostalih faza temeljnog izvješća nije potrebna, smatra se suglasnošću iz stavka 1. ovoga članka.</w:t>
      </w:r>
    </w:p>
    <w:p>
      <w:pPr>
        <w:pBdr/>
        <w:pStyle w:val="Normal"/>
        <w:spacing/>
        <w:ind/>
        <w:rPr>
          <w:rFonts w:ascii="Arial" w:eastAsia="Arial" w:hAnsi="Arial" w:cs="Arial"/>
        </w:rPr>
      </w:pPr>
      <w:r>
        <w:rPr>
          <w:rFonts w:ascii="Arial" w:eastAsia="Arial" w:hAnsi="Arial" w:cs="Arial"/>
        </w:rPr>
        <w:t xml:space="preserve">(3) Ako je prije stupanja na snagu ovoga Zakona pokrenut postupak izdavanja okolišne dozvole koji se dovršava prema članku 346. ovoga Zakona, a operater nije ishodio suglasnost iz stavaka 1. i 2. ovoga članka, operater je dužan dostaviti analizu iz stavka 1. ovoga članka u roku od godine dana od dana izvršnosti okolišne dozvole ili od dana stupanja na snagu pravilnika iz članka 145. stavka 5. ovoga Zakona, ovisno o tome što  nastupi kasnije.</w:t>
      </w:r>
    </w:p>
    <w:p>
      <w:pPr>
        <w:pBdr/>
        <w:pStyle w:val="Normal"/>
        <w:spacing/>
        <w:ind/>
        <w:rPr>
          <w:rFonts w:ascii="Arial" w:eastAsia="Arial" w:hAnsi="Arial" w:cs="Arial"/>
        </w:rPr>
      </w:pPr>
      <w:r>
        <w:rPr>
          <w:rFonts w:ascii="Arial" w:eastAsia="Arial" w:hAnsi="Arial" w:cs="Arial"/>
        </w:rPr>
        <w:t xml:space="preserve">(4) Ako je prije stupanja na snagu ovoga Zakona podnesen zahtjev za davanje suglasnosti Ministarstva na temeljno izvješće sukladno člancima 38. i 39. Uredbe o okolišnoj dozvoli (»Narodne novine«, br. 8/14. i 5/18.), a postupanje po tom zahtjevu nije dovršeno, operater nije dužan dostaviti analizu iz stavka 1. ovoga članka.</w:t>
      </w:r>
    </w:p>
    <w:p>
      <w:pPr>
        <w:pBdr/>
        <w:pStyle w:val="Normal"/>
        <w:spacing/>
        <w:ind/>
        <w:rPr>
          <w:rFonts w:ascii="Arial" w:eastAsia="Arial" w:hAnsi="Arial" w:cs="Arial"/>
        </w:rPr>
      </w:pPr>
      <w:r>
        <w:rPr>
          <w:rFonts w:ascii="Arial" w:eastAsia="Arial" w:hAnsi="Arial" w:cs="Arial"/>
        </w:rPr>
        <w:t xml:space="preserve">(5) Odredbe stavaka 1. i 3. ovoga članka ne primjenjuju se na operatere postrojenja iz članka 155. ovoga Zakona za koja je okolišna dozvola izdana isključivo za djelatnost 6.6. Priloga I. Uredbe o okolišnoj dozvoli (»Narodne novine«, br. 8/14. i 5/18.) i koja prelaze u sustav registracije u skladu s ovim Zakonom.</w:t>
      </w:r>
    </w:p>
    <w:p>
      <w:pPr>
        <w:pBdr/>
        <w:pStyle w:val="Normal"/>
        <w:spacing/>
        <w:ind/>
        <w:rPr>
          <w:rFonts w:ascii="Arial" w:eastAsia="Arial" w:hAnsi="Arial" w:cs="Arial"/>
        </w:rPr>
      </w:pPr>
    </w:p>
    <w:p>
      <w:pPr>
        <w:pBdr/>
        <w:pStyle w:val="Heading 2"/>
        <w:spacing/>
        <w:ind/>
        <w:rPr/>
      </w:pPr>
      <w:r>
        <w:rPr/>
        <w:t xml:space="preserve">Izrada temeljnog izvješća nakon provedene analize</w:t>
      </w:r>
    </w:p>
    <w:p>
      <w:pPr>
        <w:pBdr/>
        <w:pStyle w:val="Heading 2"/>
        <w:spacing/>
        <w:ind/>
        <w:rPr/>
      </w:pPr>
      <w:r>
        <w:rPr/>
        <w:t xml:space="preserve">Članak 357.</w:t>
      </w:r>
    </w:p>
    <w:p>
      <w:pPr>
        <w:pBdr/>
        <w:pStyle w:val="Normal"/>
        <w:spacing/>
        <w:ind/>
        <w:rPr>
          <w:rFonts w:ascii="Arial" w:eastAsia="Arial" w:hAnsi="Arial" w:cs="Arial"/>
        </w:rPr>
      </w:pPr>
      <w:r>
        <w:rPr>
          <w:rFonts w:ascii="Arial" w:eastAsia="Arial" w:hAnsi="Arial" w:cs="Arial"/>
        </w:rPr>
        <w:t xml:space="preserve">(1) Ako Ministarstvo na temelju analize iz članka 356. stavka 1. ovoga Zakona utvrdi postojanje obveze izrade temeljnog izvješća, o tome obavještava operatera, koji je dužan nastaviti izradu temeljnog izvješća u skladu sa člancima 141. i 142. ovoga Zakona i pravilnikom iz članka 145. stavka 5. ovoga Zakona te izvješće dostaviti Ministarstvu najkasnije u roku od 24 mjeseca od dana zaprimanja obavijesti Ministarstva.</w:t>
      </w:r>
    </w:p>
    <w:p>
      <w:pPr>
        <w:pBdr/>
        <w:pStyle w:val="Normal"/>
        <w:spacing/>
        <w:ind/>
        <w:rPr>
          <w:rFonts w:ascii="Arial" w:eastAsia="Arial" w:hAnsi="Arial" w:cs="Arial"/>
        </w:rPr>
      </w:pPr>
      <w:r>
        <w:rPr>
          <w:rFonts w:ascii="Arial" w:eastAsia="Arial" w:hAnsi="Arial" w:cs="Arial"/>
        </w:rPr>
        <w:t xml:space="preserve">(2) Rokovi iz članka 356. ovoga Zakona i stavka 1. ovoga članka ne odgađaju pokretanje i dovršetak postupka preispitivanja uvjeta okolišne dozvole po službenoj dužnosti.</w:t>
      </w:r>
    </w:p>
    <w:p>
      <w:pPr>
        <w:pBdr/>
        <w:pStyle w:val="Normal"/>
        <w:spacing/>
        <w:ind/>
        <w:rPr>
          <w:rFonts w:ascii="Arial" w:eastAsia="Arial" w:hAnsi="Arial" w:cs="Arial"/>
        </w:rPr>
      </w:pPr>
    </w:p>
    <w:p>
      <w:pPr>
        <w:pBdr/>
        <w:pStyle w:val="Heading 2"/>
        <w:spacing/>
        <w:ind/>
        <w:rPr>
          <w:rFonts w:ascii="Arial" w:eastAsia="Arial" w:hAnsi="Arial" w:cs="Arial"/>
        </w:rPr>
      </w:pPr>
      <w:r>
        <w:rPr/>
        <w:t xml:space="preserve">Rokovi za uspostavu i prvu reviziju EMS</w:t>
      </w:r>
      <w:r>
        <w:rPr>
          <w:rFonts w:ascii="Arial" w:eastAsia="Arial" w:hAnsi="Arial" w:cs="Arial"/>
        </w:rPr>
        <w:t xml:space="preserve">-a</w:t>
      </w:r>
    </w:p>
    <w:p>
      <w:pPr>
        <w:pBdr/>
        <w:pStyle w:val="Heading 2"/>
        <w:spacing/>
        <w:ind/>
        <w:rPr/>
      </w:pPr>
      <w:r>
        <w:rPr/>
        <w:t xml:space="preserve">Članak 358.</w:t>
      </w:r>
    </w:p>
    <w:p>
      <w:pPr>
        <w:pBdr/>
        <w:pStyle w:val="Normal"/>
        <w:spacing/>
        <w:ind/>
        <w:rPr>
          <w:rFonts w:ascii="Arial" w:eastAsia="Arial" w:hAnsi="Arial" w:cs="Arial"/>
        </w:rPr>
      </w:pPr>
      <w:r>
        <w:rPr>
          <w:rFonts w:ascii="Arial" w:eastAsia="Arial" w:hAnsi="Arial" w:cs="Arial"/>
        </w:rPr>
        <w:t xml:space="preserve">(1) Operateri postrojenja, osim postrojenja iz stavka 3. ovoga članka, dužni su najkasnije do 1. srpnja 2027. pripremiti, uspostaviti i provoditi EMS iz članka 80. ovoga Zakona te osigurati provedbu njegove prve revizije.</w:t>
      </w:r>
    </w:p>
    <w:p>
      <w:pPr>
        <w:pBdr/>
        <w:pStyle w:val="Normal"/>
        <w:spacing/>
        <w:ind/>
        <w:rPr>
          <w:rFonts w:ascii="Arial" w:eastAsia="Arial" w:hAnsi="Arial" w:cs="Arial"/>
        </w:rPr>
      </w:pPr>
      <w:r>
        <w:rPr>
          <w:rFonts w:ascii="Arial" w:eastAsia="Arial" w:hAnsi="Arial" w:cs="Arial"/>
        </w:rPr>
        <w:t xml:space="preserve">(2) Za postrojenja kojima se prva okolišna dozvola izdaje nakon 1. srpnja 2027., a koja nisu obuhvaćena stavkom 3. ovoga članka, kao i za postrojenja iz članka 364. stavka 4. ovoga Zakona neovisno o datumu izdavanja prve okolišne dozvole, EMS mora biti pripremljen i uspostavljen prije početka rada postrojenja i provoditi se od početka njegova rada, a njegova prva revizija mora se provesti najkasnije u roku od tri godine od početka rada postrojenja.</w:t>
      </w:r>
    </w:p>
    <w:p>
      <w:pPr>
        <w:pBdr/>
        <w:pStyle w:val="Normal"/>
        <w:spacing/>
        <w:ind/>
        <w:rPr>
          <w:rFonts w:ascii="Arial" w:eastAsia="Arial" w:hAnsi="Arial" w:cs="Arial"/>
        </w:rPr>
      </w:pPr>
      <w:r>
        <w:rPr>
          <w:rFonts w:ascii="Arial" w:eastAsia="Arial" w:hAnsi="Arial" w:cs="Arial"/>
        </w:rPr>
        <w:t xml:space="preserve">(3) Iznimno od stavka 1. ovoga članka, operateri postrojenja iz članka 364. stavka 1. ovoga Zakona, osim postrojenja iz članka 364. stavka 4. ovoga Zakona, dužni su pripremiti, uspostaviti i provoditi EMS iz članka 80. ovoga Zakona te osigurati provedbu njegove prve revizije najkasnije do isteka roka iz članka 364. stavka 1. ovoga Zakona.</w:t>
      </w:r>
    </w:p>
    <w:p>
      <w:pPr>
        <w:pBdr/>
        <w:pStyle w:val="Normal"/>
        <w:spacing/>
        <w:ind/>
        <w:rPr>
          <w:rFonts w:ascii="Arial" w:eastAsia="Arial" w:hAnsi="Arial" w:cs="Arial"/>
        </w:rPr>
      </w:pPr>
    </w:p>
    <w:p>
      <w:pPr>
        <w:pBdr/>
        <w:pStyle w:val="Heading 2"/>
        <w:spacing/>
        <w:ind/>
        <w:rPr/>
      </w:pPr>
      <w:r>
        <w:rPr/>
        <w:t xml:space="preserve">Usklađivanje s novim zahtjevima okolišne učinkovitosti</w:t>
      </w:r>
    </w:p>
    <w:p>
      <w:pPr>
        <w:pBdr/>
        <w:pStyle w:val="Heading 2"/>
        <w:spacing/>
        <w:ind/>
        <w:rPr/>
      </w:pPr>
      <w:r>
        <w:rPr/>
        <w:t xml:space="preserve">Članak 359.</w:t>
      </w:r>
    </w:p>
    <w:p>
      <w:pPr>
        <w:pBdr/>
        <w:pStyle w:val="Normal"/>
        <w:spacing/>
        <w:ind/>
        <w:rPr>
          <w:rFonts w:ascii="Arial" w:eastAsia="Arial" w:hAnsi="Arial" w:cs="Arial"/>
        </w:rPr>
      </w:pPr>
      <w:r>
        <w:rPr>
          <w:rFonts w:ascii="Arial" w:eastAsia="Arial" w:hAnsi="Arial" w:cs="Arial"/>
        </w:rPr>
        <w:t xml:space="preserve">(1) Ministarstvo je dužno uvjete okolišne dozvole za postrojenja za koja je obveza ishođenja okolišne dozvole propisana uredbom iz članka 76. stavka 5. ovoga Zakona uskladiti s odredbama članaka 104. i 109., točaka 1.4. i 2.2. Dodatka II. ovoga Zakona te točke 3.3. toga Dodatka u dijelu koji se odnosi na ocjenu sukladnosti s graničnim vrijednostima okolišne učinkovitosti najkasnije u roku od četiri godine od dana objave u »Službenom listu Europske unije« odluke Europske komisije o zaključcima o NRT-</w:t>
      </w:r>
      <w:r>
        <w:rPr>
          <w:rFonts w:ascii="Arial" w:eastAsia="Arial" w:hAnsi="Arial" w:cs="Arial"/>
        </w:rPr>
        <w:t xml:space="preserve">u koja je objavljena nakon 1. srpnja 2026. godine i  odnosi se na glavnu djelatnost postrojenja. </w:t>
      </w:r>
    </w:p>
    <w:p>
      <w:pPr>
        <w:pBdr/>
        <w:pStyle w:val="Normal"/>
        <w:spacing/>
        <w:ind/>
        <w:rPr>
          <w:rFonts w:ascii="Arial" w:eastAsia="Arial" w:hAnsi="Arial" w:cs="Arial"/>
        </w:rPr>
      </w:pPr>
      <w:r>
        <w:rPr>
          <w:rFonts w:ascii="Arial" w:eastAsia="Arial" w:hAnsi="Arial" w:cs="Arial"/>
        </w:rPr>
        <w:t xml:space="preserve">(2) Ako se za postrojenje iz stavka 1. ovoga članka okolišna dozvola prvi put izdaje nakon objave odluke iz toga stavka, uvjeti okolišne dozvole pri njezinom izdavanju utvrđuju se u skladu s odredbama iz stavka 1. ovoga članka.</w:t>
      </w:r>
    </w:p>
    <w:p>
      <w:pPr>
        <w:pBdr/>
        <w:pStyle w:val="Normal"/>
        <w:spacing/>
        <w:ind/>
        <w:rPr>
          <w:rFonts w:ascii="Arial" w:eastAsia="Arial" w:hAnsi="Arial" w:cs="Arial"/>
        </w:rPr>
      </w:pPr>
    </w:p>
    <w:p>
      <w:pPr>
        <w:pBdr/>
        <w:pStyle w:val="Heading 2"/>
        <w:spacing/>
        <w:ind/>
        <w:rPr/>
      </w:pPr>
      <w:r>
        <w:rPr/>
        <w:t xml:space="preserve">Usklađivanje postojećih postrojenja s dodatnim zahtjevima</w:t>
      </w:r>
    </w:p>
    <w:p>
      <w:pPr>
        <w:pBdr/>
        <w:pStyle w:val="Heading 2"/>
        <w:spacing/>
        <w:ind/>
        <w:rPr/>
      </w:pPr>
      <w:r>
        <w:rPr/>
        <w:t xml:space="preserve">Članak 360.</w:t>
      </w:r>
    </w:p>
    <w:p>
      <w:pPr>
        <w:pBdr/>
        <w:pStyle w:val="Normal"/>
        <w:spacing/>
        <w:ind/>
        <w:rPr>
          <w:rFonts w:ascii="Arial" w:eastAsia="Arial" w:hAnsi="Arial" w:cs="Arial"/>
        </w:rPr>
      </w:pPr>
      <w:r>
        <w:rPr>
          <w:rFonts w:ascii="Arial" w:eastAsia="Arial" w:hAnsi="Arial" w:cs="Arial"/>
        </w:rPr>
        <w:t xml:space="preserve">(1) Ovaj članak primjenjuje se na postrojenja za koja je obveza ishođenja okolišne dozvole bila propisana prema djelatnostima iz Priloga I. Uredbe o okolišnoj dozvoli (»Narodne novine«, broj 8/14. i 5/18.) i za koja je ta obveza propisana uredbom iz članka 76. stavka 5. ovoga Zakona, ako su prije 1. srpnja 2026. godine bila u radu i imala važeću okolišnu dozvolu ili ako su njihovi operateri podnijeli potpuni zahtjev za izdavanje okolišne dozvole prije 1. srpnja 2026. godine, a postrojenja su stavljena u pogon najkasnije do 1. srpnja 2027. godine.</w:t>
      </w:r>
    </w:p>
    <w:p>
      <w:pPr>
        <w:pBdr/>
        <w:pStyle w:val="Normal"/>
        <w:spacing/>
        <w:ind/>
        <w:rPr>
          <w:rFonts w:ascii="Arial" w:eastAsia="Arial" w:hAnsi="Arial" w:cs="Arial"/>
        </w:rPr>
      </w:pPr>
      <w:r>
        <w:rPr>
          <w:rFonts w:ascii="Arial" w:eastAsia="Arial" w:hAnsi="Arial" w:cs="Arial"/>
        </w:rPr>
        <w:t xml:space="preserve">(2) Uvjeti okolišne dozvole za postrojenja iz stavka 1. ovoga članka utvrđuju se odnosno usklađuju s točkama 1.2., 1.3., 2.1. i 3.2. Dodatka II. ovoga Zakona, člancima 103., 107. i 108., člankom 116. stavkom 3. ovoga Zakona te odredbama propisa kojima se uređuje zaštita zraka i voda o ocjeni sukladnosti s graničnim vrijednostima emisija najkasnije do 1. rujna 2036. godine, a prije toga u prvom od slučajeva iz stavka 3. ovoga članka.</w:t>
      </w:r>
    </w:p>
    <w:p>
      <w:pPr>
        <w:pBdr/>
        <w:pStyle w:val="Normal"/>
        <w:spacing/>
        <w:ind/>
        <w:rPr>
          <w:rFonts w:ascii="Arial" w:eastAsia="Arial" w:hAnsi="Arial" w:cs="Arial"/>
          <w:i/>
        </w:rPr>
      </w:pPr>
      <w:r>
        <w:rPr>
          <w:rFonts w:ascii="Arial" w:eastAsia="Arial" w:hAnsi="Arial" w:cs="Arial"/>
        </w:rPr>
        <w:t xml:space="preserve">(3) Utvrđivanje odnosno usklađivanje iz stavka 2. ovoga članka provodi se pri izdavanju okolišne dozvole ili njezinoj  izmjeni i/ili dopuni zbog značajne promjene u radu postrojenja, pri preispitivanju okolišne dozvole iz članka 129. ili članka 130. stavka 1. točaka 1. do 3. ovoga Zakona ili u postupku preispitivanja iz članka 125. ovoga Zakona, pri čemu se u potonjem slučaju usklađivanja mora provesti najkasnije u roku od četiri godine od dana objave u »Službenom listu Europske unije« odluke Europske komisije o </w:t>
      </w:r>
      <w:r>
        <w:rPr>
          <w:rFonts w:ascii="Arial" w:eastAsia="Arial" w:hAnsi="Arial" w:cs="Arial"/>
        </w:rPr>
        <w:t xml:space="preserve">zaključcima o NRT-</w:t>
      </w:r>
      <w:r>
        <w:rPr>
          <w:rFonts w:ascii="Arial" w:eastAsia="Arial" w:hAnsi="Arial" w:cs="Arial"/>
        </w:rPr>
        <w:t xml:space="preserve">u koja je objavljena nakon 1. srpnja 2026. godine i odnosi se na glavnu djelatnost postrojenja. </w:t>
      </w:r>
    </w:p>
    <w:p>
      <w:pPr>
        <w:pBdr/>
        <w:pStyle w:val="Normal"/>
        <w:spacing/>
        <w:ind/>
        <w:rPr>
          <w:rFonts w:ascii="Arial" w:eastAsia="Arial" w:hAnsi="Arial" w:cs="Arial"/>
        </w:rPr>
      </w:pPr>
    </w:p>
    <w:p>
      <w:pPr>
        <w:pBdr/>
        <w:pStyle w:val="Heading 2"/>
        <w:spacing/>
        <w:ind/>
        <w:rPr/>
      </w:pPr>
      <w:r>
        <w:rPr/>
        <w:t xml:space="preserve">Usklađivanje s najstrožim ostvarivim graničnim vrijednostima emisija</w:t>
      </w:r>
    </w:p>
    <w:p>
      <w:pPr>
        <w:pBdr/>
        <w:pStyle w:val="Heading 2"/>
        <w:spacing/>
        <w:ind/>
        <w:rPr/>
      </w:pPr>
      <w:r>
        <w:rPr/>
        <w:t xml:space="preserve">Članak 361.</w:t>
      </w:r>
    </w:p>
    <w:p>
      <w:pPr>
        <w:pBdr/>
        <w:pStyle w:val="Normal"/>
        <w:spacing/>
        <w:ind/>
        <w:rPr>
          <w:rFonts w:ascii="Arial" w:eastAsia="Arial" w:hAnsi="Arial" w:cs="Arial"/>
        </w:rPr>
      </w:pPr>
      <w:r>
        <w:rPr>
          <w:rFonts w:ascii="Arial" w:eastAsia="Arial" w:hAnsi="Arial" w:cs="Arial"/>
        </w:rPr>
        <w:t xml:space="preserve">(1) Ovaj članak primjenjuje se na postrojenja za koja je obveza ishođenja okolišne dozvole bila propisana prema djelatnostima iz Priloga I. Uredbe o okolišnoj dozvoli (»Narodne novine«, br. 8/14. i 5/18.) i za koja je ta obveza propisana uredbom iz članka 76. stavka 5. ovoga Zakona.</w:t>
      </w:r>
    </w:p>
    <w:p>
      <w:pPr>
        <w:pBdr/>
        <w:pStyle w:val="Normal"/>
        <w:spacing/>
        <w:ind/>
        <w:rPr>
          <w:rFonts w:ascii="Arial" w:eastAsia="Arial" w:hAnsi="Arial" w:cs="Arial"/>
        </w:rPr>
      </w:pPr>
      <w:r>
        <w:rPr>
          <w:rFonts w:ascii="Arial" w:eastAsia="Arial" w:hAnsi="Arial" w:cs="Arial"/>
        </w:rPr>
        <w:t xml:space="preserve">(2) Uvjeti okolišne dozvole za postrojenja iz stavka 1. ovoga članka utvrđuju se odnosno usklađuju se s člankom 102. ovoga Zakona najkasnije do 1. rujna 2036. godine, a prije toga u prvom od sljedećih slučajeva:</w:t>
      </w:r>
    </w:p>
    <w:p>
      <w:pPr>
        <w:pBdr/>
        <w:pStyle w:val="Normal"/>
        <w:spacing/>
        <w:ind/>
        <w:rPr>
          <w:rFonts w:ascii="Arial" w:eastAsia="Arial" w:hAnsi="Arial" w:cs="Arial"/>
        </w:rPr>
      </w:pPr>
      <w:r>
        <w:rPr>
          <w:rFonts w:ascii="Arial" w:eastAsia="Arial" w:hAnsi="Arial" w:cs="Arial"/>
        </w:rPr>
        <w:t xml:space="preserve">1. u postupku preispitivanja iz članka 125. ovoga Zakona, najkasnije u roku od četiri godine od dana objave u »Službenom listu Europske unije« odluke Europske komisije o zaključcima o NRT-</w:t>
      </w:r>
      <w:r>
        <w:rPr>
          <w:rFonts w:ascii="Arial" w:eastAsia="Arial" w:hAnsi="Arial" w:cs="Arial"/>
        </w:rPr>
        <w:t xml:space="preserve">u koja je objavljena nakon 1. srpnja 2026. godine i odnosi se na glavnu djelatnost postrojenja</w:t>
      </w:r>
    </w:p>
    <w:p>
      <w:pPr>
        <w:pBdr/>
        <w:pStyle w:val="Normal"/>
        <w:spacing/>
        <w:ind/>
        <w:rPr>
          <w:rFonts w:ascii="Arial" w:eastAsia="Arial" w:hAnsi="Arial" w:cs="Arial"/>
        </w:rPr>
      </w:pPr>
      <w:r>
        <w:rPr>
          <w:rFonts w:ascii="Arial" w:eastAsia="Arial" w:hAnsi="Arial" w:cs="Arial"/>
        </w:rPr>
        <w:t xml:space="preserve">2. pri izdavanju okolišne dozvole nakon objave odluke iz točke 1. ovoga stavka ili</w:t>
      </w:r>
    </w:p>
    <w:p>
      <w:pPr>
        <w:pBdr/>
        <w:pStyle w:val="Normal"/>
        <w:spacing/>
        <w:ind/>
        <w:rPr>
          <w:rFonts w:ascii="Arial" w:eastAsia="Arial" w:hAnsi="Arial" w:cs="Arial"/>
        </w:rPr>
      </w:pPr>
      <w:r>
        <w:rPr>
          <w:rFonts w:ascii="Arial" w:eastAsia="Arial" w:hAnsi="Arial" w:cs="Arial"/>
        </w:rPr>
        <w:t xml:space="preserve">3. pri preispitivanju okolišne dozvole iz članka 129. ovoga Zakona ili članka 130. stavka 1. točaka 1. do 3. ovoga Zakona. </w:t>
      </w:r>
    </w:p>
    <w:p>
      <w:pPr>
        <w:pBdr/>
        <w:pStyle w:val="Normal"/>
        <w:spacing/>
        <w:ind/>
        <w:rPr>
          <w:rFonts w:ascii="Arial" w:eastAsia="Arial" w:hAnsi="Arial" w:cs="Arial"/>
        </w:rPr>
      </w:pPr>
    </w:p>
    <w:p>
      <w:pPr>
        <w:pBdr/>
        <w:pStyle w:val="Heading 2"/>
        <w:spacing/>
        <w:ind/>
        <w:rPr/>
      </w:pPr>
      <w:r>
        <w:rPr/>
        <w:t xml:space="preserve">Provedba usklađivanja okolišnih dozvola</w:t>
      </w:r>
    </w:p>
    <w:p>
      <w:pPr>
        <w:pBdr/>
        <w:pStyle w:val="Heading 2"/>
        <w:spacing/>
        <w:ind/>
        <w:rPr/>
      </w:pPr>
      <w:r>
        <w:rPr/>
        <w:t xml:space="preserve">Članak 362.</w:t>
      </w:r>
    </w:p>
    <w:p>
      <w:pPr>
        <w:pBdr/>
        <w:pStyle w:val="Normal"/>
        <w:spacing/>
        <w:ind/>
        <w:rPr>
          <w:rFonts w:ascii="Arial" w:eastAsia="Arial" w:hAnsi="Arial" w:cs="Arial"/>
        </w:rPr>
      </w:pPr>
      <w:r>
        <w:rPr>
          <w:rFonts w:ascii="Arial" w:eastAsia="Arial" w:hAnsi="Arial" w:cs="Arial"/>
        </w:rPr>
        <w:t xml:space="preserve">(1) Usklađivanje uvjeta okolišnih dozvola iz članaka 359. do 361. ovoga Zakona provodi se u postupku izdavanja, izmjene i/ili dopune ili preispitivanja okolišne dozvole, u slučajevima i rokovima propisanima tim člancima.</w:t>
      </w:r>
    </w:p>
    <w:p>
      <w:pPr>
        <w:pBdr/>
        <w:pStyle w:val="Normal"/>
        <w:spacing/>
        <w:ind/>
        <w:rPr>
          <w:rFonts w:ascii="Arial" w:eastAsia="Arial" w:hAnsi="Arial" w:cs="Arial"/>
        </w:rPr>
      </w:pPr>
      <w:r>
        <w:rPr>
          <w:rFonts w:ascii="Arial" w:eastAsia="Arial" w:hAnsi="Arial" w:cs="Arial"/>
        </w:rPr>
        <w:t xml:space="preserve">(2) Ako uvjeti okolišne dozvole za postrojenja iz članaka 360. i 361. ovoga Zakona nisu usklađeni  u postupcima iz članka 360. stavka 3. odnosno članka 361. stavka 2. točaka 1. do 3. ovoga Zakona, Ministarstvo je dužno po službenoj dužnosti pokrenuti i provesti postupak preispitivanja okolišne dozvole tako da se uvjeti okolišne dozvole i rad postrojenja usklade najkasnije do 1. rujna 2036. godine.</w:t>
      </w:r>
    </w:p>
    <w:p>
      <w:pPr>
        <w:pBdr/>
        <w:pStyle w:val="Normal"/>
        <w:spacing/>
        <w:ind/>
        <w:rPr>
          <w:rFonts w:ascii="Arial" w:eastAsia="Arial" w:hAnsi="Arial" w:cs="Arial"/>
        </w:rPr>
      </w:pPr>
      <w:r>
        <w:rPr>
          <w:rFonts w:ascii="Arial" w:eastAsia="Arial" w:hAnsi="Arial" w:cs="Arial"/>
        </w:rPr>
        <w:t xml:space="preserve">(3) Operater je dužan uskladiti rad postrojenja s usklađenim uvjetima okolišne dozvole najkasnije do nastupa događaja odnosno isteka roka koji je za njegovo postrojenje mjerodavan prema člancima 359. do 361. ovoga Zakona. </w:t>
      </w:r>
    </w:p>
    <w:p>
      <w:pPr>
        <w:pBdr/>
        <w:pStyle w:val="Normal"/>
        <w:spacing/>
        <w:ind/>
        <w:rPr>
          <w:rFonts w:ascii="Arial" w:eastAsia="Arial" w:hAnsi="Arial" w:cs="Arial"/>
        </w:rPr>
      </w:pPr>
    </w:p>
    <w:p>
      <w:pPr>
        <w:pBdr/>
        <w:pStyle w:val="Heading 2"/>
        <w:spacing/>
        <w:ind/>
        <w:rPr/>
      </w:pPr>
      <w:r>
        <w:rPr/>
        <w:t xml:space="preserve">Usklađivanje novih obveznika u sektorima čelika i tekstila</w:t>
      </w:r>
    </w:p>
    <w:p>
      <w:pPr>
        <w:pBdr/>
        <w:pStyle w:val="Heading 2"/>
        <w:spacing/>
        <w:ind/>
        <w:rPr/>
      </w:pPr>
      <w:r>
        <w:rPr/>
        <w:t xml:space="preserve">Članak 363.</w:t>
      </w:r>
    </w:p>
    <w:p>
      <w:pPr>
        <w:pBdr/>
        <w:pStyle w:val="Normal"/>
        <w:spacing/>
        <w:ind/>
        <w:rPr>
          <w:rFonts w:ascii="Arial" w:eastAsia="Arial" w:hAnsi="Arial" w:cs="Arial"/>
        </w:rPr>
      </w:pPr>
      <w:r>
        <w:rPr>
          <w:rFonts w:ascii="Arial" w:eastAsia="Arial" w:hAnsi="Arial" w:cs="Arial"/>
        </w:rPr>
        <w:t xml:space="preserve">(1) Operateri postrojenja u kojima se obavljaju djelatnosti hladnog valjanja čelika i završne obrade tekstilnih vlakana ili tekstila, za koje prema djelatnostima utvrđenima u Prilogu I. Uredbe o okolišnoj dozvoli (»Narodne novine«, br. 8/14. i 5/18.) nije bila propisana obveza ishođenja okolišne dozvole, a za koje je ta obveza propisana uredbom iz članka 76. stavka 5. ovoga Zakona i koja su bila u radu prije 1. srpnja 2026. godine, dužni su uskladiti rad postrojenja i ishoditi okolišnu dozvolu najkasnije u roku od četiri godine od 1. srpnja 2026. godine, pri čemu se na zahtjeve iz članka 359. stavka 1. ovoga Zakona primjenjuju rokovi i pravila iz toga članka.</w:t>
      </w:r>
    </w:p>
    <w:p>
      <w:pPr>
        <w:pBdr/>
        <w:pStyle w:val="Normal"/>
        <w:spacing/>
        <w:ind/>
        <w:rPr>
          <w:rFonts w:ascii="Arial" w:eastAsia="Arial" w:hAnsi="Arial" w:cs="Arial"/>
        </w:rPr>
      </w:pPr>
      <w:r>
        <w:rPr>
          <w:rFonts w:ascii="Arial" w:eastAsia="Arial" w:hAnsi="Arial" w:cs="Arial"/>
        </w:rPr>
        <w:t xml:space="preserve">(2) Operateri postrojenja iz stavka 1. ovoga članka dužni su Ministarstvu podnijeti uredan zahtjev za izdavanje okolišne dozvole najkasnije do 1. srpnja 2027. godine.</w:t>
      </w:r>
    </w:p>
    <w:p>
      <w:pPr>
        <w:pBdr/>
        <w:pStyle w:val="Normal"/>
        <w:spacing/>
        <w:ind/>
        <w:rPr>
          <w:rFonts w:ascii="Arial" w:eastAsia="Arial" w:hAnsi="Arial" w:cs="Arial"/>
        </w:rPr>
      </w:pPr>
    </w:p>
    <w:p>
      <w:pPr>
        <w:pBdr/>
        <w:pStyle w:val="Heading 2"/>
        <w:spacing/>
        <w:ind/>
        <w:rPr/>
      </w:pPr>
      <w:r>
        <w:rPr/>
        <w:t xml:space="preserve">Usklađivanje ostalih novouključenih djelatnosti</w:t>
      </w:r>
    </w:p>
    <w:p>
      <w:pPr>
        <w:pBdr/>
        <w:pStyle w:val="Heading 2"/>
        <w:spacing/>
        <w:ind/>
        <w:rPr/>
      </w:pPr>
      <w:r>
        <w:rPr/>
        <w:t xml:space="preserve">Članak 364.</w:t>
      </w:r>
    </w:p>
    <w:p>
      <w:pPr>
        <w:pBdr/>
        <w:pStyle w:val="Normal"/>
        <w:spacing/>
        <w:ind/>
        <w:rPr>
          <w:rFonts w:ascii="Arial" w:eastAsia="Arial" w:hAnsi="Arial" w:cs="Arial"/>
        </w:rPr>
      </w:pPr>
      <w:r>
        <w:rPr>
          <w:rFonts w:ascii="Arial" w:eastAsia="Arial" w:hAnsi="Arial" w:cs="Arial"/>
        </w:rPr>
        <w:t xml:space="preserve">(1) Operateri postrojenja koja prema Prilogu I. Uredbe o okolišnoj dozvoli (»Narodne novine«, br. 8/14. i 5/18.) nisu bila obuhvaćena obvezom ishođenja okolišne dozvole, a u kojima se obavljaju djelatnosti uplinjavanja, ukapljivanja ili pirolize, rada kovačnica s čekićima ili prešama za kovanje, proizvodnje baterija te eksploatacije mineralnih sirovina kovina uključujući njihovu obradu na lokaciji, a koje su obuhvaćene uredbom iz članka 76. stavka 5. ovoga Zakona, dužni su uskladiti rad postrojenja s odredbama ovoga Zakona i propisa donesenih na temelju njega, osim s odredbama iz članka 359. stavka 1. ovoga Zakona, te ishoditi okolišnu dozvolu najkasnije u roku od četiri godine od dana objave odluke Europske komisije u »Službenom listu Europske unije« o zaključcima o NRT-</w:t>
      </w:r>
      <w:r>
        <w:rPr>
          <w:rFonts w:ascii="Arial" w:eastAsia="Arial" w:hAnsi="Arial" w:cs="Arial"/>
        </w:rPr>
        <w:t xml:space="preserve">u u vezi s glavnom djelatnosti postrojenja ili najkasnije do 1. rujna 2034. godine, ovisno o tome koji rok nastupi ranije.</w:t>
      </w:r>
    </w:p>
    <w:p>
      <w:pPr>
        <w:pBdr/>
        <w:pStyle w:val="Normal"/>
        <w:spacing/>
        <w:ind/>
        <w:rPr>
          <w:rFonts w:ascii="Arial" w:eastAsia="Arial" w:hAnsi="Arial" w:cs="Arial"/>
        </w:rPr>
      </w:pPr>
      <w:r>
        <w:rPr>
          <w:rFonts w:ascii="Arial" w:eastAsia="Arial" w:hAnsi="Arial" w:cs="Arial"/>
        </w:rPr>
        <w:t xml:space="preserve">(2) Operateri postrojenja iz stavka 1. ovoga članka koja su u radu na dan stupanja na snagu ovoga Zakona dužni su Ministarstvu podnijeti uredan zahtjev za izdavanje okolišne dozvole u sljedećim rokovima:</w:t>
      </w:r>
    </w:p>
    <w:p>
      <w:pPr>
        <w:pBdr/>
        <w:pStyle w:val="Normal"/>
        <w:spacing/>
        <w:ind/>
        <w:rPr>
          <w:rFonts w:ascii="Arial" w:eastAsia="Arial" w:hAnsi="Arial" w:cs="Arial"/>
        </w:rPr>
      </w:pPr>
      <w:r>
        <w:rPr>
          <w:rFonts w:ascii="Arial" w:eastAsia="Arial" w:hAnsi="Arial" w:cs="Arial"/>
        </w:rPr>
        <w:t xml:space="preserve">1. u roku od godinu dana od dana objave odluke Europske komisije iz stavka 1. ovoga članka</w:t>
      </w:r>
    </w:p>
    <w:p>
      <w:pPr>
        <w:pBdr/>
        <w:pStyle w:val="Normal"/>
        <w:spacing/>
        <w:ind/>
        <w:rPr>
          <w:rFonts w:ascii="Arial" w:eastAsia="Arial" w:hAnsi="Arial" w:cs="Arial"/>
        </w:rPr>
      </w:pPr>
      <w:r>
        <w:rPr>
          <w:rFonts w:ascii="Arial" w:eastAsia="Arial" w:hAnsi="Arial" w:cs="Arial"/>
        </w:rPr>
        <w:t xml:space="preserve">2. najkasnije do 1. rujna 2031. godine, ovisno o tome koji rok nastupi ranije.</w:t>
      </w:r>
    </w:p>
    <w:p>
      <w:pPr>
        <w:pBdr/>
        <w:pStyle w:val="Normal"/>
        <w:spacing/>
        <w:ind/>
        <w:rPr>
          <w:rFonts w:ascii="Arial" w:eastAsia="Arial" w:hAnsi="Arial" w:cs="Arial"/>
        </w:rPr>
      </w:pPr>
      <w:r>
        <w:rPr>
          <w:rFonts w:ascii="Arial" w:eastAsia="Arial" w:hAnsi="Arial" w:cs="Arial"/>
        </w:rPr>
        <w:t xml:space="preserve">(3) Ako je rok iz stavka 2. točke 1. ovoga članka istekao prije stupanja na snagu ovoga Zakona, operater je dužan podnijeti zahtjev najkasnije u roku od godinu dana od dana stupanja na snagu ovoga Zakona, pri čemu se time ne produljuje rok za usklađivanje rada postrojenja i ishođenje okolišne dozvole iz stavka 1. ovoga članka.</w:t>
      </w:r>
    </w:p>
    <w:p>
      <w:pPr>
        <w:pBdr/>
        <w:pStyle w:val="Normal"/>
        <w:spacing/>
        <w:ind/>
        <w:rPr>
          <w:rFonts w:ascii="Arial" w:eastAsia="Arial" w:hAnsi="Arial" w:cs="Arial"/>
        </w:rPr>
      </w:pPr>
      <w:r>
        <w:rPr>
          <w:rFonts w:ascii="Arial" w:eastAsia="Arial" w:hAnsi="Arial" w:cs="Arial"/>
        </w:rPr>
        <w:t xml:space="preserve">(4) Ako se okolišna dozvola za postrojenje iz stavka 1. ovoga članka prvi put izdaje nakon objave odluke Europske komisije u »Službenom listu Europske unije« o zaključcima o NRT-</w:t>
      </w:r>
      <w:r>
        <w:rPr>
          <w:rFonts w:ascii="Arial" w:eastAsia="Arial" w:hAnsi="Arial" w:cs="Arial"/>
        </w:rPr>
        <w:t xml:space="preserve">u koja je objavljena nakon 1. srpnja 2026. godine i odnosi se na glavnu djelatnost postrojenja, uvjeti okolišne dozvole pri njezinom izdavanju utvrđuju se u skladu s odredbama ovoga Zakona i propisa donesenih na temelju njega.</w:t>
      </w:r>
    </w:p>
    <w:p>
      <w:pPr>
        <w:pBdr/>
        <w:pStyle w:val="Normal"/>
        <w:spacing/>
        <w:ind/>
        <w:rPr>
          <w:rFonts w:ascii="Arial" w:eastAsia="Arial" w:hAnsi="Arial" w:cs="Arial"/>
        </w:rPr>
      </w:pPr>
    </w:p>
    <w:p>
      <w:pPr>
        <w:pBdr/>
        <w:pStyle w:val="Heading 2"/>
        <w:spacing/>
        <w:ind/>
        <w:rPr/>
      </w:pPr>
      <w:r>
        <w:rPr/>
        <w:t xml:space="preserve">Usklađivanje izravno pridruženih djelatnosti</w:t>
      </w:r>
    </w:p>
    <w:p>
      <w:pPr>
        <w:pBdr/>
        <w:pStyle w:val="Heading 2"/>
        <w:spacing/>
        <w:ind/>
        <w:rPr/>
      </w:pPr>
      <w:r>
        <w:rPr/>
        <w:t xml:space="preserve">Članak 365.</w:t>
      </w:r>
    </w:p>
    <w:p>
      <w:pPr>
        <w:pBdr/>
        <w:pStyle w:val="Normal"/>
        <w:spacing/>
        <w:ind/>
        <w:rPr>
          <w:rFonts w:ascii="Arial" w:eastAsia="Arial" w:hAnsi="Arial" w:cs="Arial"/>
        </w:rPr>
      </w:pPr>
      <w:r>
        <w:rPr>
          <w:rFonts w:ascii="Arial" w:eastAsia="Arial" w:hAnsi="Arial" w:cs="Arial"/>
        </w:rPr>
        <w:t xml:space="preserve">(1) Ako je djelatnost hladnog valjanja čelika, završne obrade tekstilnih vlakana ili tekstila ili djelatnost iz članka 364. stavka 1. ovoga Zakona obuhvaćena važećom okolišnom dozvolom kao izravno pridružena aktivnost postrojenja za koje je prema djelatnostima utvrđenim u Prilogu I. Uredbe o okolišnoj dozvoli (»Narodne novine«, broj 8/14. i 5/18.) bila propisana obveza ishođenja okolišne dozvole, a djelatnost se obavlja na istoj lokaciji i pod upravljanjem istog operatera, operater nije dužan ishoditi zasebnu okolišnu dozvolu za tu djelatnost.</w:t>
      </w:r>
    </w:p>
    <w:p>
      <w:pPr>
        <w:pBdr/>
        <w:pStyle w:val="Normal"/>
        <w:spacing/>
        <w:ind/>
        <w:rPr>
          <w:rFonts w:ascii="Arial" w:eastAsia="Arial" w:hAnsi="Arial" w:cs="Arial"/>
        </w:rPr>
      </w:pPr>
      <w:r>
        <w:rPr>
          <w:rFonts w:ascii="Arial" w:eastAsia="Arial" w:hAnsi="Arial" w:cs="Arial"/>
        </w:rPr>
        <w:t xml:space="preserve">(2) Uvjeti okolišne dozvole koji se odnose na djelatnosti hladnog valjanja čelika i završne obrade tekstilnih vlakana ili tekstila  iz stavka 1. ovoga članka usklađuju se u rokovima i na način propisan člancima 359. do 362. ovoga Zakona.</w:t>
      </w:r>
    </w:p>
    <w:p>
      <w:pPr>
        <w:pBdr/>
        <w:pStyle w:val="Normal"/>
        <w:spacing/>
        <w:ind/>
        <w:rPr>
          <w:rFonts w:ascii="Arial" w:eastAsia="Arial" w:hAnsi="Arial" w:cs="Arial"/>
        </w:rPr>
      </w:pPr>
      <w:r>
        <w:rPr>
          <w:rFonts w:ascii="Arial" w:eastAsia="Arial" w:hAnsi="Arial" w:cs="Arial"/>
        </w:rPr>
        <w:t xml:space="preserve">(3) Uvjeti okolišne dozvole koji se odnose na djelatnosti iz članka 364. stavka 1. ovoga Zakona usklađuju se s odredbama ovoga Zakona i propisa donesenih na temelju njega  u roku iz članka 364. stavka 1. ovoga Zakona, osim s odredbama iz članka 359. stavka 1. ovoga Zakona, za koje se primjenjuju rokovi iz članka 359. ovoga Zakona, pri čemu se za odgovarajuće zahtjeve primjenjuju i raniji rokovi usklađivanja iz članaka 360. i 361. ovoga Zakona, ako su ispunjeni uvjeti za primjenu tih članaka.</w:t>
      </w:r>
    </w:p>
    <w:p>
      <w:pPr>
        <w:pBdr/>
        <w:pStyle w:val="Normal"/>
        <w:spacing/>
        <w:ind/>
        <w:rPr>
          <w:rFonts w:ascii="Arial" w:eastAsia="Arial" w:hAnsi="Arial" w:cs="Arial"/>
        </w:rPr>
      </w:pPr>
      <w:r>
        <w:rPr>
          <w:rFonts w:ascii="Arial" w:eastAsia="Arial" w:hAnsi="Arial" w:cs="Arial"/>
        </w:rPr>
        <w:t xml:space="preserve">(4) Usklađivanje iz stavaka 2. i 3. ovoga članka Ministarstvo provodi po službenoj dužnosti u postupku preispitivanja okolišne dozvole.</w:t>
      </w:r>
    </w:p>
    <w:p>
      <w:pPr>
        <w:pBdr/>
        <w:pStyle w:val="Normal"/>
        <w:spacing/>
        <w:ind/>
        <w:rPr>
          <w:rFonts w:ascii="Arial" w:eastAsia="Arial" w:hAnsi="Arial" w:cs="Arial"/>
        </w:rPr>
      </w:pPr>
      <w:r>
        <w:rPr>
          <w:rFonts w:ascii="Arial" w:eastAsia="Arial" w:hAnsi="Arial" w:cs="Arial"/>
        </w:rPr>
        <w:t xml:space="preserve">(5) Do dovršetka usklađivanja uvjeta okolišne dozvole iz stavaka 2. i 3. ovoga članka operater je dužan obavljati djelatnost iz stavka 1. ovoga članka u skladu s uvjetima važeće okolišne dozvole.</w:t>
      </w:r>
    </w:p>
    <w:p>
      <w:pPr>
        <w:pBdr/>
        <w:pStyle w:val="Normal"/>
        <w:spacing/>
        <w:ind/>
        <w:rPr>
          <w:rFonts w:ascii="Arial" w:eastAsia="Arial" w:hAnsi="Arial" w:cs="Arial"/>
        </w:rPr>
      </w:pPr>
    </w:p>
    <w:p>
      <w:pPr>
        <w:pBdr/>
        <w:pStyle w:val="Heading 2"/>
        <w:spacing/>
        <w:ind/>
        <w:rPr/>
      </w:pPr>
      <w:r>
        <w:rPr/>
        <w:t xml:space="preserve">Usklađivanje postrojenja za uzgoj životinja</w:t>
      </w:r>
    </w:p>
    <w:p>
      <w:pPr>
        <w:pBdr/>
        <w:pStyle w:val="Heading 2"/>
        <w:spacing/>
        <w:ind/>
        <w:rPr/>
      </w:pPr>
      <w:r>
        <w:rPr/>
        <w:t xml:space="preserve">Članak 366.</w:t>
      </w:r>
    </w:p>
    <w:p>
      <w:pPr>
        <w:pBdr/>
        <w:pStyle w:val="Normal"/>
        <w:spacing/>
        <w:ind/>
        <w:rPr>
          <w:rFonts w:ascii="Arial" w:eastAsia="Arial" w:hAnsi="Arial" w:cs="Arial"/>
        </w:rPr>
      </w:pPr>
      <w:r>
        <w:rPr>
          <w:rFonts w:ascii="Arial" w:eastAsia="Arial" w:hAnsi="Arial" w:cs="Arial"/>
        </w:rPr>
        <w:t xml:space="preserve">(1) Operateri postrojenja iz članka 155. ovoga Zakona dužni su uskladiti rad postrojenja s operativnim pravilima iz pravilnika iz članka 163. stavka 1. ovoga Zakona u sljedećim rokovima:</w:t>
      </w:r>
    </w:p>
    <w:p>
      <w:pPr>
        <w:pBdr/>
        <w:pStyle w:val="Normal"/>
        <w:spacing/>
        <w:ind/>
        <w:rPr>
          <w:rFonts w:ascii="Arial" w:eastAsia="Arial" w:hAnsi="Arial" w:cs="Arial"/>
        </w:rPr>
      </w:pPr>
      <w:r>
        <w:rPr>
          <w:rFonts w:ascii="Arial" w:eastAsia="Arial" w:hAnsi="Arial" w:cs="Arial"/>
        </w:rPr>
        <w:t xml:space="preserve">1. najkasnije do 8. listopada 2030. godine za postrojenja kapaciteta 600 stočnih jedinica ili više</w:t>
      </w:r>
    </w:p>
    <w:p>
      <w:pPr>
        <w:pBdr/>
        <w:pStyle w:val="Normal"/>
        <w:spacing/>
        <w:ind/>
        <w:rPr>
          <w:rFonts w:ascii="Arial" w:eastAsia="Arial" w:hAnsi="Arial" w:cs="Arial"/>
        </w:rPr>
      </w:pPr>
      <w:r>
        <w:rPr>
          <w:rFonts w:ascii="Arial" w:eastAsia="Arial" w:hAnsi="Arial" w:cs="Arial"/>
        </w:rPr>
        <w:t xml:space="preserve">2. najkasnije do 8. listopada 2031. godine za postrojenja kapaciteta od 400 do manje od 600 stočnih jedinica ili </w:t>
      </w:r>
    </w:p>
    <w:p>
      <w:pPr>
        <w:pBdr/>
        <w:pStyle w:val="Normal"/>
        <w:spacing/>
        <w:ind/>
        <w:rPr>
          <w:rFonts w:ascii="Arial" w:eastAsia="Arial" w:hAnsi="Arial" w:cs="Arial"/>
        </w:rPr>
      </w:pPr>
      <w:r>
        <w:rPr>
          <w:rFonts w:ascii="Arial" w:eastAsia="Arial" w:hAnsi="Arial" w:cs="Arial"/>
        </w:rPr>
        <w:t xml:space="preserve">3. najkasnije do 8. listopada 2032. godine za ostala postrojenja obuhvaćena Dodatkom IV. ovoga Zakona.</w:t>
      </w:r>
    </w:p>
    <w:p>
      <w:pPr>
        <w:pBdr/>
        <w:pStyle w:val="Normal"/>
        <w:spacing/>
        <w:ind/>
        <w:rPr>
          <w:rFonts w:ascii="Arial" w:eastAsia="Arial" w:hAnsi="Arial" w:cs="Arial"/>
        </w:rPr>
      </w:pPr>
      <w:r>
        <w:rPr>
          <w:rFonts w:ascii="Arial" w:eastAsia="Arial" w:hAnsi="Arial" w:cs="Arial"/>
        </w:rPr>
        <w:t xml:space="preserve">(2) Operateri postrojenja iz stavka 1. ovoga članka dužni su obveze iz članaka 164. i 165. ovoga Zakona koje se odnose na usklađenost rada postrojenja s operativnim pravilima ispuniti najkasnije do isteka odgovarajućeg roka iz stavka 1. ovoga članka.</w:t>
      </w:r>
    </w:p>
    <w:p>
      <w:pPr>
        <w:pBdr/>
        <w:pStyle w:val="Normal"/>
        <w:spacing/>
        <w:ind/>
        <w:rPr>
          <w:rFonts w:ascii="Arial" w:eastAsia="Arial" w:hAnsi="Arial" w:cs="Arial"/>
        </w:rPr>
      </w:pPr>
    </w:p>
    <w:p>
      <w:pPr>
        <w:pBdr/>
        <w:pStyle w:val="Heading 2"/>
        <w:spacing/>
        <w:ind/>
        <w:rPr/>
      </w:pPr>
      <w:r>
        <w:rPr/>
        <w:t xml:space="preserve">Važenje i preispitivanje postojećih okolišnih dozvola</w:t>
      </w:r>
    </w:p>
    <w:p>
      <w:pPr>
        <w:pBdr/>
        <w:pStyle w:val="Heading 2"/>
        <w:spacing/>
        <w:ind/>
        <w:rPr/>
      </w:pPr>
      <w:r>
        <w:rPr/>
        <w:t xml:space="preserve">Članak 367.</w:t>
      </w:r>
    </w:p>
    <w:p>
      <w:pPr>
        <w:pBdr/>
        <w:pStyle w:val="Normal"/>
        <w:spacing/>
        <w:ind/>
        <w:rPr>
          <w:rFonts w:ascii="Arial" w:eastAsia="Arial" w:hAnsi="Arial" w:cs="Arial"/>
        </w:rPr>
      </w:pPr>
      <w:r>
        <w:rPr>
          <w:rFonts w:ascii="Arial" w:eastAsia="Arial" w:hAnsi="Arial" w:cs="Arial"/>
        </w:rPr>
        <w:t xml:space="preserve">(1) Rješenja o objedinjenim uvjetima zaštite okoliša donesena na temelju Zakona o zaštiti okoliša (»Narodne novine«, broj 110/07.) i rješenja o okolišnoj dozvoli donesena na temelju Zakona o zaštiti okoliša (»Narodne novine«, br. 80/13., 153/13., 78/15., 12/18. i 118/18.), uključujući njihove izmjene i/ili dopune, koja su na snazi na dan stupanja na snagu ovoga Zakona važe do njihova ukidanja odnosno prestanka važenja u skladu s odredbama ovoga Zakona.</w:t>
      </w:r>
    </w:p>
    <w:p>
      <w:pPr>
        <w:pBdr/>
        <w:pStyle w:val="Normal"/>
        <w:spacing/>
        <w:ind/>
        <w:rPr>
          <w:rFonts w:ascii="Arial" w:eastAsia="Arial" w:hAnsi="Arial" w:cs="Arial"/>
          <w:color w:val="000000"/>
        </w:rPr>
      </w:pPr>
      <w:r>
        <w:rPr>
          <w:rFonts w:ascii="Arial" w:eastAsia="Arial" w:hAnsi="Arial" w:cs="Arial"/>
          <w:color w:val="000000"/>
        </w:rPr>
        <w:t xml:space="preserve">(2) Uvjeti utvrđeni rješenjima iz stavka 1. ovoga članka preispituju se i prema potrebi mijenjaju i/ili dopunjuju u slučajevima i rokovima propisanim ovim Zakonom, osim ako je za pojedinu djelatnost ovim Zakonom propisan poseban prijelazni režim.</w:t>
      </w:r>
    </w:p>
    <w:p>
      <w:pPr>
        <w:pBdr/>
        <w:pStyle w:val="Normal"/>
        <w:spacing/>
        <w:ind/>
        <w:rPr>
          <w:rFonts w:ascii="Arial" w:eastAsia="Arial" w:hAnsi="Arial" w:cs="Arial"/>
          <w:color w:val="000000"/>
        </w:rPr>
      </w:pPr>
      <w:r>
        <w:rPr>
          <w:rFonts w:ascii="Arial" w:eastAsia="Arial" w:hAnsi="Arial" w:cs="Arial"/>
          <w:color w:val="000000"/>
        </w:rPr>
        <w:t xml:space="preserve">(3) Do usklađivanja uvjeta rješenja iz stavka 1. ovoga članka u skladu s ovim Zakonom operater je dužan obavljati djelatnost u skladu s uvjetima toga rješenja.</w:t>
      </w:r>
    </w:p>
    <w:p>
      <w:pPr>
        <w:pBdr/>
        <w:pStyle w:val="Normal"/>
        <w:spacing/>
        <w:ind/>
        <w:rPr>
          <w:rFonts w:ascii="Arial" w:eastAsia="Arial" w:hAnsi="Arial" w:cs="Arial"/>
          <w:color w:val="000000"/>
        </w:rPr>
      </w:pPr>
    </w:p>
    <w:p>
      <w:pPr>
        <w:pBdr/>
        <w:pStyle w:val="Heading 2"/>
        <w:spacing/>
        <w:ind/>
        <w:rPr/>
      </w:pPr>
      <w:r>
        <w:rPr/>
        <w:t xml:space="preserve">Važenje odobrenih zamjenskih parametara i smanjene učestalosti praćenja</w:t>
      </w:r>
    </w:p>
    <w:p>
      <w:pPr>
        <w:pBdr/>
        <w:pStyle w:val="Heading 2"/>
        <w:spacing/>
        <w:ind/>
        <w:rPr/>
      </w:pPr>
      <w:r>
        <w:rPr/>
        <w:t xml:space="preserve">Članak 368.</w:t>
      </w:r>
    </w:p>
    <w:p>
      <w:pPr>
        <w:pBdr/>
        <w:pStyle w:val="Normal"/>
        <w:spacing/>
        <w:ind/>
        <w:rPr>
          <w:rFonts w:ascii="Arial" w:eastAsia="Arial" w:hAnsi="Arial" w:cs="Arial"/>
        </w:rPr>
      </w:pPr>
      <w:r>
        <w:rPr>
          <w:rFonts w:ascii="Arial" w:eastAsia="Arial" w:hAnsi="Arial" w:cs="Arial"/>
        </w:rPr>
        <w:t xml:space="preserve">(1) Rješenja kojima su operaterima odobreni zamjenski parametri ili smanjena učestalost praćenja emisija izdana prije stupanja na snagu ovoga Zakona, ostaju na snazi do donošenja odluke u prvom sljedećem postupku izmjene i/ili dopune odnosno preispitivanja uvjeta okolišne dozvole koji se provodi u skladu s ovim Zakonom.</w:t>
      </w:r>
    </w:p>
    <w:p>
      <w:pPr>
        <w:pBdr/>
        <w:pStyle w:val="Normal"/>
        <w:spacing/>
        <w:ind/>
        <w:rPr>
          <w:rFonts w:ascii="Arial" w:eastAsia="Arial" w:hAnsi="Arial" w:cs="Arial"/>
        </w:rPr>
      </w:pPr>
      <w:r>
        <w:rPr>
          <w:rFonts w:ascii="Arial" w:eastAsia="Arial" w:hAnsi="Arial" w:cs="Arial"/>
        </w:rPr>
        <w:t xml:space="preserve">(2) U postupku iz stavka 1. ovoga članka Ministarstvo preispituje primjenu odobrenih zamjenskih parametara odnosno smanjene učestalosti praćenja emisija te, ako za njihovu primjenu nisu ispunjeni uvjeti iz članka 113. stavka 3. odnosno stavka 2. ovoga Zakona, rješenjem ukida odgovarajuće odobrenje i utvrđuje uvjete praćenja emisija u skladu s člankom 113. stavkom 1. ovoga Zakona.</w:t>
      </w:r>
    </w:p>
    <w:p>
      <w:pPr>
        <w:pBdr/>
        <w:pStyle w:val="Normal"/>
        <w:spacing/>
        <w:ind/>
        <w:rPr>
          <w:rFonts w:ascii="Arial" w:eastAsia="Arial" w:hAnsi="Arial" w:cs="Arial"/>
        </w:rPr>
      </w:pPr>
      <w:r>
        <w:rPr>
          <w:rFonts w:ascii="Arial" w:eastAsia="Arial" w:hAnsi="Arial" w:cs="Arial"/>
        </w:rPr>
        <w:t xml:space="preserve">(3) Protiv rješenja iz stavka 2. ovoga članka nije dopuštena žalba, ali se može pokrenuti upravni spor.</w:t>
      </w:r>
    </w:p>
    <w:p>
      <w:pPr>
        <w:pBdr/>
        <w:pStyle w:val="Normal"/>
        <w:spacing/>
        <w:ind/>
        <w:rPr>
          <w:rFonts w:ascii="Arial" w:eastAsia="Arial" w:hAnsi="Arial" w:cs="Arial"/>
        </w:rPr>
      </w:pPr>
    </w:p>
    <w:p>
      <w:pPr>
        <w:pBdr/>
        <w:pStyle w:val="Heading 2"/>
        <w:spacing/>
        <w:ind/>
        <w:rPr/>
      </w:pPr>
      <w:r>
        <w:rPr/>
        <w:t xml:space="preserve">Rješenja o radu postrojenja ispod graničnih vrijednosti pokazatelja</w:t>
      </w:r>
    </w:p>
    <w:p>
      <w:pPr>
        <w:pBdr/>
        <w:pStyle w:val="Heading 2"/>
        <w:spacing/>
        <w:ind/>
        <w:rPr/>
      </w:pPr>
      <w:r>
        <w:rPr/>
        <w:t xml:space="preserve">Članak 369.</w:t>
      </w:r>
    </w:p>
    <w:p>
      <w:pPr>
        <w:pBdr/>
        <w:pStyle w:val="Normal"/>
        <w:spacing/>
        <w:ind/>
        <w:rPr>
          <w:rFonts w:ascii="Arial" w:eastAsia="Arial" w:hAnsi="Arial" w:cs="Arial"/>
        </w:rPr>
      </w:pPr>
      <w:r>
        <w:rPr>
          <w:rFonts w:ascii="Arial" w:eastAsia="Arial" w:hAnsi="Arial" w:cs="Arial"/>
        </w:rPr>
        <w:t xml:space="preserve">(1) Rješenja o radu postrojenja ispod graničnih vrijednosti pokazatelja izdana na temelju Zakona o zaštiti okoliša (»Narodne novine«, broj 80/13., 153/13., 78/15., 12/18. i 118/18.) ostaju na snazi do isteka roka važenja utvrđenog u tim rješenjima.</w:t>
      </w:r>
    </w:p>
    <w:p>
      <w:pPr>
        <w:pBdr/>
        <w:pStyle w:val="Normal"/>
        <w:spacing/>
        <w:ind/>
        <w:rPr>
          <w:rFonts w:ascii="Arial" w:eastAsia="Arial" w:hAnsi="Arial" w:cs="Arial"/>
        </w:rPr>
      </w:pPr>
      <w:r>
        <w:rPr>
          <w:rFonts w:ascii="Arial" w:eastAsia="Arial" w:hAnsi="Arial" w:cs="Arial"/>
        </w:rPr>
        <w:t xml:space="preserve">(2) Operateri postrojenja iz stavka 1. ovoga članka dužni su postupak za izdavanje novog rješenja pokrenuti sukladno odredbama članka 147. ovoga Zakona najkasnije tri mjeseca prije isteka važenja rješenja iz stavka 1. ovoga članka.</w:t>
      </w:r>
    </w:p>
    <w:p>
      <w:pPr>
        <w:pBdr/>
        <w:pStyle w:val="Normal"/>
        <w:spacing/>
        <w:ind/>
        <w:rPr>
          <w:rFonts w:ascii="Arial" w:eastAsia="Arial" w:hAnsi="Arial" w:cs="Arial"/>
        </w:rPr>
      </w:pPr>
    </w:p>
    <w:p>
      <w:pPr>
        <w:pBdr/>
        <w:pStyle w:val="Heading 2"/>
        <w:spacing/>
        <w:ind/>
        <w:rPr/>
      </w:pPr>
      <w:r>
        <w:rPr/>
        <w:t xml:space="preserve">Prijelaz postojećih postrojenja u sustav registracije</w:t>
      </w:r>
    </w:p>
    <w:p>
      <w:pPr>
        <w:pBdr/>
        <w:pStyle w:val="Heading 2"/>
        <w:spacing/>
        <w:ind/>
        <w:rPr/>
      </w:pPr>
      <w:r>
        <w:rPr/>
        <w:t xml:space="preserve">Članak 370.</w:t>
      </w:r>
    </w:p>
    <w:p>
      <w:pPr>
        <w:pBdr/>
        <w:pStyle w:val="Normal"/>
        <w:spacing/>
        <w:ind/>
        <w:rPr>
          <w:rFonts w:ascii="Arial" w:eastAsia="Arial" w:hAnsi="Arial" w:cs="Arial"/>
        </w:rPr>
      </w:pPr>
      <w:r>
        <w:rPr>
          <w:rFonts w:ascii="Arial" w:eastAsia="Arial" w:hAnsi="Arial" w:cs="Arial"/>
        </w:rPr>
        <w:t xml:space="preserve">(1) Operateri postrojenja iz članka 155. ovoga Zakona koja su u radu na dan stupanja na snagu pravilnika iz članka 163. stavka 1. ovoga Zakona i za koja je prema odredbama ovoga Zakona potrebno ishoditi rješenje o registraciji dužni su podnijeti Ministarstvu zahtjev za registraciju najkasnije u roku od godinu dana od dana stupanja na snagu toga pravilnika.</w:t>
      </w:r>
    </w:p>
    <w:p>
      <w:pPr>
        <w:pBdr/>
        <w:pStyle w:val="Normal"/>
        <w:spacing/>
        <w:ind/>
        <w:rPr>
          <w:rFonts w:ascii="Arial" w:eastAsia="Arial" w:hAnsi="Arial" w:cs="Arial"/>
        </w:rPr>
      </w:pPr>
      <w:r>
        <w:rPr>
          <w:rFonts w:ascii="Arial" w:eastAsia="Arial" w:hAnsi="Arial" w:cs="Arial"/>
        </w:rPr>
        <w:t xml:space="preserve">(2) Postrojenja iz stavka 1. ovoga članka za koja je okolišna dozvola izdana na temelju propisa koji su bili na snazi do stupanja na snagu ovoga Zakona, a koja se prema odredbama ovoga Zakona ne nastavljaju obuhvaćati okolišnom dozvolom, prelaze u sustav registracije.</w:t>
      </w:r>
    </w:p>
    <w:p>
      <w:pPr>
        <w:pBdr/>
        <w:pStyle w:val="Normal"/>
        <w:spacing/>
        <w:ind/>
        <w:rPr>
          <w:rFonts w:ascii="Arial" w:eastAsia="Arial" w:hAnsi="Arial" w:cs="Arial"/>
        </w:rPr>
      </w:pPr>
      <w:r>
        <w:rPr>
          <w:rFonts w:ascii="Arial" w:eastAsia="Arial" w:hAnsi="Arial" w:cs="Arial"/>
        </w:rPr>
        <w:t xml:space="preserve">(3) Rok iz stavka 1. ovoga članka odnosi se na podnošenje zahtjeva za registraciju i ne utječe na rokove za usklađivanje rada postrojenja s operativnim pravilima iz članka 366. stavka 1. ovoga Zakona.</w:t>
      </w:r>
    </w:p>
    <w:p>
      <w:pPr>
        <w:pBdr/>
        <w:pStyle w:val="Normal"/>
        <w:spacing/>
        <w:ind/>
        <w:rPr>
          <w:rFonts w:ascii="Arial" w:eastAsia="Arial" w:hAnsi="Arial" w:cs="Arial"/>
        </w:rPr>
      </w:pPr>
      <w:r>
        <w:rPr>
          <w:rFonts w:ascii="Arial" w:eastAsia="Arial" w:hAnsi="Arial" w:cs="Arial"/>
        </w:rPr>
        <w:t xml:space="preserve">(4) Iznimno od članka 161. stavka 4. ovoga Zakona, postrojenja iz članka 155. ovoga Zakona koja su započela s radom prije stupanja na snagu pravilnika iz članka 163. stavka 1. ovoga Zakona mogu nastaviti s radom bez izvršnog rješenja o registraciji do isteka roka iz stavka 1. ovoga članka, a ako je zahtjev za registraciju podnesen u tom roku, do izvršnosti rješenja kojim je odlučeno o zahtjevu, ne dovodeći u pitanje obvezu ishođenja okolišne dozvole i rada u skladu s njezinim uvjetima prema članku 371. ovoga Zakona.</w:t>
      </w:r>
    </w:p>
    <w:p>
      <w:pPr>
        <w:pBdr/>
        <w:pStyle w:val="Normal"/>
        <w:spacing/>
        <w:ind/>
        <w:rPr>
          <w:rFonts w:ascii="Arial" w:eastAsia="Arial" w:hAnsi="Arial" w:cs="Arial"/>
        </w:rPr>
      </w:pPr>
    </w:p>
    <w:p>
      <w:pPr>
        <w:pBdr/>
        <w:pStyle w:val="Heading 2"/>
        <w:spacing/>
        <w:ind/>
        <w:rPr/>
      </w:pPr>
      <w:r>
        <w:rPr/>
        <w:t xml:space="preserve">Primjena režima okolišne dozvole tijekom prijelaza u sustav registracije</w:t>
      </w:r>
    </w:p>
    <w:p>
      <w:pPr>
        <w:pBdr/>
        <w:pStyle w:val="Heading 2"/>
        <w:spacing/>
        <w:ind/>
        <w:rPr/>
      </w:pPr>
      <w:r>
        <w:rPr/>
        <w:t xml:space="preserve">Članak 371.</w:t>
      </w:r>
    </w:p>
    <w:p>
      <w:pPr>
        <w:pBdr/>
        <w:pStyle w:val="Normal"/>
        <w:spacing/>
        <w:ind/>
        <w:rPr>
          <w:rFonts w:ascii="Arial" w:eastAsia="Arial" w:hAnsi="Arial" w:cs="Arial"/>
        </w:rPr>
      </w:pPr>
      <w:r>
        <w:rPr>
          <w:rFonts w:ascii="Arial" w:eastAsia="Arial" w:hAnsi="Arial" w:cs="Arial"/>
        </w:rPr>
        <w:t xml:space="preserve">(1) Operateri postrojenja iz članka 155. ovoga Zakona koja su prema djelatnosti 6.6. Priloga I. Uredbe o okolišnoj dozvoli (»Narodne novine«, br. 8/14. i 5/18.) bila obuhvaćena obvezom ishođenja okolišne dozvole dužni su do isteka odgovarajućeg roka iz članka 366. stavka 1. ovoga Zakona obavljati djelatnost na temelju okolišne dozvole i u skladu s njezinim uvjetima.</w:t>
      </w:r>
    </w:p>
    <w:p>
      <w:pPr>
        <w:pBdr/>
        <w:pStyle w:val="Normal"/>
        <w:spacing/>
        <w:ind/>
        <w:rPr>
          <w:rFonts w:ascii="Arial" w:eastAsia="Arial" w:hAnsi="Arial" w:cs="Arial"/>
          <w:color w:val="000000"/>
        </w:rPr>
      </w:pPr>
      <w:r>
        <w:rPr>
          <w:rFonts w:ascii="Arial" w:eastAsia="Arial" w:hAnsi="Arial" w:cs="Arial"/>
          <w:color w:val="000000"/>
        </w:rPr>
        <w:t xml:space="preserve">(2) Operater postrojenja iz članka 155. ovoga Zakona koje bi prema djelatnosti 6.6. Priloga I. Uredbe o okolišnoj dozvoli (»Narodne novine«, br. 8/14. i 5/18.) bilo obuhvaćeno obvezom ishođenja okolišne dozvole i koje započinje s radom nakon stupanja na snagu ovoga Zakona, a prije isteka odgovarajućeg roka iz članka 366. stavka 1. ovoga Zakona, dužan je prije početka rada ishoditi okolišnu dozvolu, pri čemu se do isteka toga roka na izdavanje te dozvole i uvjete rada postrojenja odgovarajuće primjenjuju odredbe Zakona o zaštiti okoliša (»Narodne novine«, br. 80/13., 153/13., 78/15., 12/18. i 118/18.) i Uredbe o okolišnoj dozvoli (»Narodne novine«, br. 8/14. i 5/18.) koje su se odnosile na djelatnost 6.6. Priloga I. te Uredbe.</w:t>
      </w:r>
    </w:p>
    <w:p>
      <w:pPr>
        <w:pBdr/>
        <w:pStyle w:val="Normal"/>
        <w:spacing/>
        <w:ind/>
        <w:rPr>
          <w:rFonts w:ascii="Arial" w:eastAsia="Arial" w:hAnsi="Arial" w:cs="Arial"/>
          <w:color w:val="000000"/>
        </w:rPr>
      </w:pPr>
      <w:r>
        <w:rPr>
          <w:rFonts w:ascii="Arial" w:eastAsia="Arial" w:hAnsi="Arial" w:cs="Arial"/>
          <w:color w:val="000000"/>
        </w:rPr>
        <w:t xml:space="preserve">(3) Izdavanje rješenja o registraciji postrojenju iz stavaka 1. i 2. ovoga članka ne oslobađa operatera obveze da do isteka odgovarajućeg roka iz članka 366. stavka 1. ovoga Zakona obavlja djelatnost na temelju okolišne dozvole i u skladu s njezinim uvjetima.</w:t>
      </w:r>
    </w:p>
    <w:p>
      <w:pPr>
        <w:pBdr/>
        <w:pStyle w:val="Normal"/>
        <w:spacing/>
        <w:ind/>
        <w:rPr>
          <w:rFonts w:ascii="Arial" w:eastAsia="Arial" w:hAnsi="Arial" w:cs="Arial"/>
        </w:rPr>
      </w:pPr>
      <w:r>
        <w:rPr>
          <w:rFonts w:ascii="Arial" w:eastAsia="Arial" w:hAnsi="Arial" w:cs="Arial"/>
        </w:rPr>
        <w:t xml:space="preserve">(4) Istekom odgovarajućeg roka iz članka 366. stavka 1. ovoga Zakona okolišna dozvola prestaje važiti za djelatnost uzgoja životinja koja prelazi u sustav registracije, a ako okolišna dozvola obuhvaća i druge djelatnosti za koje postoji obveza ishođenja okolišne dozvole, okolišna dozvola važi u dijelu koji se odnosi na te djelatnosti.</w:t>
      </w:r>
    </w:p>
    <w:p>
      <w:pPr>
        <w:pBdr/>
        <w:pStyle w:val="Normal"/>
        <w:spacing/>
        <w:ind/>
        <w:rPr>
          <w:rFonts w:ascii="Arial" w:eastAsia="Arial" w:hAnsi="Arial" w:cs="Arial"/>
        </w:rPr>
      </w:pPr>
    </w:p>
    <w:p>
      <w:pPr>
        <w:pBdr/>
        <w:pStyle w:val="Heading 2"/>
        <w:spacing/>
        <w:ind/>
        <w:rPr/>
      </w:pPr>
      <w:r>
        <w:rPr/>
        <w:t xml:space="preserve">Važenje i ponovna procjena odobrenih odstupanja</w:t>
      </w:r>
    </w:p>
    <w:p>
      <w:pPr>
        <w:pBdr/>
        <w:pStyle w:val="Heading 2"/>
        <w:spacing/>
        <w:ind/>
        <w:rPr/>
      </w:pPr>
      <w:r>
        <w:rPr/>
        <w:t xml:space="preserve">Članak 372.</w:t>
      </w:r>
    </w:p>
    <w:p>
      <w:pPr>
        <w:pBdr/>
        <w:pStyle w:val="Normal"/>
        <w:spacing/>
        <w:ind/>
        <w:rPr>
          <w:rFonts w:ascii="Arial" w:eastAsia="Arial" w:hAnsi="Arial" w:cs="Arial"/>
        </w:rPr>
      </w:pPr>
      <w:r>
        <w:rPr>
          <w:rFonts w:ascii="Arial" w:eastAsia="Arial" w:hAnsi="Arial" w:cs="Arial"/>
        </w:rPr>
        <w:t xml:space="preserve">(1) Odstupanja od razina emisija povezanih s NRT-</w:t>
      </w:r>
      <w:r>
        <w:rPr>
          <w:rFonts w:ascii="Arial" w:eastAsia="Arial" w:hAnsi="Arial" w:cs="Arial"/>
        </w:rPr>
        <w:t xml:space="preserve">om odobrena u skladu s odredbama Zakona o zaštiti okoliša (»Narodne novine«, broj 80/13., 153/13., 78/15., 12/18. i 118/18.) prije 1. srpnja 2026. godine ostaju na snazi do ponovne procjene njihove opravdanosti u skladu s odredbama ovoga Zakona.</w:t>
      </w:r>
    </w:p>
    <w:p>
      <w:pPr>
        <w:pBdr/>
        <w:pStyle w:val="Normal"/>
        <w:spacing/>
        <w:ind/>
        <w:rPr>
          <w:rFonts w:ascii="Arial" w:eastAsia="Arial" w:hAnsi="Arial" w:cs="Arial"/>
        </w:rPr>
      </w:pPr>
      <w:r>
        <w:rPr>
          <w:rFonts w:ascii="Arial" w:eastAsia="Arial" w:hAnsi="Arial" w:cs="Arial"/>
        </w:rPr>
        <w:t xml:space="preserve">(2) Ministarstvo je dužno ponovnu procjenu iz stavka 1. ovoga članka provesti po službenoj dužnosti u roku od četiri godine od 1. srpnja 2026. godine ili u prvom postupku preispitivanja uvjeta okolišne dozvole koji se provede prije isteka toga roka.</w:t>
      </w:r>
    </w:p>
    <w:p>
      <w:pPr>
        <w:pBdr/>
        <w:pStyle w:val="Normal"/>
        <w:spacing/>
        <w:ind/>
        <w:rPr>
          <w:rFonts w:ascii="Arial" w:eastAsia="Arial" w:hAnsi="Arial" w:cs="Arial"/>
          <w:color w:val="000000"/>
        </w:rPr>
      </w:pPr>
      <w:r>
        <w:rPr>
          <w:rFonts w:ascii="Arial" w:eastAsia="Arial" w:hAnsi="Arial" w:cs="Arial"/>
          <w:color w:val="000000"/>
        </w:rPr>
        <w:t xml:space="preserve">(3) Odobrenja za odstupanja radi ispitivanja i uporabe tehnika u nastajanju koja su izdana prije 1. srpnja 2026. godine ostaju na snazi do isteka razdoblja utvrđenog tim odobrenjima, nakon čega se ispitivanje mora obustaviti ili se radom postrojenja moraju postići barem razine emisija povezane s primjenjivim zaključcima o NRT-</w:t>
      </w:r>
      <w:r>
        <w:rPr>
          <w:rFonts w:ascii="Arial" w:eastAsia="Arial" w:hAnsi="Arial" w:cs="Arial"/>
          <w:color w:val="000000"/>
        </w:rPr>
        <w:t xml:space="preserve">u.</w:t>
      </w:r>
    </w:p>
    <w:p>
      <w:pPr>
        <w:pBdr/>
        <w:pStyle w:val="Normal"/>
        <w:spacing/>
        <w:ind/>
        <w:rPr>
          <w:rFonts w:ascii="Arial" w:eastAsia="Arial" w:hAnsi="Arial" w:cs="Arial"/>
        </w:rPr>
      </w:pPr>
    </w:p>
    <w:p>
      <w:pPr>
        <w:pBdr/>
        <w:pStyle w:val="Heading 2"/>
        <w:spacing/>
        <w:ind/>
        <w:rPr/>
      </w:pPr>
      <w:r>
        <w:rPr/>
        <w:t xml:space="preserve">Važenje suglasnosti za postojeća područja postrojenja</w:t>
      </w:r>
    </w:p>
    <w:p>
      <w:pPr>
        <w:pBdr/>
        <w:pStyle w:val="Heading 2"/>
        <w:spacing/>
        <w:ind/>
        <w:rPr/>
      </w:pPr>
      <w:r>
        <w:rPr/>
        <w:t xml:space="preserve">Članak 373.</w:t>
      </w:r>
    </w:p>
    <w:p>
      <w:pPr>
        <w:pBdr/>
        <w:pStyle w:val="Normal"/>
        <w:spacing/>
        <w:ind/>
        <w:rPr>
          <w:rFonts w:ascii="Arial" w:eastAsia="Arial" w:hAnsi="Arial" w:cs="Arial"/>
        </w:rPr>
      </w:pPr>
      <w:r>
        <w:rPr>
          <w:rFonts w:ascii="Arial" w:eastAsia="Arial" w:hAnsi="Arial" w:cs="Arial"/>
        </w:rPr>
        <w:t xml:space="preserve">(1) Suglasnosti za područja postrojenja višeg i nižeg razreda izdane na temelju Zakona o zaštiti okoliša (»Narodne novine«, broj 80/13., 153/13., 78/15., 12/18. i 118/18.) koje su </w:t>
      </w:r>
      <w:r>
        <w:rPr>
          <w:rFonts w:ascii="Arial" w:eastAsia="Arial" w:hAnsi="Arial" w:cs="Arial"/>
        </w:rPr>
        <w:t xml:space="preserve">na snazi na dan stupanja na snagu ovoga Zakona važe prema odredbama ovoga Zakona, neovisno o roku važenja utvrđenom u tim suglasnostima.</w:t>
      </w:r>
    </w:p>
    <w:p>
      <w:pPr>
        <w:pBdr/>
        <w:pStyle w:val="Normal"/>
        <w:spacing/>
        <w:ind/>
        <w:rPr>
          <w:rFonts w:ascii="Arial" w:eastAsia="Arial" w:hAnsi="Arial" w:cs="Arial"/>
        </w:rPr>
      </w:pPr>
      <w:r>
        <w:rPr>
          <w:rFonts w:ascii="Arial" w:eastAsia="Arial" w:hAnsi="Arial" w:cs="Arial"/>
        </w:rPr>
        <w:t xml:space="preserve">(2) Od dana stupanja na snagu ovoga Zakona na suglasnosti iz stavka 1. ovoga članka primjenjuju se odredbe ovoga Zakona o redovitom preispitivanju dokumentacije i obvezi ishođenja nove suglasnosti u slučaju značajne promjene u radu postrojenja.</w:t>
      </w:r>
    </w:p>
    <w:p>
      <w:pPr>
        <w:pBdr/>
        <w:pStyle w:val="Normal"/>
        <w:spacing/>
        <w:ind/>
        <w:rPr>
          <w:rFonts w:ascii="Arial" w:eastAsia="Arial" w:hAnsi="Arial" w:cs="Arial"/>
        </w:rPr>
      </w:pPr>
      <w:r>
        <w:rPr>
          <w:rFonts w:ascii="Arial" w:eastAsia="Arial" w:hAnsi="Arial" w:cs="Arial"/>
        </w:rPr>
        <w:t xml:space="preserve">(3) Operater kojem je suglasnost iz stavka 1. ovoga članka izdana na rok od pet godina dužan je prvo preispitivanje dokumentacije prema odredbama ovoga Zakona provesti najkasnije do dana isteka roka važenja utvrđenog u izdanoj suglasnosti.</w:t>
      </w:r>
    </w:p>
    <w:p>
      <w:pPr>
        <w:pBdr/>
        <w:pStyle w:val="Normal"/>
        <w:spacing/>
        <w:ind/>
        <w:rPr>
          <w:rFonts w:ascii="Arial" w:eastAsia="Arial" w:hAnsi="Arial" w:cs="Arial"/>
        </w:rPr>
      </w:pPr>
    </w:p>
    <w:p>
      <w:pPr>
        <w:pBdr/>
        <w:pStyle w:val="Heading 2"/>
        <w:spacing/>
        <w:ind/>
        <w:rPr/>
      </w:pPr>
      <w:r>
        <w:rPr/>
        <w:t xml:space="preserve">Izvješćivanje za izvještajnu godinu 2026.</w:t>
      </w:r>
    </w:p>
    <w:p>
      <w:pPr>
        <w:pBdr/>
        <w:pStyle w:val="Heading 2"/>
        <w:spacing/>
        <w:ind/>
        <w:rPr/>
      </w:pPr>
      <w:r>
        <w:rPr/>
        <w:t xml:space="preserve">Članak 374.</w:t>
      </w:r>
    </w:p>
    <w:p>
      <w:pPr>
        <w:pBdr/>
        <w:pStyle w:val="Normal"/>
        <w:spacing/>
        <w:ind/>
        <w:rPr>
          <w:rFonts w:ascii="Arial" w:eastAsia="Arial" w:hAnsi="Arial" w:cs="Arial"/>
        </w:rPr>
      </w:pPr>
      <w:r>
        <w:rPr>
          <w:rFonts w:ascii="Arial" w:eastAsia="Arial" w:hAnsi="Arial" w:cs="Arial"/>
        </w:rPr>
        <w:t xml:space="preserve">Na povrede obveze dostave vjerodostojnih, točnih i ažurnih podataka u propisanom roku za izvještajnu godinu 2026., počinjene nakon stupanja na snagu ovoga Zakona, na koje se u skladu s člankom 21. Uredbe (EU) 2024/1244 primjenjuje Uredba (EZ) br. 166/2006, primjenjuju se odredbe članka 344. stavaka 5. i 6. ovoga Zakona.</w:t>
      </w:r>
    </w:p>
    <w:p>
      <w:pPr>
        <w:pBdr/>
        <w:pStyle w:val="Normal"/>
        <w:spacing/>
        <w:ind/>
        <w:rPr>
          <w:rFonts w:ascii="Arial" w:eastAsia="Arial" w:hAnsi="Arial" w:cs="Arial"/>
        </w:rPr>
      </w:pPr>
    </w:p>
    <w:p>
      <w:pPr>
        <w:pBdr/>
        <w:pStyle w:val="Heading 2"/>
        <w:spacing/>
        <w:ind/>
        <w:rPr/>
      </w:pPr>
      <w:r>
        <w:rPr/>
        <w:t xml:space="preserve">Prestanak važenja prijašnjeg Zakona</w:t>
      </w:r>
    </w:p>
    <w:p>
      <w:pPr>
        <w:pBdr/>
        <w:pStyle w:val="Heading 2"/>
        <w:spacing/>
        <w:ind/>
        <w:rPr/>
      </w:pPr>
      <w:r>
        <w:rPr/>
        <w:t xml:space="preserve">Članak 375.</w:t>
      </w:r>
    </w:p>
    <w:p>
      <w:pPr>
        <w:pBdr/>
        <w:pStyle w:val="Normal"/>
        <w:spacing/>
        <w:ind/>
        <w:rPr>
          <w:rFonts w:ascii="Arial" w:eastAsia="Arial" w:hAnsi="Arial" w:cs="Arial"/>
        </w:rPr>
      </w:pPr>
      <w:r>
        <w:rPr>
          <w:rFonts w:ascii="Arial" w:eastAsia="Arial" w:hAnsi="Arial" w:cs="Arial"/>
        </w:rPr>
        <w:t xml:space="preserve">Danom stupanja na snagu ovoga Zakona prestaje važiti Zakon o zaštiti okoliša (»Narodne novine«, broj 80/13., 153/13., 78/15., 12/18. i 118/18.).</w:t>
      </w:r>
    </w:p>
    <w:p>
      <w:pPr>
        <w:pBdr/>
        <w:pStyle w:val="Normal"/>
        <w:spacing/>
        <w:ind/>
        <w:rPr>
          <w:rFonts w:ascii="Arial" w:eastAsia="Arial" w:hAnsi="Arial" w:cs="Arial"/>
        </w:rPr>
      </w:pPr>
    </w:p>
    <w:p>
      <w:pPr>
        <w:pBdr/>
        <w:pStyle w:val="Heading 2"/>
        <w:spacing/>
        <w:ind/>
        <w:rPr/>
      </w:pPr>
      <w:r>
        <w:rPr/>
        <w:t xml:space="preserve">Stupanje na snagu</w:t>
      </w:r>
    </w:p>
    <w:p>
      <w:pPr>
        <w:pBdr/>
        <w:pStyle w:val="Heading 2"/>
        <w:spacing/>
        <w:ind/>
        <w:rPr/>
      </w:pPr>
      <w:r>
        <w:rPr/>
        <w:t xml:space="preserve">Članak 376.</w:t>
      </w:r>
    </w:p>
    <w:p>
      <w:pPr>
        <w:pBdr/>
        <w:pStyle w:val="Normal"/>
        <w:spacing/>
        <w:ind/>
        <w:rPr>
          <w:rFonts w:ascii="Arial" w:eastAsia="Arial" w:hAnsi="Arial" w:cs="Arial"/>
        </w:rPr>
      </w:pPr>
      <w:r>
        <w:rPr>
          <w:rFonts w:ascii="Arial" w:eastAsia="Arial" w:hAnsi="Arial" w:cs="Arial"/>
        </w:rPr>
        <w:t xml:space="preserve">Ovaj Zakon stupa na snagu osmoga dana od dana objave u »Narodnim novinama«.</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DODATAK I. OBRAZAC EVIDENCIJE IZDANIH SUGLASNOSTI</w:t>
      </w:r>
    </w:p>
    <w:tbl>
      <w:tblPr>
        <w:tblW w:w="9193" w:type="dxa"/>
        <w:jc w:val="left"/>
        <w:tblCellSpacing w:w="15" w:type="dxa"/>
        <w:tblInd w:w="0" w:type="dxa"/>
        <w:tblCellMar>
          <w:top w:w="15" w:type="dxa"/>
          <w:left w:w="15" w:type="dxa"/>
          <w:bottom w:w="15" w:type="dxa"/>
          <w:right w:w="15" w:type="dxa"/>
        </w:tblCellMar>
        <w:tblBorders>
          <w:top w:val="none" w:sz="0" w:space="0"/>
          <w:left w:val="none" w:sz="0" w:space="0"/>
          <w:bottom w:val="none" w:sz="0" w:space="0"/>
          <w:right w:val="none" w:sz="0" w:space="0"/>
          <w:insideH w:val="none" w:sz="0" w:space="0"/>
          <w:insideV w:val="none" w:sz="0" w:space="0"/>
        </w:tblBorders>
        <w:shd w:fill="auto" w:color="auto"/>
        <w:tblLayout w:type="fixed"/>
      </w:tblPr>
      <w:tblGrid>
        <w:gridCol w:w="1256"/>
        <w:gridCol w:w="1978"/>
        <w:gridCol w:w="1269"/>
        <w:gridCol w:w="1556"/>
        <w:gridCol w:w="1172"/>
        <w:gridCol w:w="1963"/>
      </w:tblGrid>
      <w:tr>
        <w:tblPrEx>
          <w:tblBorders>
            <w:top w:val="none" w:sz="0" w:space="0"/>
            <w:left w:val="none" w:sz="0" w:space="0"/>
            <w:bottom w:val="none" w:sz="0" w:space="0"/>
            <w:right w:val="none" w:sz="0" w:space="0"/>
            <w:insideH w:val="none" w:sz="0" w:space="0"/>
            <w:insideV w:val="none" w:sz="0" w:space="0"/>
          </w:tblBorders>
          <w:tblCellMar>
            <w:top w:w="15" w:type="dxa"/>
            <w:left w:w="15" w:type="dxa"/>
            <w:bottom w:w="15" w:type="dxa"/>
            <w:right w:w="15" w:type="dxa"/>
          </w:tblCellMar>
        </w:tblPrEx>
        <w:trPr>
          <w:trHeight w:hRule="atLeast" w:val="1001"/>
          <w:tblHeader/>
        </w:trPr>
        <w:tc>
          <w:tcPr>
            <w:tcW w:w="1227" w:type="dxa"/>
            <w:tcBorders/>
            <w:shd w:fill="auto" w:color="auto"/>
            <w:vAlign w:val="center"/>
          </w:tcPr>
          <w:p>
            <w:pPr>
              <w:pBdr/>
              <w:pStyle w:val="Normal"/>
              <w:spacing/>
              <w:ind/>
              <w:rPr/>
            </w:pPr>
            <w:r>
              <w:rPr/>
              <w:t xml:space="preserve">Naziv i sjedište ovlaštenika</w:t>
            </w:r>
          </w:p>
        </w:tc>
        <w:tc>
          <w:tcPr>
            <w:tcW w:w="1933" w:type="dxa"/>
            <w:tcBorders/>
            <w:shd w:fill="auto" w:color="auto"/>
            <w:vAlign w:val="center"/>
          </w:tcPr>
          <w:p>
            <w:pPr>
              <w:pBdr/>
              <w:pStyle w:val="Normal"/>
              <w:spacing/>
              <w:ind/>
              <w:rPr/>
            </w:pPr>
            <w:r>
              <w:rPr/>
              <w:t xml:space="preserve">Datum izdavanja suglasnosti</w:t>
            </w:r>
          </w:p>
        </w:tc>
        <w:tc>
          <w:tcPr>
            <w:tcW w:w="1240" w:type="dxa"/>
            <w:tcBorders/>
            <w:shd w:fill="auto" w:color="auto"/>
            <w:vAlign w:val="center"/>
          </w:tcPr>
          <w:p>
            <w:pPr>
              <w:pBdr/>
              <w:pStyle w:val="Normal"/>
              <w:spacing/>
              <w:ind/>
              <w:rPr/>
            </w:pPr>
            <w:r>
              <w:rPr/>
              <w:t xml:space="preserve">Datum prestanka važenja suglasnosti</w:t>
            </w:r>
          </w:p>
        </w:tc>
        <w:tc>
          <w:tcPr>
            <w:tcW w:w="1520" w:type="dxa"/>
            <w:tcBorders/>
            <w:shd w:fill="auto" w:color="auto"/>
            <w:vAlign w:val="center"/>
          </w:tcPr>
          <w:p>
            <w:pPr>
              <w:pBdr/>
              <w:pStyle w:val="Normal"/>
              <w:spacing/>
              <w:ind/>
              <w:rPr/>
            </w:pPr>
            <w:r>
              <w:rPr/>
              <w:t xml:space="preserve">Stručni poslovi za koje je suglasnost izdana</w:t>
            </w:r>
          </w:p>
        </w:tc>
        <w:tc>
          <w:tcPr>
            <w:tcW w:w="1145" w:type="dxa"/>
            <w:tcBorders/>
            <w:shd w:fill="auto" w:color="auto"/>
            <w:vAlign w:val="top"/>
          </w:tcPr>
          <w:p>
            <w:pPr>
              <w:pBdr/>
              <w:pStyle w:val="Normal"/>
              <w:spacing/>
              <w:ind/>
              <w:rPr/>
            </w:pPr>
            <w:r>
              <w:rPr/>
              <w:t xml:space="preserve">Datum privremenog ukidanja suglasnosti</w:t>
            </w:r>
          </w:p>
        </w:tc>
        <w:tc>
          <w:tcPr>
            <w:tcW w:w="1918" w:type="dxa"/>
            <w:tcBorders/>
            <w:shd w:fill="auto" w:color="auto"/>
            <w:vAlign w:val="center"/>
          </w:tcPr>
          <w:p>
            <w:pPr>
              <w:pBdr/>
              <w:pStyle w:val="Normal"/>
              <w:spacing/>
              <w:ind/>
              <w:rPr/>
            </w:pPr>
            <w:r>
              <w:rPr/>
              <w:t xml:space="preserve">Datum ukidanja          suglasnosti</w:t>
            </w:r>
          </w:p>
        </w:tc>
      </w:tr>
    </w:tbl>
    <w:p>
      <w:pPr>
        <w:pBdr/>
        <w:pStyle w:val="Heading 1"/>
        <w:spacing/>
        <w:ind/>
        <w:rPr>
          <w:rFonts w:ascii="Arial" w:eastAsia="Arial" w:hAnsi="Arial" w:cs="Arial"/>
          <w:szCs w:val="24"/>
        </w:rPr>
      </w:pPr>
      <w:r>
        <w:rPr>
          <w:rFonts w:ascii="Arial" w:eastAsia="Arial" w:hAnsi="Arial" w:cs="Arial"/>
          <w:szCs w:val="24"/>
        </w:rPr>
        <w:t xml:space="preserve">DODATAK II. SADRŽAJ KNJIGE UVJETA OKOLIŠNE DOZVOLE</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Knjiga uvjeta okolišne dozvole sadrži mjere i uvjete rada postrojenja koji se odnose na:</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1. PROCESNE TEHNIKE I UVJETE VEZANE ZA PROCES U POSTROJENJU KOJI OBUHVAĆAJU:</w:t>
      </w:r>
    </w:p>
    <w:p>
      <w:pPr>
        <w:pBdr/>
        <w:pStyle w:val="Normal"/>
        <w:spacing/>
        <w:ind/>
        <w:rPr>
          <w:rFonts w:ascii="Arial" w:eastAsia="Arial" w:hAnsi="Arial" w:cs="Arial"/>
        </w:rPr>
      </w:pPr>
      <w:r>
        <w:rPr>
          <w:rFonts w:ascii="Arial" w:eastAsia="Arial" w:hAnsi="Arial" w:cs="Arial"/>
        </w:rPr>
        <w:t xml:space="preserve">1.1. sustavan opis tehnološkog procesa i svih faza rada postrojenja (od ulaza sirovina do izlaza gotovog proizvoda) s integriranim najboljim raspoloživim tehnikama (NRT) i mjerama za smanjenje emisija u normalnim uvjetima rada.</w:t>
      </w:r>
    </w:p>
    <w:p>
      <w:pPr>
        <w:pBdr/>
        <w:pStyle w:val="Normal"/>
        <w:spacing/>
        <w:ind/>
        <w:rPr>
          <w:rFonts w:ascii="Arial" w:eastAsia="Arial" w:hAnsi="Arial" w:cs="Arial"/>
        </w:rPr>
      </w:pPr>
      <w:r>
        <w:rPr>
          <w:rFonts w:ascii="Arial" w:eastAsia="Arial" w:hAnsi="Arial" w:cs="Arial"/>
        </w:rPr>
        <w:t xml:space="preserve">1.2. zahtjeve kojima se osigurava zaštita tla, podzemnih voda, površinskih voda i područja sliva vodozahvata vode namijenjene za ljudsku potrošnju primjenjujući pristup utemeljen na procjeni rizika sukladno propisima kojima se uređuje upravljanje vodama i vodom namijenjenom za ljudsku potrošnju. </w:t>
      </w:r>
    </w:p>
    <w:p>
      <w:pPr>
        <w:pBdr/>
        <w:pStyle w:val="Normal"/>
        <w:spacing/>
        <w:ind/>
        <w:rPr>
          <w:rFonts w:ascii="Arial" w:eastAsia="Arial" w:hAnsi="Arial" w:cs="Arial"/>
        </w:rPr>
      </w:pPr>
      <w:r>
        <w:rPr>
          <w:rFonts w:ascii="Arial" w:eastAsia="Arial" w:hAnsi="Arial" w:cs="Arial"/>
        </w:rPr>
        <w:t xml:space="preserve">1.3. zahtjeve kojima se utvrđuju značajke sustava upravljanja okolišem (EMS) u skladu s odredbama ovoga Zakona.</w:t>
      </w:r>
    </w:p>
    <w:p>
      <w:pPr>
        <w:pBdr/>
        <w:pStyle w:val="Normal"/>
        <w:spacing/>
        <w:ind/>
        <w:rPr>
          <w:rFonts w:ascii="Arial" w:eastAsia="Arial" w:hAnsi="Arial" w:cs="Arial"/>
        </w:rPr>
      </w:pPr>
      <w:r>
        <w:rPr>
          <w:rFonts w:ascii="Arial" w:eastAsia="Arial" w:hAnsi="Arial" w:cs="Arial"/>
        </w:rPr>
        <w:t xml:space="preserve">1.4. zahtjeve za praćenje potrošnje i ponovne uporabe resursa (energija, voda i sirovine).</w:t>
      </w:r>
    </w:p>
    <w:p>
      <w:pPr>
        <w:pBdr/>
        <w:pStyle w:val="Normal"/>
        <w:spacing/>
        <w:ind/>
        <w:rPr>
          <w:rFonts w:ascii="Arial" w:eastAsia="Arial" w:hAnsi="Arial" w:cs="Arial"/>
        </w:rPr>
      </w:pPr>
      <w:r>
        <w:rPr>
          <w:rFonts w:ascii="Arial" w:eastAsia="Arial" w:hAnsi="Arial" w:cs="Arial"/>
        </w:rPr>
        <w:t xml:space="preserve">1.5. mjere koje se odnose na praćenje i gospodarenje otpadom nastalim u postrojenju.</w:t>
      </w:r>
    </w:p>
    <w:p>
      <w:pPr>
        <w:pBdr/>
        <w:pStyle w:val="Normal"/>
        <w:spacing/>
        <w:ind/>
        <w:rPr>
          <w:rFonts w:ascii="Arial" w:eastAsia="Arial" w:hAnsi="Arial" w:cs="Arial"/>
        </w:rPr>
      </w:pPr>
      <w:r>
        <w:rPr>
          <w:rFonts w:ascii="Arial" w:eastAsia="Arial" w:hAnsi="Arial" w:cs="Arial"/>
        </w:rPr>
        <w:t xml:space="preserve">1.6. zahtjeve koji se odnose na redovno održavanje i kontrolu mjera poduzetih radi sprječavanja emisija u tlo, površinske i podzemne vode na temelju točke 1.2. ovoga Dodatka, te odgovarajuće zahtjeve koji se odnose na periodično praćenje tla, površinskih i podzemnih voda u vezi s relevantnim opasnim tvarima za koje je vjerojatno da će se pronaći na lokaciji, vodeći računa o mogućnosti onečišćenja tla, površinskih i podzemnih voda na lokaciji postrojenja.</w:t>
      </w:r>
    </w:p>
    <w:p>
      <w:pPr>
        <w:pBdr/>
        <w:pStyle w:val="Normal"/>
        <w:spacing/>
        <w:ind/>
        <w:rPr>
          <w:rFonts w:ascii="Arial" w:eastAsia="Arial" w:hAnsi="Arial" w:cs="Arial"/>
        </w:rPr>
      </w:pPr>
      <w:r>
        <w:rPr>
          <w:rFonts w:ascii="Arial" w:eastAsia="Arial" w:hAnsi="Arial" w:cs="Arial"/>
        </w:rPr>
        <w:t xml:space="preserve">1.7. mjere koje se odnose na uvjete rada koji nisu normalni uvjeti rada (radnje uključivanja i isključivanja, istjecanja, kvarovi, trenutačni prekidi rada i konačni prestanak rada).</w:t>
      </w:r>
    </w:p>
    <w:p>
      <w:pPr>
        <w:pBdr/>
        <w:pStyle w:val="Normal"/>
        <w:spacing/>
        <w:ind/>
        <w:rPr>
          <w:rFonts w:ascii="Arial" w:eastAsia="Arial" w:hAnsi="Arial" w:cs="Arial"/>
        </w:rPr>
      </w:pPr>
      <w:r>
        <w:rPr>
          <w:rFonts w:ascii="Arial" w:eastAsia="Arial" w:hAnsi="Arial" w:cs="Arial"/>
        </w:rPr>
        <w:t xml:space="preserve">1.8. način uklanjanja postrojenja u skladu s budućom namjenom postrojenja.</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2. GRANIČNE VRIJEDNOSTI EMISIJA (GVE) I OKOLIŠNE UČINKOVITOSTI:</w:t>
      </w:r>
    </w:p>
    <w:p>
      <w:pPr>
        <w:pBdr/>
        <w:pStyle w:val="Normal"/>
        <w:spacing/>
        <w:ind/>
        <w:rPr>
          <w:rFonts w:ascii="Arial" w:eastAsia="Arial" w:hAnsi="Arial" w:cs="Arial"/>
        </w:rPr>
      </w:pPr>
      <w:r>
        <w:rPr>
          <w:rFonts w:ascii="Arial" w:eastAsia="Arial" w:hAnsi="Arial" w:cs="Arial"/>
        </w:rPr>
        <w:t xml:space="preserve">2.1. granične vrijednosti emisija za onečišćujuće tvari navedene u Prilogu II. Uredbe (EZ) broj 166/2006. i za druge onečišćujuće tvari za koje je vjerojatno da će biti emitirane iz postrojenja u znatnim količinama vodeći računa o njihovoj prirodi, opasnosti i potencijal prijenosa onečišćenja iz jedne sastavnice okoliša u drugu uzimajući u obzir promjenjivu dinamiku protoka vode u prihvatnim vodnim tijelima.</w:t>
      </w:r>
    </w:p>
    <w:p>
      <w:pPr>
        <w:pBdr/>
        <w:pStyle w:val="Normal"/>
        <w:spacing/>
        <w:ind/>
        <w:rPr>
          <w:rFonts w:ascii="Arial" w:eastAsia="Arial" w:hAnsi="Arial" w:cs="Arial"/>
        </w:rPr>
      </w:pPr>
      <w:r>
        <w:rPr>
          <w:rFonts w:ascii="Arial" w:eastAsia="Arial" w:hAnsi="Arial" w:cs="Arial"/>
        </w:rPr>
        <w:t xml:space="preserve">2.2. granične vrijednosti okolišne učinkovitosti u skladu s odredbama ovoga Zakona.</w:t>
      </w:r>
    </w:p>
    <w:p>
      <w:pPr>
        <w:pBdr/>
        <w:pStyle w:val="Normal"/>
        <w:spacing/>
        <w:ind/>
        <w:rPr>
          <w:rFonts w:ascii="Arial" w:eastAsia="Arial" w:hAnsi="Arial" w:cs="Arial"/>
        </w:rPr>
      </w:pPr>
      <w:r>
        <w:rPr>
          <w:rFonts w:ascii="Arial" w:eastAsia="Arial" w:hAnsi="Arial" w:cs="Arial"/>
        </w:rPr>
        <w:t xml:space="preserve">2.3. zahtjeve kojima se osigurava procjena potrebe za sprječavanjem ili smanjenjem emisija tvari koje ispunjavaju kriterije iz članka 57. Uredbe (EZ) broj 1907/2006  ili tvari na koje se odnose ograničenja iz Priloga XVII. Uredbe (EZ) broj 1907/2006.</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3. MONITORING, IZVJEŠTAVANJE I OCJENA SUKLADNOSTI:</w:t>
      </w:r>
    </w:p>
    <w:p>
      <w:pPr>
        <w:pBdr/>
        <w:pStyle w:val="Normal"/>
        <w:spacing/>
        <w:ind/>
        <w:rPr>
          <w:rFonts w:ascii="Arial" w:eastAsia="Arial" w:hAnsi="Arial" w:cs="Arial"/>
        </w:rPr>
      </w:pPr>
      <w:r>
        <w:rPr>
          <w:rFonts w:ascii="Arial" w:eastAsia="Arial" w:hAnsi="Arial" w:cs="Arial"/>
        </w:rPr>
        <w:t xml:space="preserve">3.1. zahtjeve u pogledu praćenja emisija uz određivanje:</w:t>
      </w:r>
    </w:p>
    <w:p>
      <w:pPr>
        <w:pBdr/>
        <w:pStyle w:val="Normal"/>
        <w:spacing/>
        <w:ind/>
        <w:rPr>
          <w:rFonts w:ascii="Arial" w:eastAsia="Arial" w:hAnsi="Arial" w:cs="Arial"/>
        </w:rPr>
      </w:pPr>
      <w:r>
        <w:rPr>
          <w:rFonts w:ascii="Arial" w:eastAsia="Arial" w:hAnsi="Arial" w:cs="Arial"/>
        </w:rPr>
        <w:t xml:space="preserve">3.1.1. metodologije mjerenja, učestalosti praćenja, mjernih mjesta i postupaka ocjenjivanja rezultata mjerenja.</w:t>
      </w:r>
    </w:p>
    <w:p>
      <w:pPr>
        <w:pBdr/>
        <w:pStyle w:val="Normal"/>
        <w:spacing/>
        <w:ind/>
        <w:rPr>
          <w:rFonts w:ascii="Arial" w:eastAsia="Arial" w:hAnsi="Arial" w:cs="Arial"/>
        </w:rPr>
      </w:pPr>
      <w:r>
        <w:rPr>
          <w:rFonts w:ascii="Arial" w:eastAsia="Arial" w:hAnsi="Arial" w:cs="Arial"/>
        </w:rPr>
        <w:t xml:space="preserve">3.1.2. dostupnost rezultata praćenja emisija za ista razdoblja i pod istim referentnim uvjetima kao i za razine emisija koje su povezane s najboljim raspoloživim tehnikama iz zaključaka o NRT, ako se primjenjuje članak 100. stavak 2. točka 2. ovoga Zakona.</w:t>
      </w:r>
    </w:p>
    <w:p>
      <w:pPr>
        <w:pBdr/>
        <w:pStyle w:val="Normal"/>
        <w:spacing/>
        <w:ind/>
        <w:rPr>
          <w:rFonts w:ascii="Arial" w:eastAsia="Arial" w:hAnsi="Arial" w:cs="Arial"/>
        </w:rPr>
      </w:pPr>
      <w:r>
        <w:rPr>
          <w:rFonts w:ascii="Arial" w:eastAsia="Arial" w:hAnsi="Arial" w:cs="Arial"/>
        </w:rPr>
        <w:t xml:space="preserve">3.2. obvezu redovnog, a najmanje godišnjeg, dostavljanja Ministarstvu i nadležnim tijelima prema posebnim propisima za sastavnice okoliša:</w:t>
      </w:r>
    </w:p>
    <w:p>
      <w:pPr>
        <w:pBdr/>
        <w:pStyle w:val="Normal"/>
        <w:spacing/>
        <w:ind/>
        <w:rPr>
          <w:rFonts w:ascii="Arial" w:eastAsia="Arial" w:hAnsi="Arial" w:cs="Arial"/>
        </w:rPr>
      </w:pPr>
      <w:r>
        <w:rPr>
          <w:rFonts w:ascii="Arial" w:eastAsia="Arial" w:hAnsi="Arial" w:cs="Arial"/>
        </w:rPr>
        <w:t xml:space="preserve">- podataka na temelju rezultata praćenja emisija iz točke 3.1. ovoga Dodatka i drugih potrebnih podataka koji Ministarstvu i nadležnom tijelu za inspekcijske poslove omogućuju provjeru poštovanja svih uvjeta dozvole;</w:t>
      </w:r>
    </w:p>
    <w:p>
      <w:pPr>
        <w:pBdr/>
        <w:pStyle w:val="Normal"/>
        <w:spacing/>
        <w:ind/>
        <w:rPr>
          <w:rFonts w:ascii="Arial" w:eastAsia="Arial" w:hAnsi="Arial" w:cs="Arial"/>
        </w:rPr>
      </w:pPr>
      <w:r>
        <w:rPr>
          <w:rFonts w:ascii="Arial" w:eastAsia="Arial" w:hAnsi="Arial" w:cs="Arial"/>
        </w:rPr>
        <w:t xml:space="preserve">- sažetka rezultata praćenja emisija koji omogućuju izravnu usporedbu s razinama emisija povezanim s najboljim raspoloživim tehnikama, ako se primjenjuje članak 100. stavak 2. točka 2. ovoga Zakona;</w:t>
      </w:r>
    </w:p>
    <w:p>
      <w:pPr>
        <w:pBdr/>
        <w:pStyle w:val="Normal"/>
        <w:spacing/>
        <w:ind/>
        <w:rPr>
          <w:rFonts w:ascii="Arial" w:eastAsia="Arial" w:hAnsi="Arial" w:cs="Arial"/>
        </w:rPr>
      </w:pPr>
      <w:r>
        <w:rPr>
          <w:rFonts w:ascii="Arial" w:eastAsia="Arial" w:hAnsi="Arial" w:cs="Arial"/>
        </w:rPr>
        <w:t xml:space="preserve">- podataka o napretku prema ispunjenju ciljeva politike u području okoliša iz članka 80. ovoga Zakona.</w:t>
      </w:r>
    </w:p>
    <w:p>
      <w:pPr>
        <w:pBdr/>
        <w:pStyle w:val="Normal"/>
        <w:spacing/>
        <w:ind/>
        <w:rPr>
          <w:rFonts w:ascii="Arial" w:eastAsia="Arial" w:hAnsi="Arial" w:cs="Arial"/>
        </w:rPr>
      </w:pPr>
      <w:r>
        <w:rPr>
          <w:rFonts w:ascii="Arial" w:eastAsia="Arial" w:hAnsi="Arial" w:cs="Arial"/>
        </w:rPr>
        <w:t xml:space="preserve">3.3. uvjete za ocjenu sukladnosti s graničnim vrijednostima emisija i graničnim vrijednostima okolišne učinkovitosti ili upućivanje na primjenjive zahtjeve koji su navedeni u drugim relevantnim aktima.</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4. UVJETE IZVAN POSTROJENJA:</w:t>
      </w:r>
    </w:p>
    <w:p>
      <w:pPr>
        <w:pBdr/>
        <w:pStyle w:val="Normal"/>
        <w:spacing/>
        <w:ind/>
        <w:rPr>
          <w:rFonts w:ascii="Arial" w:eastAsia="Arial" w:hAnsi="Arial" w:cs="Arial"/>
        </w:rPr>
      </w:pPr>
      <w:r>
        <w:rPr>
          <w:rFonts w:ascii="Arial" w:eastAsia="Arial" w:hAnsi="Arial" w:cs="Arial"/>
        </w:rPr>
        <w:t xml:space="preserve">4.1. odredbe o svođenju dalekosežnog ili prekograničnog onečišćenja na najmanju moguću mjeru.</w:t>
      </w:r>
    </w:p>
    <w:p>
      <w:pPr>
        <w:pBdr/>
        <w:pStyle w:val="Normal"/>
        <w:spacing/>
        <w:ind/>
        <w:rPr>
          <w:rFonts w:ascii="Arial" w:eastAsia="Arial" w:hAnsi="Arial" w:cs="Arial"/>
        </w:rPr>
      </w:pPr>
      <w:r>
        <w:rPr>
          <w:rFonts w:ascii="Arial" w:eastAsia="Arial" w:hAnsi="Arial" w:cs="Arial"/>
        </w:rPr>
        <w:t xml:space="preserve">4.2. druge mjere zaštite okoliša i prirode koje se primjenjuju izvan granica lokacije postrojenja (npr. mjere zaštite područja ekološke mreže).</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DODATAK III. NAČELA ZA ODOBRAVANJE ODSTUPANJA OD RAZINA EMISIJA POVEZANIH S NRT-om</w:t>
      </w:r>
    </w:p>
    <w:p>
      <w:pPr>
        <w:pBdr/>
        <w:pStyle w:val="Normal"/>
        <w:spacing/>
        <w:ind/>
        <w:rPr>
          <w:rFonts w:ascii="Arial" w:eastAsia="Arial" w:hAnsi="Arial" w:cs="Arial"/>
        </w:rPr>
      </w:pPr>
      <w:r>
        <w:rPr>
          <w:rFonts w:ascii="Arial" w:eastAsia="Arial" w:hAnsi="Arial" w:cs="Arial"/>
        </w:rPr>
        <w:t xml:space="preserve">Odstupanje iz članka 107. ovoga Zakona može se odobriti samo ako su pri izradi i ocjeni analize troškova i koristi poštovana sljedeća načela:</w:t>
      </w:r>
    </w:p>
    <w:p>
      <w:pPr>
        <w:pBdr/>
        <w:pStyle w:val="Normal"/>
        <w:spacing/>
        <w:ind/>
        <w:rPr>
          <w:rFonts w:ascii="Arial" w:eastAsia="Arial" w:hAnsi="Arial" w:cs="Arial"/>
        </w:rPr>
      </w:pPr>
      <w:r>
        <w:rPr>
          <w:rFonts w:ascii="Arial" w:eastAsia="Arial" w:hAnsi="Arial" w:cs="Arial"/>
        </w:rPr>
        <w:t xml:space="preserve">1. Troškovi</w:t>
      </w:r>
    </w:p>
    <w:p>
      <w:pPr>
        <w:pBdr/>
        <w:pStyle w:val="Normal"/>
        <w:spacing/>
        <w:ind/>
        <w:rPr>
          <w:rFonts w:ascii="Arial" w:eastAsia="Arial" w:hAnsi="Arial" w:cs="Arial"/>
        </w:rPr>
      </w:pPr>
      <w:r>
        <w:rPr>
          <w:rFonts w:ascii="Arial" w:eastAsia="Arial" w:hAnsi="Arial" w:cs="Arial"/>
        </w:rPr>
        <w:t xml:space="preserve">1.1. Troškovi iz članka 107. stavka 1. ovoga Zakona troškovi su sukladnosti s razinama emisija povezanima s najboljim raspoloživim tehnikama te uključuju i kapitalne i operativne troškove. Ne uključuju šire socijalne ili ekonomske troškove.</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1.2. Evaluacija troškova mora biti kvantitativna i potkrijepljena kvalitativnom ocjenom.</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1.3. Troškovi koji se uzimaju u obzir pri evaluaciji:</w:t>
      </w:r>
    </w:p>
    <w:p>
      <w:pPr>
        <w:pBdr/>
        <w:pStyle w:val="Normal"/>
        <w:spacing/>
        <w:ind/>
        <w:rPr>
          <w:rFonts w:ascii="Arial" w:eastAsia="Arial" w:hAnsi="Arial" w:cs="Arial"/>
        </w:rPr>
      </w:pPr>
      <w:r>
        <w:rPr>
          <w:rFonts w:ascii="Arial" w:eastAsia="Arial" w:hAnsi="Arial" w:cs="Arial"/>
        </w:rPr>
        <w:t xml:space="preserve">(a) čine troškove neto vrijednosti, nakon odbitka svih financijskih koristi od primjene najboljih raspoloživih tehnika;</w:t>
      </w:r>
    </w:p>
    <w:p>
      <w:pPr>
        <w:pBdr/>
        <w:pStyle w:val="Normal"/>
        <w:spacing/>
        <w:ind/>
        <w:rPr>
          <w:rFonts w:ascii="Arial" w:eastAsia="Arial" w:hAnsi="Arial" w:cs="Arial"/>
        </w:rPr>
      </w:pPr>
      <w:r>
        <w:rPr>
          <w:rFonts w:ascii="Arial" w:eastAsia="Arial" w:hAnsi="Arial" w:cs="Arial"/>
        </w:rPr>
        <w:t xml:space="preserve">(b) uključuju trošak pristupa financijskom kapitalu koji je potreban za financiranje najboljih raspoloživih tehnika;</w:t>
      </w:r>
    </w:p>
    <w:p>
      <w:pPr>
        <w:pBdr/>
        <w:pStyle w:val="Normal"/>
        <w:spacing/>
        <w:ind/>
        <w:rPr>
          <w:rFonts w:ascii="Arial" w:eastAsia="Arial" w:hAnsi="Arial" w:cs="Arial"/>
        </w:rPr>
      </w:pPr>
      <w:r>
        <w:rPr>
          <w:rFonts w:ascii="Arial" w:eastAsia="Arial" w:hAnsi="Arial" w:cs="Arial"/>
        </w:rPr>
        <w:t xml:space="preserve">(c) izračunavaju se primjenom diskontne stope kako bi se uzele u obzir razlike u novčanoj vrijednosti tijekom vremena.</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1.4. U zahtjevu za odstupanje jasno se navode izvor troškova i metode njihova izračuna, uključujući diskontnu stopu iz točke 1.3. podtočke (c) ovoga Dodatka i procjenu nesigurnosti povezanih s evaluacijom troškova.</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1.5. Troškove koje evaluira operater ocjenjuje nadležno tijelo na temelju informacija iz drugih izvora, kao što su pružatelji tehnoloških usluga, recenzirana istraživanja, stručne prosudbe ili podaci iz drugih postrojenja u kojima su nedavno uvedene najbolje raspoložive tehnike.</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2. Koristi za okoliš</w:t>
      </w:r>
    </w:p>
    <w:p>
      <w:pPr>
        <w:pBdr/>
        <w:pStyle w:val="Normal"/>
        <w:spacing/>
        <w:ind/>
        <w:rPr>
          <w:rFonts w:ascii="Arial" w:eastAsia="Arial" w:hAnsi="Arial" w:cs="Arial"/>
        </w:rPr>
      </w:pPr>
      <w:r>
        <w:rPr>
          <w:rFonts w:ascii="Arial" w:eastAsia="Arial" w:hAnsi="Arial" w:cs="Arial"/>
        </w:rPr>
        <w:t xml:space="preserve">2.1. Koristi za okoliš iz članka 107. stavka 1. Zakona su koristi za okoliš koje proizlaze iz sukladnosti s razinama emisija povezanima s najboljim raspoloživim tehnikama.</w:t>
      </w:r>
    </w:p>
    <w:p>
      <w:pPr>
        <w:pBdr/>
        <w:pStyle w:val="Normal"/>
        <w:spacing/>
        <w:ind/>
        <w:rPr>
          <w:rFonts w:ascii="Arial" w:eastAsia="Arial" w:hAnsi="Arial" w:cs="Arial"/>
        </w:rPr>
      </w:pPr>
      <w:r>
        <w:rPr>
          <w:rFonts w:ascii="Arial" w:eastAsia="Arial" w:hAnsi="Arial" w:cs="Arial"/>
        </w:rPr>
        <w:t xml:space="preserve">2.2. Evaluacija koristi za okoliš mora biti kvantitativna (prikazana u novčanim iznosima) i potkrijepljena kvalitativnom ocjenom. Ako su dostupni, upotrebljavaju se utvrđeni troškovi štete od onečišćujućih tvari.</w:t>
      </w:r>
    </w:p>
    <w:p>
      <w:pPr>
        <w:pBdr/>
        <w:pStyle w:val="Normal"/>
        <w:spacing/>
        <w:ind/>
        <w:rPr>
          <w:rFonts w:ascii="Arial" w:eastAsia="Arial" w:hAnsi="Arial" w:cs="Arial"/>
        </w:rPr>
      </w:pPr>
      <w:r>
        <w:rPr>
          <w:rFonts w:ascii="Arial" w:eastAsia="Arial" w:hAnsi="Arial" w:cs="Arial"/>
        </w:rPr>
        <w:t xml:space="preserve">2.3. Pri evaluaciji koristi za okoliš uzima se u obzir diskontna stopa koja se primjenjuje na sve monetizirane koristi i koja se odnosi na razlike u vrijednostima za društvo tijekom vremena.</w:t>
      </w:r>
    </w:p>
    <w:p>
      <w:pPr>
        <w:pBdr/>
        <w:pStyle w:val="Normal"/>
        <w:spacing/>
        <w:ind/>
        <w:rPr>
          <w:rFonts w:ascii="Arial" w:eastAsia="Arial" w:hAnsi="Arial" w:cs="Arial"/>
        </w:rPr>
      </w:pPr>
      <w:r>
        <w:rPr>
          <w:rFonts w:ascii="Arial" w:eastAsia="Arial" w:hAnsi="Arial" w:cs="Arial"/>
        </w:rPr>
        <w:t xml:space="preserve">2.4. U zahtjevu za izuzeće jasno se navode izvor informacija o koristima za okoliš i metode izračuna tih koristi, uključujući diskontnu stopu iz točke 1.3. podtočke (c) ovoga Dodatka i procjenu nesigurnosti povezanih s evaluacijom koristi za okoliš.</w:t>
      </w:r>
    </w:p>
    <w:p>
      <w:pPr>
        <w:pBdr/>
        <w:pStyle w:val="Normal"/>
        <w:spacing/>
        <w:ind/>
        <w:rPr>
          <w:rFonts w:ascii="Arial" w:eastAsia="Arial" w:hAnsi="Arial" w:cs="Arial"/>
        </w:rPr>
      </w:pPr>
      <w:r>
        <w:rPr>
          <w:rFonts w:ascii="Arial" w:eastAsia="Arial" w:hAnsi="Arial" w:cs="Arial"/>
        </w:rPr>
        <w:t xml:space="preserve">2.5. Koristi za okoliš koje evaluira operater ocjenjuje nadležno tijelo na temelju stručne prosudbe ili podataka iz drugih postrojenja u kojima su nedavno uvedene najbolje raspoložive tehnike.</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3. Nerazmjernost troškova u usporedbi s koristima za okoliš</w:t>
      </w:r>
    </w:p>
    <w:p>
      <w:pPr>
        <w:pBdr/>
        <w:pStyle w:val="Normal"/>
        <w:spacing/>
        <w:ind/>
        <w:rPr>
          <w:rFonts w:ascii="Arial" w:eastAsia="Arial" w:hAnsi="Arial" w:cs="Arial"/>
        </w:rPr>
      </w:pPr>
      <w:r>
        <w:rPr>
          <w:rFonts w:ascii="Arial" w:eastAsia="Arial" w:hAnsi="Arial" w:cs="Arial"/>
        </w:rPr>
        <w:t xml:space="preserve">3.1. Kako bi se utvrdilo postoji li nerazmjernost, troškovi postizanja sukladnosti s razinama emisija povezanima s najboljim raspoloživim tehnikama uspoređuju se s koristima takve sukladnosti.</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3.2. Mehanizam za usporedbu uključuje sljedeće elemente:</w:t>
      </w:r>
    </w:p>
    <w:p>
      <w:pPr>
        <w:pBdr/>
        <w:pStyle w:val="Normal"/>
        <w:spacing/>
        <w:ind/>
        <w:rPr>
          <w:rFonts w:ascii="Arial" w:eastAsia="Arial" w:hAnsi="Arial" w:cs="Arial"/>
        </w:rPr>
      </w:pPr>
      <w:r>
        <w:rPr>
          <w:rFonts w:ascii="Arial" w:eastAsia="Arial" w:hAnsi="Arial" w:cs="Arial"/>
        </w:rPr>
        <w:t xml:space="preserve">(a) metodu za otklanjanje nesigurnosti u evaluaciji troškova i koristi za okoliš;</w:t>
      </w:r>
    </w:p>
    <w:p>
      <w:pPr>
        <w:pBdr/>
        <w:pStyle w:val="Normal"/>
        <w:spacing/>
        <w:ind/>
        <w:rPr>
          <w:rFonts w:ascii="Arial" w:eastAsia="Arial" w:hAnsi="Arial" w:cs="Arial"/>
        </w:rPr>
      </w:pPr>
      <w:r>
        <w:rPr>
          <w:rFonts w:ascii="Arial" w:eastAsia="Arial" w:hAnsi="Arial" w:cs="Arial"/>
        </w:rPr>
        <w:t xml:space="preserve">(b) određivanje razlike za koju troškovi trebaju premašivati koristi za okoliš.</w:t>
      </w:r>
    </w:p>
    <w:p>
      <w:pPr>
        <w:pBdr/>
        <w:pStyle w:val="Normal"/>
        <w:spacing/>
        <w:ind/>
        <w:rPr>
          <w:rFonts w:ascii="Arial" w:eastAsia="Arial" w:hAnsi="Arial" w:cs="Arial"/>
        </w:rPr>
      </w:pPr>
    </w:p>
    <w:p>
      <w:pPr>
        <w:pBdr/>
        <w:pStyle w:val="Heading 1"/>
        <w:spacing/>
        <w:ind/>
        <w:rPr>
          <w:rFonts w:ascii="Arial" w:eastAsia="Arial" w:hAnsi="Arial" w:cs="Arial"/>
          <w:szCs w:val="24"/>
        </w:rPr>
      </w:pPr>
      <w:r>
        <w:rPr>
          <w:rFonts w:ascii="Arial" w:eastAsia="Arial" w:hAnsi="Arial" w:cs="Arial"/>
          <w:szCs w:val="24"/>
        </w:rPr>
        <w:t xml:space="preserve">DODATAK IV. POPIS DJELATNOSTI UZGOJA ŽIVOTINJA I PRIPADAJUĆI PRAGOVI KAPACITETA</w:t>
      </w:r>
    </w:p>
    <w:p>
      <w:pPr>
        <w:pBdr/>
        <w:pStyle w:val="Normal"/>
        <w:spacing/>
        <w:ind/>
        <w:rPr>
          <w:rFonts w:ascii="Arial" w:eastAsia="Arial" w:hAnsi="Arial" w:cs="Arial"/>
        </w:rPr>
      </w:pPr>
      <w:r>
        <w:rPr>
          <w:rFonts w:ascii="Arial" w:eastAsia="Arial" w:hAnsi="Arial" w:cs="Arial"/>
        </w:rPr>
        <w:t xml:space="preserve">Postrojenja su obuhvaćena područjem primjene ovog Dodatka ako pripadaju jednoj kategoriji ili više sljedećih kategorija djelatnosti:</w:t>
      </w:r>
    </w:p>
    <w:p>
      <w:pPr>
        <w:pBdr/>
        <w:pStyle w:val="Normal"/>
        <w:spacing/>
        <w:ind/>
        <w:rPr>
          <w:rFonts w:ascii="Arial" w:eastAsia="Arial" w:hAnsi="Arial" w:cs="Arial"/>
        </w:rPr>
      </w:pPr>
      <w:r>
        <w:rPr>
          <w:rFonts w:ascii="Arial" w:eastAsia="Arial" w:hAnsi="Arial" w:cs="Arial"/>
        </w:rPr>
        <w:t xml:space="preserve">1. Uzgoj svinja u količini koja odgovara 350 stočnih jedinica ili više, isključujući aktivnosti uzgoja koje se provode u okviru režima ekološke proizvodnje u skladu s Uredbom (EU) 2018/848 ili ako je gustoća populacije manja od 2 stočne jedinice po hektaru koja se upotrebljava samo za ispašu ili uzgoj krmnih usjeva ili krmiva koje se upotrebljava za hranidbu životinja, a životinje se drže na otvorenom značajan dio godine ili sezonski.</w:t>
      </w:r>
    </w:p>
    <w:p>
      <w:pPr>
        <w:pBdr/>
        <w:pStyle w:val="Normal"/>
        <w:spacing/>
        <w:ind/>
        <w:rPr>
          <w:rFonts w:ascii="Arial" w:eastAsia="Arial" w:hAnsi="Arial" w:cs="Arial"/>
        </w:rPr>
      </w:pPr>
      <w:r>
        <w:rPr>
          <w:rFonts w:ascii="Arial" w:eastAsia="Arial" w:hAnsi="Arial" w:cs="Arial"/>
        </w:rPr>
        <w:t xml:space="preserve">2. Uzgoj samo kokoši nesilica u količini koja odgovara 300 stočnih jedinica ili više, ili uzgoj samo drugih kategorija peradi u količini koja odgovara 280 stočnih jedinica ili više. U postrojenjima u kojima se uzgaja mješavina peradi, uključujući kokoši nesilice, prag iznosi 280 stočnih jedinica, a kapacitet se izračunava tako što se 0,93 koristi kao faktor ponderiranja (1) za kokoši nesilice.</w:t>
      </w:r>
    </w:p>
    <w:p>
      <w:pPr>
        <w:pBdr/>
        <w:pStyle w:val="Normal"/>
        <w:spacing/>
        <w:ind/>
        <w:rPr>
          <w:rFonts w:ascii="Arial" w:eastAsia="Arial" w:hAnsi="Arial" w:cs="Arial"/>
        </w:rPr>
      </w:pPr>
      <w:r>
        <w:rPr>
          <w:rFonts w:ascii="Arial" w:eastAsia="Arial" w:hAnsi="Arial" w:cs="Arial"/>
        </w:rPr>
        <w:t xml:space="preserve">3. Uzgoj bilo koje mješavine svinja ili peradi u količini koja odgovara 380 stočnih jedinica ili više, isključujući uzgoj svinja u postrojenjima koja rade u skladu s režimima ekološke proizvodnje u skladu s Uredbom (EU) 2018/848, ili ako je gustoća populacije manja od 2 stočne jedinice po hektaru koja se upotrebljava samo za ispašu ili uzgoj krmnih usjeva ili krmiva koja se upotrebljavaju za hranidbu životinja, a životinje se drže na otvorenom značajan dio godine ili sezonski.</w:t>
      </w:r>
    </w:p>
    <w:p>
      <w:pPr>
        <w:pBdr/>
        <w:pStyle w:val="Normal"/>
        <w:spacing/>
        <w:ind/>
        <w:rPr>
          <w:rFonts w:ascii="Arial" w:eastAsia="Arial" w:hAnsi="Arial" w:cs="Arial"/>
        </w:rPr>
      </w:pPr>
      <w:r>
        <w:rPr>
          <w:rFonts w:ascii="Arial" w:eastAsia="Arial" w:hAnsi="Arial" w:cs="Arial"/>
        </w:rPr>
        <w:t xml:space="preserve">Razina stočnih jedinica pojedinog postrojenja izračunava se primjenom sljedećih stopa konverzije:</w:t>
      </w:r>
    </w:p>
    <w:p>
      <w:pPr>
        <w:pBdr/>
        <w:pStyle w:val="Normal"/>
        <w:spacing/>
        <w:ind/>
        <w:rPr>
          <w:rFonts w:ascii="Arial" w:eastAsia="Arial" w:hAnsi="Arial" w:cs="Arial"/>
          <w:b/>
          <w:bCs/>
        </w:rPr>
      </w:pPr>
      <w:r>
        <w:rPr>
          <w:rFonts w:ascii="Arial" w:eastAsia="Arial" w:hAnsi="Arial" w:cs="Arial"/>
          <w:b/>
          <w:bCs/>
        </w:rPr>
        <w:t xml:space="preserve">Svinje:</w:t>
      </w:r>
    </w:p>
    <w:p>
      <w:pPr>
        <w:pBdr/>
        <w:pStyle w:val="Normal"/>
        <w:spacing/>
        <w:ind/>
        <w:rPr>
          <w:rFonts w:ascii="Arial" w:eastAsia="Arial" w:hAnsi="Arial" w:cs="Arial"/>
        </w:rPr>
      </w:pPr>
      <w:r>
        <w:rPr>
          <w:rFonts w:ascii="Arial" w:eastAsia="Arial" w:hAnsi="Arial" w:cs="Arial"/>
        </w:rPr>
        <w:t xml:space="preserve">rasplodne krmače ≥ 50 kg … 0,500</w:t>
      </w:r>
    </w:p>
    <w:p>
      <w:pPr>
        <w:pBdr/>
        <w:pStyle w:val="Normal"/>
        <w:spacing/>
        <w:ind/>
        <w:rPr>
          <w:rFonts w:ascii="Arial" w:eastAsia="Arial" w:hAnsi="Arial" w:cs="Arial"/>
        </w:rPr>
      </w:pPr>
      <w:r>
        <w:rPr>
          <w:rFonts w:ascii="Arial" w:eastAsia="Arial" w:hAnsi="Arial" w:cs="Arial"/>
        </w:rPr>
        <w:t xml:space="preserve">prasad ≤ 20 kg … 0,027</w:t>
      </w:r>
    </w:p>
    <w:p>
      <w:pPr>
        <w:pBdr/>
        <w:pStyle w:val="Normal"/>
        <w:spacing/>
        <w:ind/>
        <w:rPr>
          <w:rFonts w:ascii="Arial" w:eastAsia="Arial" w:hAnsi="Arial" w:cs="Arial"/>
        </w:rPr>
      </w:pPr>
      <w:r>
        <w:rPr>
          <w:rFonts w:ascii="Arial" w:eastAsia="Arial" w:hAnsi="Arial" w:cs="Arial"/>
        </w:rPr>
        <w:t xml:space="preserve">ostale svinje … 0,300</w:t>
      </w:r>
    </w:p>
    <w:p>
      <w:pPr>
        <w:pBdr/>
        <w:pStyle w:val="Normal"/>
        <w:spacing/>
        <w:ind/>
        <w:rPr>
          <w:rFonts w:ascii="Arial" w:eastAsia="Arial" w:hAnsi="Arial" w:cs="Arial"/>
          <w:b/>
          <w:bCs/>
        </w:rPr>
      </w:pPr>
      <w:r>
        <w:rPr>
          <w:rFonts w:ascii="Arial" w:eastAsia="Arial" w:hAnsi="Arial" w:cs="Arial"/>
          <w:b/>
          <w:bCs/>
        </w:rPr>
        <w:t xml:space="preserve">Perad:</w:t>
      </w:r>
    </w:p>
    <w:p>
      <w:pPr>
        <w:pBdr/>
        <w:pStyle w:val="Normal"/>
        <w:spacing/>
        <w:ind/>
        <w:rPr>
          <w:rFonts w:ascii="Arial" w:eastAsia="Arial" w:hAnsi="Arial" w:cs="Arial"/>
        </w:rPr>
      </w:pPr>
      <w:r>
        <w:rPr>
          <w:rFonts w:ascii="Arial" w:eastAsia="Arial" w:hAnsi="Arial" w:cs="Arial"/>
        </w:rPr>
        <w:t xml:space="preserve">tovni pilići … 0,007</w:t>
      </w:r>
    </w:p>
    <w:p>
      <w:pPr>
        <w:pBdr/>
        <w:pStyle w:val="Normal"/>
        <w:spacing/>
        <w:ind/>
        <w:rPr>
          <w:rFonts w:ascii="Arial" w:eastAsia="Arial" w:hAnsi="Arial" w:cs="Arial"/>
        </w:rPr>
      </w:pPr>
      <w:r>
        <w:rPr>
          <w:rFonts w:ascii="Arial" w:eastAsia="Arial" w:hAnsi="Arial" w:cs="Arial"/>
        </w:rPr>
        <w:t xml:space="preserve">kokoši nesilice … 0,014</w:t>
      </w:r>
    </w:p>
    <w:p>
      <w:pPr>
        <w:pBdr/>
        <w:pStyle w:val="Normal"/>
        <w:spacing/>
        <w:ind/>
        <w:rPr>
          <w:rFonts w:ascii="Arial" w:eastAsia="Arial" w:hAnsi="Arial" w:cs="Arial"/>
        </w:rPr>
      </w:pPr>
      <w:r>
        <w:rPr>
          <w:rFonts w:ascii="Arial" w:eastAsia="Arial" w:hAnsi="Arial" w:cs="Arial"/>
        </w:rPr>
        <w:t xml:space="preserve">purice … 0,030</w:t>
      </w:r>
    </w:p>
    <w:p>
      <w:pPr>
        <w:pBdr/>
        <w:pStyle w:val="Normal"/>
        <w:spacing/>
        <w:ind/>
        <w:rPr>
          <w:rFonts w:ascii="Arial" w:eastAsia="Arial" w:hAnsi="Arial" w:cs="Arial"/>
        </w:rPr>
      </w:pPr>
      <w:r>
        <w:rPr>
          <w:rFonts w:ascii="Arial" w:eastAsia="Arial" w:hAnsi="Arial" w:cs="Arial"/>
        </w:rPr>
        <w:t xml:space="preserve">patke … 0,010</w:t>
      </w:r>
    </w:p>
    <w:p>
      <w:pPr>
        <w:pBdr/>
        <w:pStyle w:val="Normal"/>
        <w:spacing/>
        <w:ind/>
        <w:rPr>
          <w:rFonts w:ascii="Arial" w:eastAsia="Arial" w:hAnsi="Arial" w:cs="Arial"/>
        </w:rPr>
      </w:pPr>
      <w:r>
        <w:rPr>
          <w:rFonts w:ascii="Arial" w:eastAsia="Arial" w:hAnsi="Arial" w:cs="Arial"/>
        </w:rPr>
        <w:t xml:space="preserve">guske … 0,020</w:t>
      </w:r>
    </w:p>
    <w:p>
      <w:pPr>
        <w:pBdr/>
        <w:pStyle w:val="Normal"/>
        <w:spacing/>
        <w:ind/>
        <w:rPr>
          <w:rFonts w:ascii="Arial" w:eastAsia="Arial" w:hAnsi="Arial" w:cs="Arial"/>
        </w:rPr>
      </w:pPr>
      <w:r>
        <w:rPr>
          <w:rFonts w:ascii="Arial" w:eastAsia="Arial" w:hAnsi="Arial" w:cs="Arial"/>
        </w:rPr>
        <w:t xml:space="preserve">nojevi … 0,350</w:t>
      </w:r>
    </w:p>
    <w:p>
      <w:pPr>
        <w:pBdr/>
        <w:pStyle w:val="Normal"/>
        <w:spacing/>
        <w:ind/>
        <w:rPr>
          <w:rFonts w:ascii="Arial" w:eastAsia="Arial" w:hAnsi="Arial" w:cs="Arial"/>
        </w:rPr>
      </w:pPr>
      <w:r>
        <w:rPr>
          <w:rFonts w:ascii="Arial" w:eastAsia="Arial" w:hAnsi="Arial" w:cs="Arial"/>
        </w:rPr>
        <w:t xml:space="preserve">Ostala perad … 0,001</w:t>
      </w:r>
    </w:p>
    <w:p>
      <w:pPr>
        <w:pBdr/>
        <w:pStyle w:val="Normal"/>
        <w:spacing/>
        <w:ind/>
        <w:rPr>
          <w:rFonts w:ascii="Arial" w:eastAsia="Arial" w:hAnsi="Arial" w:cs="Arial"/>
        </w:rPr>
      </w:pPr>
    </w:p>
    <w:p>
      <w:pPr>
        <w:pBdr/>
        <w:pStyle w:val="Normal"/>
        <w:spacing/>
        <w:ind/>
        <w:rPr>
          <w:rFonts w:ascii="Arial" w:eastAsia="Arial" w:hAnsi="Arial" w:cs="Arial"/>
        </w:rPr>
      </w:pPr>
      <w:r>
        <w:rPr>
          <w:rFonts w:ascii="Arial" w:eastAsia="Arial" w:hAnsi="Arial" w:cs="Arial"/>
        </w:rPr>
        <w:t xml:space="preserve">(1) faktor ponderiranja za kokoši nesilice izračunava se dijeljenjem drugog praga za perad (280 stočnih jedinica) s pragom za kokoši nesilice (300 stočnih jedinica). To je 280/300=0,93 (zaokruženo)</w:t>
      </w:r>
    </w:p>
    <w:p>
      <w:pPr>
        <w:pBdr/>
        <w:pStyle w:val="Normal"/>
        <w:spacing/>
        <w:ind/>
        <w:rPr>
          <w:rFonts w:ascii="Arial" w:eastAsia="Arial" w:hAnsi="Arial" w:cs="Arial"/>
        </w:rPr>
      </w:pPr>
    </w:p>
    <w:sectPr>
      <w:footerReference w:type="default" r:id="rId1"/>
      <w:type w:val="nextPage"/>
      <w:pgSz w:w="12240" w:h="15840"/>
      <w:pgMar w:top="1440" w:right="1440" w:bottom="1440" w:left="1440" w:header="720" w:footer="720" w:gutter="0"/>
      <w:pgNumType w:fmt="Arabic"/>
      <w:pgBorders/>
      <w:endnotePr>
        <w:pos w:val="docEnd"/>
        <w:numFmt w:val="lowerRoman"/>
        <w:numRestart w:val="continuous"/>
        <w:numStart w:val="1"/>
      </w:endnotePr>
    </w:sectPr>
  </w:body>
</w:document>
</file>

<file path=word/endnotes.xml><?xml version="1.0" encoding="utf-8"?>
<w:end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endnote w:type="separator" w:id="-1">
    <w:p>
      <w:pPr>
        <w:pBdr/>
        <w:pStyle w:val="Normal"/>
        <w:spacing/>
        <w:ind/>
        <w:rPr/>
      </w:pPr>
      <w:r>
        <w:rPr/>
        <w:separator/>
      </w:r>
    </w:p>
  </w:endnote>
  <w:endnote w:type="continuationSeparator" w:id="0">
    <w:p>
      <w:pPr>
        <w:pBdr/>
        <w:pStyle w:val="Normal"/>
        <w:spacing/>
        <w:ind/>
        <w:rPr/>
      </w:pPr>
      <w:r>
        <w:rPr/>
        <w:continuationSeparator/>
      </w:r>
    </w:p>
  </w:endnote>
  <w:endnote w:type="continuationNotice" w:id="1">
    <w:p>
      <w:pPr>
        <w:pBdr/>
        <w:pStyle w:val="Normal"/>
        <w:spacing/>
        <w:ind/>
        <w:rPr/>
      </w:pPr>
    </w:p>
  </w:endnote>
</w:endnote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Bdr/>
      <w:pStyle w:val="Footer"/>
      <w:spacing/>
      <w:ind/>
      <w:jc w:val="right"/>
      <w:rPr/>
    </w:pPr>
    <w:r>
      <w:rPr/>
      <w:fldChar w:fldCharType="begin"/>
    </w:r>
    <w:r>
      <w:rPr/>
      <w:instrText xml:space="preserve">PAGE   \* MERGEFORMAT</w:instrText>
    </w:r>
    <w:r>
      <w:rPr/>
      <w:fldChar w:fldCharType="separate"/>
    </w:r>
    <w:r>
      <w:rPr/>
      <w:t xml:space="preserve">1</w:t>
    </w:r>
    <w:r>
      <w:rPr/>
      <w:fldChar w:fldCharType="end"/>
    </w:r>
  </w:p>
  <w:p>
    <w:pPr>
      <w:pBdr/>
      <w:pStyle w:val="Footer"/>
      <w:spacing/>
      <w:ind/>
      <w:rPr/>
    </w:pPr>
  </w:p>
</w:ftr>
</file>

<file path=word/footnotes.xml><?xml version="1.0" encoding="utf-8"?>
<w:foot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footnote w:type="separator" w:id="-1">
    <w:p>
      <w:pPr>
        <w:pBdr/>
        <w:pStyle w:val="Normal"/>
        <w:spacing/>
        <w:ind/>
        <w:rPr/>
      </w:pPr>
      <w:r>
        <w:rPr/>
        <w:separator/>
      </w:r>
    </w:p>
  </w:footnote>
  <w:footnote w:type="continuationSeparator" w:id="0">
    <w:p>
      <w:pPr>
        <w:pBdr/>
        <w:pStyle w:val="Normal"/>
        <w:spacing/>
        <w:ind/>
        <w:rPr/>
      </w:pPr>
      <w:r>
        <w:rPr/>
        <w:continuationSeparator/>
      </w:r>
    </w:p>
  </w:footnote>
  <w:footnote w:type="continuationNotice" w:id="1">
    <w:p>
      <w:pPr>
        <w:pBdr/>
        <w:pStyle w:val="Normal"/>
        <w:spacing/>
        <w:ind/>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documentProtection w:cryptProviderType="rsaAES" w:cryptAlgorithmClass="hash" w:cryptAlgorithmType="typeAny" w:cryptAlgorithmSid="14" w:cryptSpinCount="100000"/>
  <w:zoom w:val="none" w:percent="100"/>
  <w:themeFontLang w:val="en-US" w:bidi="ar-SA" w:eastAsia="ja-JP"/>
  <w:displayBackgroundShape/>
  <w:defaultTabStop w:val="720"/>
  <w:compat>
    <w:compatSetting w:name="compatibilityMode" w:uri="http://schemas.microsoft.com/office/word" w:val="15"/>
  </w:compat>
  <w:footnotePr>
    <w:footnote w:id="-1"/>
    <w:footnote w:id="0"/>
  </w:footnotePr>
  <w:endnotePr>
    <w:endnote w:id="-1"/>
    <w:endnote w:id="0"/>
  </w:end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rPr>
    </w:rPrDefault>
    <w:pPrDefault>
      <w:pPr>
        <w:pBdr/>
        <w:keepNext w:val="0"/>
        <w:keepLines w:val="0"/>
        <w:outlineLvl w:val="9"/>
        <w:spacing w:before="0" w:after="160" w:line="259" w:lineRule="auto"/>
        <w:widowControl w:val="1"/>
        <w:ind w:left="0" w:right="0" w:firstLine="0"/>
        <w:jc w:val="left"/>
      </w:pPr>
    </w:pPrDefault>
  </w:docDefaults>
  <w:style w:type="paragraph" w:styleId="Normal">
    <w:name w:val="Normal"/>
    <w:next w:val="Normal"/>
    <w:pPr>
      <w:pBdr/>
      <w:spacing w:after="0" w:line="240" w:lineRule="auto"/>
      <w:ind/>
      <w:jc w:val="both"/>
    </w:pPr>
    <w:rPr>
      <w:rFonts w:ascii="Arial" w:eastAsia="Arial" w:hAnsi="Arial" w:cs="Times New Roman"/>
      <w:sz w:val="24"/>
      <w:szCs w:val="24"/>
    </w:rPr>
  </w:style>
  <w:style w:type="paragraph" w:styleId="Heading 1">
    <w:name w:val="Heading 1"/>
    <w:basedOn w:val="Normal"/>
    <w:next w:val="Normal"/>
    <w:link w:val="Naslov 1 Char"/>
    <w:pPr>
      <w:pBdr/>
      <w:keepNext/>
      <w:keepLines/>
      <w:outlineLvl w:val="0"/>
      <w:spacing w:before="100" w:beforeAutospacing="true" w:after="100" w:afterAutospacing="true"/>
      <w:ind/>
      <w:jc w:val="left"/>
    </w:pPr>
    <w:rPr>
      <w:rFonts w:ascii="Arial" w:eastAsia="Arial" w:hAnsi="Arial" w:cstheme="majorBidi"/>
      <w:b/>
      <w:color w:val="000000"/>
      <w:sz w:val="32"/>
      <w:szCs w:val="40"/>
    </w:rPr>
  </w:style>
  <w:style w:type="character" w:styleId="Naslov 1 Char">
    <w:name w:val="Naslov 1 Char"/>
    <w:basedOn w:val="Default Paragraph Font"/>
    <w:rPr>
      <w:rFonts w:ascii="Arial" w:eastAsia="Arial" w:hAnsi="Arial" w:cstheme="majorBidi"/>
      <w:b/>
      <w:sz w:val="24"/>
      <w:szCs w:val="40"/>
    </w:rPr>
  </w:style>
  <w:style w:type="character" w:styleId="Default Paragraph Font">
    <w:name w:val="Default Paragraph Font"/>
    <w:rPr>
      <w:rFonts w:ascii="Arial" w:eastAsia="Arial" w:hAnsi="Arial" w:cs="Arial"/>
    </w:rPr>
  </w:style>
  <w:style w:type="paragraph" w:styleId="Heading 2">
    <w:name w:val="Heading 2"/>
    <w:basedOn w:val="Normal"/>
    <w:next w:val="Normal"/>
    <w:link w:val="Naslov 2 Char"/>
    <w:pPr>
      <w:pBdr/>
      <w:keepNext/>
      <w:keepLines/>
      <w:outlineLvl w:val="1"/>
      <w:spacing w:before="40"/>
      <w:ind/>
      <w:jc w:val="left"/>
    </w:pPr>
    <w:rPr>
      <w:rFonts w:ascii="Arial" w:eastAsia="Arial" w:hAnsi="Arial" w:cstheme="majorBidi"/>
      <w:b/>
      <w:i/>
      <w:color w:val="000000"/>
      <w:sz w:val="28"/>
      <w:szCs w:val="26"/>
    </w:rPr>
  </w:style>
  <w:style w:type="character" w:styleId="Naslov 2 Char">
    <w:name w:val="Naslov 2 Char"/>
    <w:basedOn w:val="Default Paragraph Font"/>
    <w:rPr>
      <w:rFonts w:ascii="Arial" w:eastAsia="Arial" w:hAnsi="Arial" w:cstheme="majorBidi"/>
      <w:b/>
      <w:i/>
      <w:sz w:val="24"/>
      <w:szCs w:val="26"/>
    </w:rPr>
  </w:style>
  <w:style w:type="paragraph" w:styleId="Heading 3">
    <w:name w:val="Heading 3"/>
    <w:basedOn w:val="Normal"/>
    <w:next w:val="Normal"/>
    <w:link w:val="Naslov 3 Char"/>
    <w:pPr>
      <w:pBdr/>
      <w:keepNext/>
      <w:keepLines/>
      <w:outlineLvl w:val="2"/>
      <w:spacing w:before="40"/>
      <w:ind/>
      <w:jc w:val="left"/>
    </w:pPr>
    <w:rPr>
      <w:rFonts w:ascii="Arial" w:eastAsia="Arial" w:hAnsi="Arial" w:cstheme="majorBidi"/>
      <w:b/>
      <w:i/>
      <w:color w:val="000000"/>
      <w:sz w:val="26"/>
    </w:rPr>
  </w:style>
  <w:style w:type="character" w:styleId="Naslov 3 Char">
    <w:name w:val="Naslov 3 Char"/>
    <w:basedOn w:val="Default Paragraph Font"/>
    <w:rPr>
      <w:rFonts w:ascii="Arial" w:eastAsia="Arial" w:hAnsi="Arial" w:cstheme="majorBidi"/>
      <w:b/>
      <w:i/>
      <w:sz w:val="24"/>
      <w:szCs w:val="24"/>
    </w:rPr>
  </w:style>
  <w:style w:type="paragraph" w:styleId="Heading 4">
    <w:name w:val="Heading 4"/>
    <w:basedOn w:val="Normal"/>
    <w:next w:val="Normal"/>
    <w:link w:val="Naslov 4 Char"/>
    <w:pPr>
      <w:pBdr/>
      <w:keepNext/>
      <w:keepLines/>
      <w:outlineLvl w:val="3"/>
      <w:spacing w:before="40"/>
      <w:ind/>
      <w:jc w:val="left"/>
    </w:pPr>
    <w:rPr>
      <w:rFonts w:ascii="Arial" w:eastAsia="Arial" w:hAnsi="Arial" w:cstheme="majorBidi"/>
      <w:b/>
      <w:iCs/>
      <w:color w:val="000000"/>
      <w:sz w:val="24"/>
    </w:rPr>
  </w:style>
  <w:style w:type="character" w:styleId="Naslov 4 Char">
    <w:name w:val="Naslov 4 Char"/>
    <w:basedOn w:val="Default Paragraph Font"/>
    <w:rPr>
      <w:rFonts w:ascii="Arial" w:eastAsia="Arial" w:hAnsi="Arial" w:cstheme="majorBidi"/>
      <w:iCs/>
      <w:sz w:val="24"/>
      <w:szCs w:val="24"/>
    </w:rPr>
  </w:style>
  <w:style w:type="paragraph" w:styleId="Heading 5">
    <w:name w:val="Heading 5"/>
    <w:basedOn w:val="Normal"/>
    <w:next w:val="Normal"/>
    <w:link w:val="Naslov 5 Char"/>
    <w:pPr>
      <w:pBdr/>
      <w:keepNext/>
      <w:keepLines/>
      <w:outlineLvl w:val="4"/>
      <w:spacing w:before="40"/>
      <w:ind/>
      <w:jc w:val="left"/>
    </w:pPr>
    <w:rPr>
      <w:rFonts w:ascii="Arial" w:eastAsia="Arial" w:hAnsi="Arial" w:cstheme="majorBidi"/>
      <w:b/>
      <w:i/>
      <w:color w:val="000000"/>
      <w:sz w:val="22"/>
    </w:rPr>
  </w:style>
  <w:style w:type="character" w:styleId="Naslov 5 Char">
    <w:name w:val="Naslov 5 Char"/>
    <w:basedOn w:val="Default Paragraph Font"/>
    <w:rPr>
      <w:rFonts w:ascii="Arial" w:eastAsia="Arial" w:hAnsi="Arial" w:cstheme="majorBidi"/>
      <w:i/>
      <w:sz w:val="24"/>
      <w:szCs w:val="24"/>
    </w:rPr>
  </w:style>
  <w:style w:type="paragraph" w:styleId="Heading 6">
    <w:name w:val="Heading 6"/>
    <w:basedOn w:val="Normal"/>
    <w:next w:val="Normal"/>
    <w:link w:val="Naslov 6 Char"/>
    <w:pPr>
      <w:pBdr/>
      <w:keepNext/>
      <w:keepLines/>
      <w:outlineLvl w:val="5"/>
      <w:spacing w:before="40"/>
      <w:ind/>
      <w:jc w:val="left"/>
    </w:pPr>
    <w:rPr>
      <w:rFonts w:ascii="Arial" w:eastAsia="Arial" w:hAnsi="Arial" w:cstheme="majorBidi"/>
      <w:b/>
      <w:color w:val="000000"/>
      <w:sz w:val="22"/>
    </w:rPr>
  </w:style>
  <w:style w:type="character" w:styleId="Naslov 6 Char">
    <w:name w:val="Naslov 6 Char"/>
    <w:basedOn w:val="Default Paragraph Font"/>
    <w:rPr>
      <w:rFonts w:ascii="Arial" w:eastAsia="Arial" w:hAnsi="Arial" w:cstheme="majorBidi"/>
      <w:b/>
      <w:sz w:val="24"/>
      <w:szCs w:val="24"/>
    </w:rPr>
  </w:style>
  <w:style w:type="paragraph" w:styleId="Heading 7">
    <w:name w:val="Heading 7"/>
    <w:basedOn w:val="Normal"/>
    <w:next w:val="Normal"/>
    <w:link w:val="Naslov 7 Char"/>
    <w:pPr>
      <w:pBdr/>
      <w:keepNext/>
      <w:keepLines/>
      <w:outlineLvl w:val="6"/>
      <w:spacing w:before="40"/>
      <w:ind/>
      <w:jc w:val="left"/>
    </w:pPr>
    <w:rPr>
      <w:rFonts w:ascii="Arial" w:eastAsia="Arial" w:hAnsi="Arial" w:cstheme="majorBidi"/>
      <w:b/>
      <w:i/>
      <w:iCs/>
      <w:color w:val="000000"/>
      <w:sz w:val="21"/>
    </w:rPr>
  </w:style>
  <w:style w:type="character" w:styleId="Naslov 7 Char">
    <w:name w:val="Naslov 7 Char"/>
    <w:basedOn w:val="Default Paragraph Font"/>
    <w:rPr>
      <w:rFonts w:ascii="Arial" w:eastAsia="Arial" w:hAnsi="Arial" w:cstheme="majorBidi"/>
      <w:i/>
      <w:iCs/>
      <w:color w:val="1F4D78"/>
      <w:sz w:val="24"/>
      <w:szCs w:val="24"/>
    </w:rPr>
  </w:style>
  <w:style w:type="paragraph" w:styleId="Heading 8">
    <w:name w:val="Heading 8"/>
    <w:basedOn w:val="Normal"/>
    <w:next w:val="Normal"/>
    <w:link w:val="Naslov 8 Char"/>
    <w:pPr>
      <w:pBdr/>
      <w:outlineLvl w:val="7"/>
      <w:spacing w:before="40" w:line="259" w:lineRule="auto"/>
      <w:ind/>
      <w:jc w:val="left"/>
    </w:pPr>
    <w:rPr>
      <w:rFonts w:ascii="Arial" w:eastAsia="Arial" w:hAnsi="Arial" w:cs="Arial"/>
      <w:b/>
      <w:color w:val="000000"/>
      <w:sz w:val="20"/>
    </w:rPr>
  </w:style>
  <w:style w:type="character" w:styleId="Naslov 8 Char">
    <w:name w:val="Naslov 8 Char"/>
    <w:basedOn w:val="Default Paragraph Font"/>
    <w:rPr>
      <w:rFonts w:ascii="Arial" w:eastAsia="Arial" w:hAnsi="Arial" w:cs="Arial"/>
      <w:color w:val="333333"/>
      <w:sz w:val="21"/>
    </w:rPr>
  </w:style>
  <w:style w:type="paragraph" w:styleId="Heading 9">
    <w:name w:val="Heading 9"/>
    <w:basedOn w:val="Normal"/>
    <w:next w:val="Normal"/>
    <w:link w:val="Naslov 9 Char"/>
    <w:pPr>
      <w:pBdr/>
      <w:outlineLvl w:val="8"/>
      <w:spacing w:before="40" w:line="259" w:lineRule="auto"/>
      <w:ind/>
      <w:jc w:val="left"/>
    </w:pPr>
    <w:rPr>
      <w:rFonts w:ascii="Arial" w:eastAsia="Arial" w:hAnsi="Arial" w:cs="Arial"/>
      <w:b/>
      <w:i/>
      <w:color w:val="000000"/>
      <w:sz w:val="20"/>
    </w:rPr>
  </w:style>
  <w:style w:type="character" w:styleId="Naslov 9 Char">
    <w:name w:val="Naslov 9 Char"/>
    <w:basedOn w:val="Default Paragraph Font"/>
    <w:rPr>
      <w:rFonts w:ascii="Arial" w:eastAsia="Arial" w:hAnsi="Arial" w:cs="Arial"/>
      <w:i/>
      <w:color w:val="333333"/>
      <w:sz w:val="21"/>
    </w:rPr>
  </w:style>
  <w:style w:type="table" w:styleId="Normal Table">
    <w:name w:val="Normal Table"/>
    <w:next w:val="Normal Table"/>
  </w:style>
  <w:style w:type="character" w:styleId="Hyperlink">
    <w:name w:val="Hyperlink"/>
    <w:basedOn w:val="Default Paragraph Font"/>
    <w:rPr>
      <w:rFonts w:ascii="Arial" w:eastAsia="Arial" w:hAnsi="Arial" w:cs="Arial"/>
      <w:color w:val="0000FF"/>
      <w:u w:val="single"/>
    </w:rPr>
  </w:style>
  <w:style w:type="paragraph" w:styleId="tb-na16">
    <w:name w:val="tb-na16"/>
    <w:basedOn w:val="Normal"/>
    <w:next w:val="tb-na16"/>
    <w:pPr>
      <w:pBdr/>
      <w:spacing w:before="100" w:beforeAutospacing="true" w:after="100" w:afterAutospacing="true"/>
      <w:ind/>
    </w:pPr>
    <w:rPr>
      <w:rFonts w:ascii="Arial" w:eastAsia="Arial" w:hAnsi="Arial" w:cs="Arial"/>
    </w:rPr>
  </w:style>
  <w:style w:type="character" w:styleId="Comment Reference1">
    <w:name w:val="Comment Reference1"/>
    <w:basedOn w:val="Default Paragraph Font"/>
    <w:rPr>
      <w:rFonts w:ascii="Arial" w:eastAsia="Arial" w:hAnsi="Arial" w:cs="Arial"/>
      <w:sz w:val="16"/>
      <w:szCs w:val="16"/>
    </w:rPr>
  </w:style>
  <w:style w:type="paragraph" w:styleId="Comment Text1">
    <w:name w:val="Comment Text1"/>
    <w:basedOn w:val="Normal"/>
    <w:next w:val="Comment Text1"/>
    <w:pPr>
      <w:pBdr/>
      <w:spacing/>
      <w:ind/>
    </w:pPr>
    <w:rPr>
      <w:rFonts w:ascii="Arial" w:eastAsia="Arial" w:hAnsi="Arial" w:cs="Arial"/>
      <w:sz w:val="20"/>
      <w:szCs w:val="20"/>
    </w:rPr>
  </w:style>
  <w:style w:type="character" w:styleId="citation-2527">
    <w:name w:val="citation-2527"/>
    <w:basedOn w:val="Default Paragraph Font"/>
    <w:rPr>
      <w:rFonts w:ascii="Arial" w:eastAsia="Arial" w:hAnsi="Arial" w:cs="Arial"/>
    </w:rPr>
  </w:style>
  <w:style w:type="character" w:styleId="citation-2525">
    <w:name w:val="citation-2525"/>
    <w:basedOn w:val="Default Paragraph Font"/>
    <w:rPr>
      <w:rFonts w:ascii="Arial" w:eastAsia="Arial" w:hAnsi="Arial" w:cs="Arial"/>
    </w:rPr>
  </w:style>
  <w:style w:type="paragraph" w:styleId="Balloon Text">
    <w:name w:val="Balloon Text"/>
    <w:basedOn w:val="Normal"/>
    <w:next w:val="Balloon Text"/>
    <w:pPr>
      <w:pBdr/>
      <w:spacing/>
      <w:ind/>
    </w:pPr>
    <w:rPr>
      <w:rFonts w:ascii="Arial" w:eastAsia="Arial" w:hAnsi="Arial" w:cs="Segoe UI"/>
      <w:sz w:val="18"/>
      <w:szCs w:val="18"/>
    </w:rPr>
  </w:style>
  <w:style w:type="character" w:styleId="Tekst balončića Char">
    <w:name w:val="Tekst balončića Char"/>
    <w:basedOn w:val="Default Paragraph Font"/>
    <w:rPr>
      <w:rFonts w:ascii="Arial" w:eastAsia="Arial" w:hAnsi="Arial" w:cs="Segoe UI"/>
      <w:sz w:val="18"/>
      <w:szCs w:val="18"/>
    </w:rPr>
  </w:style>
  <w:style w:type="paragraph" w:styleId="List Paragraph">
    <w:name w:val="List Paragraph"/>
    <w:basedOn w:val="Normal"/>
    <w:next w:val="List Paragraph"/>
    <w:pPr>
      <w:pBdr/>
      <w:spacing/>
      <w:contextualSpacing/>
      <w:ind w:left="720"/>
    </w:pPr>
    <w:rPr>
      <w:rFonts w:ascii="Arial" w:eastAsia="Arial" w:hAnsi="Arial" w:cs="Arial"/>
    </w:rPr>
  </w:style>
  <w:style w:type="paragraph" w:styleId="Normal (Web)">
    <w:name w:val="Normal (Web)"/>
    <w:basedOn w:val="Normal"/>
    <w:next w:val="Normal (Web)"/>
    <w:pPr>
      <w:pBdr/>
      <w:spacing w:before="100" w:beforeAutospacing="true" w:after="100" w:afterAutospacing="true"/>
      <w:ind/>
    </w:pPr>
    <w:rPr>
      <w:rFonts w:ascii="Arial" w:eastAsia="Arial" w:hAnsi="Arial" w:cs="Arial"/>
    </w:rPr>
  </w:style>
  <w:style w:type="character" w:styleId="Strong">
    <w:name w:val="Strong"/>
    <w:basedOn w:val="Default Paragraph Font"/>
    <w:rPr>
      <w:rFonts w:ascii="Arial" w:eastAsia="Arial" w:hAnsi="Arial" w:cs="Arial"/>
      <w:b/>
      <w:bCs/>
    </w:rPr>
  </w:style>
  <w:style w:type="character" w:styleId="FollowedHyperlink">
    <w:name w:val="FollowedHyperlink"/>
    <w:basedOn w:val="Default Paragraph Font"/>
    <w:rPr>
      <w:rFonts w:ascii="Arial" w:eastAsia="Arial" w:hAnsi="Arial" w:cs="Arial"/>
      <w:color w:val="954F72"/>
      <w:u w:val="single"/>
    </w:rPr>
  </w:style>
  <w:style w:type="paragraph" w:styleId="Header">
    <w:name w:val="Header"/>
    <w:basedOn w:val="Normal"/>
    <w:next w:val="Header"/>
    <w:link w:val="Zaglavlje Char"/>
    <w:pPr>
      <w:pBdr/>
      <w:spacing/>
      <w:ind/>
      <w:tabs>
        <w:tab w:val="center" w:pos="4536.000061035156"/>
        <w:tab w:val="right" w:pos="9072.000122070312"/>
      </w:tabs>
    </w:pPr>
    <w:rPr>
      <w:rFonts w:ascii="Arial" w:eastAsia="Arial" w:hAnsi="Arial" w:cs="Arial"/>
    </w:rPr>
  </w:style>
  <w:style w:type="character" w:styleId="Zaglavlje Char">
    <w:name w:val="Zaglavlje Char"/>
    <w:basedOn w:val="Default Paragraph Font"/>
    <w:rPr>
      <w:rFonts w:ascii="Arial" w:eastAsia="Arial" w:hAnsi="Arial" w:cs="Times New Roman"/>
      <w:sz w:val="24"/>
      <w:szCs w:val="24"/>
    </w:rPr>
  </w:style>
  <w:style w:type="paragraph" w:styleId="Footer">
    <w:name w:val="Footer"/>
    <w:basedOn w:val="Normal"/>
    <w:next w:val="Footer"/>
    <w:pPr>
      <w:pBdr/>
      <w:spacing/>
      <w:ind/>
      <w:tabs>
        <w:tab w:val="center" w:pos="4536.000061035156"/>
        <w:tab w:val="right" w:pos="9072.000122070312"/>
      </w:tabs>
    </w:pPr>
    <w:rPr>
      <w:rFonts w:ascii="Arial" w:eastAsia="Arial" w:hAnsi="Arial" w:cs="Arial"/>
    </w:rPr>
  </w:style>
  <w:style w:type="character" w:styleId="Podnožje Char">
    <w:name w:val="Podnožje Char"/>
    <w:basedOn w:val="Default Paragraph Font"/>
    <w:rPr>
      <w:rFonts w:ascii="Arial" w:eastAsia="Arial" w:hAnsi="Arial" w:cs="Times New Roman"/>
      <w:sz w:val="24"/>
      <w:szCs w:val="24"/>
    </w:rPr>
  </w:style>
  <w:style w:type="table" w:styleId="Table Grid">
    <w:name w:val="Table Grid"/>
    <w:basedOn w:val="Normal Table"/>
    <w:next w:val="Table Grid"/>
  </w:style>
  <w:style w:type="paragraph" w:styleId="Revision">
    <w:name w:val="Revision"/>
    <w:next w:val="Revision"/>
    <w:pPr>
      <w:pBdr/>
      <w:spacing w:after="0" w:line="240" w:lineRule="auto"/>
      <w:ind/>
    </w:pPr>
    <w:rPr>
      <w:rFonts w:ascii="Arial" w:eastAsia="Arial" w:hAnsi="Arial" w:cs="Times New Roman"/>
      <w:sz w:val="24"/>
      <w:szCs w:val="24"/>
    </w:rPr>
  </w:style>
  <w:style w:type="paragraph" w:styleId="t-10-9-kurz-s">
    <w:name w:val="t-10-9-kurz-s"/>
    <w:basedOn w:val="Normal"/>
    <w:next w:val="t-10-9-kurz-s"/>
    <w:pPr>
      <w:pBdr/>
      <w:spacing w:before="100" w:beforeAutospacing="true" w:after="100" w:afterAutospacing="true"/>
      <w:ind/>
    </w:pPr>
    <w:rPr>
      <w:rFonts w:ascii="Arial" w:eastAsia="Arial" w:hAnsi="Arial" w:cs="Arial"/>
    </w:rPr>
  </w:style>
  <w:style w:type="character" w:styleId="Comment Reference11">
    <w:name w:val="Comment Reference11"/>
    <w:basedOn w:val="Default Paragraph Font"/>
    <w:rPr>
      <w:rFonts w:ascii="Arial" w:eastAsia="Arial" w:hAnsi="Arial" w:cs="Arial"/>
      <w:sz w:val="16"/>
      <w:szCs w:val="16"/>
    </w:rPr>
  </w:style>
  <w:style w:type="paragraph" w:styleId="t-9-8">
    <w:name w:val="t-9-8"/>
    <w:basedOn w:val="Normal"/>
    <w:next w:val="t-9-8"/>
    <w:pPr>
      <w:pBdr/>
      <w:spacing w:before="100" w:beforeAutospacing="true" w:after="100" w:afterAutospacing="true"/>
      <w:ind/>
    </w:pPr>
    <w:rPr>
      <w:rFonts w:ascii="Arial" w:eastAsia="Arial" w:hAnsi="Arial" w:cs="Arial"/>
    </w:rPr>
  </w:style>
  <w:style w:type="paragraph" w:styleId="Plain Text">
    <w:name w:val="Plain Text"/>
    <w:basedOn w:val="Normal"/>
    <w:next w:val="Plain Text"/>
    <w:pPr>
      <w:pBdr/>
      <w:spacing/>
      <w:ind/>
    </w:pPr>
    <w:rPr>
      <w:rFonts w:ascii="Arial" w:eastAsia="Arial" w:hAnsi="Arial" w:cs="Calibri"/>
      <w:sz w:val="22"/>
      <w:szCs w:val="22"/>
    </w:rPr>
  </w:style>
  <w:style w:type="character" w:styleId="Obični tekst Char">
    <w:name w:val="Obični tekst Char"/>
    <w:basedOn w:val="Default Paragraph Font"/>
    <w:rPr>
      <w:rFonts w:ascii="Arial" w:eastAsia="Arial" w:hAnsi="Arial" w:cs="Calibri"/>
    </w:rPr>
  </w:style>
  <w:style w:type="paragraph" w:styleId="Footnote Text">
    <w:name w:val="Footnote Text"/>
    <w:basedOn w:val="Normal"/>
    <w:next w:val="Footnote Text"/>
    <w:link w:val="Tekst fusnote Char"/>
    <w:pPr>
      <w:pBdr/>
      <w:spacing/>
      <w:ind/>
    </w:pPr>
    <w:rPr>
      <w:rFonts w:ascii="Arial" w:eastAsia="Arial" w:hAnsi="Arial" w:cs="Arial"/>
      <w:sz w:val="20"/>
      <w:szCs w:val="20"/>
    </w:rPr>
  </w:style>
  <w:style w:type="character" w:styleId="Tekst fusnote Char">
    <w:name w:val="Tekst fusnote Char"/>
    <w:basedOn w:val="Default Paragraph Font"/>
    <w:rPr>
      <w:rFonts w:ascii="Arial" w:eastAsia="Arial" w:hAnsi="Arial" w:cs="Times New Roman"/>
      <w:sz w:val="20"/>
      <w:szCs w:val="20"/>
    </w:rPr>
  </w:style>
  <w:style w:type="character" w:styleId="Footnote Reference">
    <w:name w:val="Footnote Reference"/>
    <w:basedOn w:val="Default Paragraph Font"/>
    <w:rPr>
      <w:rFonts w:ascii="Arial" w:eastAsia="Arial" w:hAnsi="Arial" w:cs="Arial"/>
      <w:vertAlign w:val="superscript"/>
    </w:rPr>
  </w:style>
  <w:style w:type="table" w:styleId="Rešetka tablice1">
    <w:name w:val="Rešetka tablice1"/>
    <w:basedOn w:val="Normal Table"/>
    <w:next w:val="Table Grid"/>
  </w:style>
  <w:style w:type="table" w:styleId="Rešetka tablice2">
    <w:name w:val="Rešetka tablice2"/>
    <w:basedOn w:val="Normal Table"/>
    <w:next w:val="Table Grid"/>
  </w:style>
  <w:style w:type="paragraph" w:styleId="paragraph">
    <w:name w:val="paragraph"/>
    <w:basedOn w:val="Normal"/>
    <w:next w:val="paragraph"/>
    <w:pPr>
      <w:pBdr/>
      <w:spacing w:before="100" w:beforeAutospacing="true" w:after="100" w:afterAutospacing="true"/>
      <w:ind/>
    </w:pPr>
    <w:rPr>
      <w:rFonts w:ascii="Arial" w:eastAsia="Arial" w:hAnsi="Arial" w:cs="Arial"/>
    </w:rPr>
  </w:style>
  <w:style w:type="character" w:styleId="normaltextrun">
    <w:name w:val="normaltextrun"/>
    <w:basedOn w:val="Default Paragraph Font"/>
    <w:rPr>
      <w:rFonts w:ascii="Arial" w:eastAsia="Arial" w:hAnsi="Arial" w:cs="Arial"/>
    </w:rPr>
  </w:style>
  <w:style w:type="character" w:styleId="eop">
    <w:name w:val="eop"/>
    <w:basedOn w:val="Default Paragraph Font"/>
    <w:rPr>
      <w:rFonts w:ascii="Arial" w:eastAsia="Arial" w:hAnsi="Arial" w:cs="Arial"/>
    </w:rPr>
  </w:style>
  <w:style w:type="character" w:styleId="citation-188">
    <w:name w:val="citation-188"/>
    <w:basedOn w:val="Default Paragraph Font"/>
    <w:rPr>
      <w:rFonts w:ascii="Arial" w:eastAsia="Arial" w:hAnsi="Arial" w:cs="Arial"/>
    </w:rPr>
  </w:style>
  <w:style w:type="character" w:styleId="Neriješeno spominjanje1">
    <w:name w:val="Neriješeno spominjanje1"/>
    <w:basedOn w:val="Default Paragraph Font"/>
    <w:rPr>
      <w:rFonts w:ascii="Arial" w:eastAsia="Arial" w:hAnsi="Arial" w:cs="Arial"/>
      <w:color w:val="605E5C"/>
    </w:rPr>
  </w:style>
  <w:style w:type="paragraph" w:styleId="TOC Heading">
    <w:name w:val="TOC Heading"/>
    <w:basedOn w:val="Heading 1"/>
    <w:next w:val="Normal"/>
    <w:pPr>
      <w:pBdr/>
      <w:outlineLvl w:val="0"/>
      <w:spacing w:before="240" w:beforeAutospacing="false" w:after="0" w:afterAutospacing="false" w:line="259" w:lineRule="auto"/>
      <w:ind/>
    </w:pPr>
    <w:rPr>
      <w:rFonts w:ascii="Arial" w:eastAsia="Arial" w:hAnsi="Arial" w:cs="Arial"/>
      <w:b w:val="0"/>
      <w:color w:val="2E74B5"/>
      <w:szCs w:val="32"/>
    </w:rPr>
  </w:style>
  <w:style w:type="paragraph" w:styleId="TOC 1">
    <w:name w:val="toc 1"/>
    <w:basedOn w:val="Normal"/>
    <w:next w:val="Normal"/>
    <w:pPr>
      <w:pBdr/>
      <w:spacing w:after="100"/>
      <w:ind/>
    </w:pPr>
    <w:rPr>
      <w:rFonts w:ascii="Arial" w:eastAsia="Arial" w:hAnsi="Arial" w:cs="Arial"/>
    </w:rPr>
  </w:style>
  <w:style w:type="paragraph" w:styleId="TOC 2">
    <w:name w:val="toc 2"/>
    <w:basedOn w:val="Normal"/>
    <w:next w:val="Normal"/>
    <w:pPr>
      <w:pBdr/>
      <w:spacing w:after="100"/>
      <w:ind w:left="240"/>
    </w:pPr>
    <w:rPr>
      <w:rFonts w:ascii="Arial" w:eastAsia="Arial" w:hAnsi="Arial" w:cs="Arial"/>
    </w:rPr>
  </w:style>
  <w:style w:type="paragraph" w:styleId="Default">
    <w:name w:val="Default"/>
    <w:next w:val="Default"/>
    <w:pPr>
      <w:pBdr/>
      <w:spacing w:after="0" w:line="240" w:lineRule="auto"/>
      <w:ind/>
    </w:pPr>
    <w:rPr>
      <w:rFonts w:ascii="Arial" w:eastAsia="Arial" w:hAnsi="Arial" w:cs="Times New Roman"/>
      <w:color w:val="000000"/>
      <w:sz w:val="24"/>
      <w:szCs w:val="24"/>
    </w:rPr>
  </w:style>
  <w:style w:type="paragraph" w:styleId="isselectedend">
    <w:name w:val="isselectedend"/>
    <w:basedOn w:val="Normal"/>
    <w:next w:val="isselectedend"/>
    <w:pPr>
      <w:pBdr/>
      <w:spacing w:before="100" w:beforeAutospacing="true" w:after="100" w:afterAutospacing="true"/>
      <w:ind/>
    </w:pPr>
    <w:rPr>
      <w:rFonts w:ascii="Arial" w:eastAsia="Arial" w:hAnsi="Arial" w:cs="Arial"/>
    </w:rPr>
  </w:style>
  <w:style w:type="table" w:styleId="Table Normal1">
    <w:name w:val="Table Normal1"/>
    <w:next w:val="Table Normal1"/>
  </w:style>
  <w:style w:type="character" w:styleId="Comment Reference2">
    <w:name w:val="Comment Reference2"/>
    <w:basedOn w:val="Default Paragraph Font"/>
    <w:rPr>
      <w:rFonts w:ascii="Arial" w:eastAsia="Arial" w:hAnsi="Arial" w:cs="Arial"/>
      <w:sz w:val="16"/>
      <w:szCs w:val="16"/>
    </w:rPr>
  </w:style>
  <w:style w:type="paragraph" w:styleId="annotation text">
    <w:name w:val="annotation text"/>
    <w:basedOn w:val="Normal"/>
    <w:next w:val="annotation text"/>
    <w:link w:val="Tekst komentara Char"/>
    <w:pPr>
      <w:pBdr/>
      <w:spacing/>
      <w:ind/>
    </w:pPr>
    <w:rPr>
      <w:rFonts w:ascii="Arial" w:eastAsia="Arial" w:hAnsi="Arial" w:cs="Arial"/>
      <w:sz w:val="20"/>
      <w:szCs w:val="20"/>
    </w:rPr>
  </w:style>
  <w:style w:type="character" w:styleId="Tekst komentara Char">
    <w:name w:val="Tekst komentara Char"/>
    <w:basedOn w:val="Default Paragraph Font"/>
    <w:rPr>
      <w:rFonts w:ascii="Arial" w:eastAsia="Arial" w:hAnsi="Arial" w:cs="Times New Roman"/>
      <w:sz w:val="20"/>
      <w:szCs w:val="20"/>
    </w:rPr>
  </w:style>
  <w:style w:type="character" w:styleId="annotation reference">
    <w:name w:val="annotation reference"/>
    <w:basedOn w:val="Default Paragraph Font"/>
    <w:rPr>
      <w:rFonts w:ascii="Arial" w:eastAsia="Arial" w:hAnsi="Arial" w:cs="Arial"/>
      <w:sz w:val="16"/>
      <w:szCs w:val="16"/>
    </w:rPr>
  </w:style>
  <w:style w:type="paragraph" w:styleId="annotation subject">
    <w:name w:val="annotation subject"/>
    <w:basedOn w:val="annotation text"/>
    <w:next w:val="annotation text"/>
    <w:link w:val="Predmet komentara Char"/>
    <w:pPr>
      <w:pBdr/>
      <w:spacing/>
      <w:ind/>
    </w:pPr>
    <w:rPr>
      <w:rFonts w:ascii="Arial" w:eastAsia="Arial" w:hAnsi="Arial" w:cs="Arial"/>
      <w:b/>
      <w:bCs/>
    </w:rPr>
  </w:style>
  <w:style w:type="character" w:styleId="Predmet komentara Char">
    <w:name w:val="Predmet komentara Char"/>
    <w:basedOn w:val="Tekst komentara Char"/>
    <w:rPr>
      <w:rFonts w:ascii="Arial" w:eastAsia="Arial" w:hAnsi="Arial" w:cs="Times New Roman"/>
      <w:b/>
      <w:bCs/>
      <w:sz w:val="20"/>
      <w:szCs w:val="20"/>
    </w:rPr>
  </w:style>
  <w:style w:type="paragraph" w:styleId="pdq2pg_selectionanchorcontainer">
    <w:name w:val="pdq2pg_selectionanchorcontainer"/>
    <w:basedOn w:val="Normal"/>
    <w:next w:val="pdq2pg_selectionanchorcontainer"/>
    <w:pPr>
      <w:pBdr/>
      <w:spacing w:before="100" w:beforeAutospacing="true" w:after="100" w:afterAutospacing="true"/>
      <w:ind/>
    </w:pPr>
    <w:rPr>
      <w:rFonts w:ascii="Arial" w:eastAsia="Arial" w:hAnsi="Arial" w:cs="Arial"/>
    </w:rPr>
  </w:style>
  <w:style w:type="character" w:styleId="Emphasis">
    <w:name w:val="Emphasis"/>
    <w:basedOn w:val="Default Paragraph Font"/>
    <w:rPr>
      <w:rFonts w:ascii="Arial" w:eastAsia="Arial" w:hAnsi="Arial" w:cs="Arial"/>
      <w:i/>
      <w:iCs/>
    </w:rPr>
  </w:style>
  <w:style w:type="paragraph" w:styleId="pf0">
    <w:name w:val="pf0"/>
    <w:basedOn w:val="Normal"/>
    <w:next w:val="pf0"/>
    <w:pPr>
      <w:pBdr/>
      <w:spacing w:before="100" w:beforeAutospacing="true" w:after="100" w:afterAutospacing="true"/>
      <w:ind/>
    </w:pPr>
    <w:rPr>
      <w:rFonts w:ascii="Arial" w:eastAsia="Arial" w:hAnsi="Arial" w:cs="Arial"/>
    </w:rPr>
  </w:style>
  <w:style w:type="character" w:styleId="cf01">
    <w:name w:val="cf01"/>
    <w:basedOn w:val="Default Paragraph Font"/>
    <w:rPr>
      <w:rFonts w:ascii="Arial" w:eastAsia="Arial" w:hAnsi="Arial" w:cs="Segoe UI" w:hint="default"/>
      <w:b/>
      <w:bCs/>
      <w:color w:val="ED0000"/>
      <w:sz w:val="18"/>
      <w:szCs w:val="18"/>
    </w:rPr>
  </w:style>
  <w:style w:type="character" w:styleId="cf21">
    <w:name w:val="cf21"/>
    <w:basedOn w:val="Default Paragraph Font"/>
    <w:rPr>
      <w:rFonts w:ascii="Arial" w:eastAsia="Arial" w:hAnsi="Arial" w:cs="Segoe UI" w:hint="default"/>
      <w:color w:val="ED0000"/>
      <w:sz w:val="18"/>
      <w:szCs w:val="18"/>
    </w:rPr>
  </w:style>
  <w:style w:type="paragraph" w:styleId="artifact-docx-preview_pdq2pgselectionanchorcontainer">
    <w:name w:val="artifact-docx-preview_pdq2pgselectionanchorcontainer"/>
    <w:basedOn w:val="Normal"/>
    <w:next w:val="artifact-docx-preview_pdq2pgselectionanchorcontainer"/>
    <w:pPr>
      <w:pBdr/>
      <w:spacing w:before="100" w:beforeAutospacing="true" w:after="100" w:afterAutospacing="true"/>
      <w:ind/>
    </w:pPr>
    <w:rPr>
      <w:rFonts w:ascii="Arial" w:eastAsia="Arial" w:hAnsi="Arial" w:cs="Arial"/>
    </w:rPr>
  </w:style>
  <w:style w:type="paragraph" w:styleId="artifact-docx-preview_standardweb">
    <w:name w:val="artifact-docx-preview_standardweb"/>
    <w:basedOn w:val="Normal"/>
    <w:next w:val="artifact-docx-preview_standardweb"/>
    <w:pPr>
      <w:pBdr/>
      <w:spacing w:before="100" w:beforeAutospacing="true" w:after="100" w:afterAutospacing="true"/>
      <w:ind/>
    </w:pPr>
    <w:rPr>
      <w:rFonts w:ascii="Arial" w:eastAsia="Arial" w:hAnsi="Arial" w:cs="Arial"/>
    </w:rPr>
  </w:style>
  <w:style w:type="character" w:styleId="artifact-docx-preview_naglaeno">
    <w:name w:val="artifact-docx-preview_naglaeno"/>
    <w:basedOn w:val="Default Paragraph Font"/>
    <w:rPr>
      <w:rFonts w:ascii="Arial" w:eastAsia="Arial" w:hAnsi="Arial" w:cs="Arial"/>
    </w:rPr>
  </w:style>
  <w:style w:type="character" w:styleId="Stil Kurziv">
    <w:name w:val="Stil Kurziv"/>
    <w:basedOn w:val="Default Paragraph Font"/>
    <w:rPr>
      <w:rFonts w:ascii="Arial" w:eastAsia="Arial" w:hAnsi="Arial" w:cs="Arial"/>
      <w:i/>
      <w:iCs/>
      <w:sz w:val="20"/>
    </w:rPr>
  </w:style>
  <w:style w:type="character" w:styleId="Unresolved Mention">
    <w:name w:val="Unresolved Mention"/>
    <w:basedOn w:val="Default Paragraph Font"/>
    <w:rPr>
      <w:rFonts w:ascii="Arial" w:eastAsia="Arial" w:hAnsi="Arial" w:cs="Arial"/>
      <w:color w:val="605E5C"/>
    </w:rPr>
  </w:style>
  <w:style w:type="paragraph" w:styleId="Title">
    <w:name w:val="Title"/>
    <w:basedOn w:val="Normal"/>
    <w:next w:val="Normal"/>
    <w:link w:val="Naslov Char"/>
    <w:pPr>
      <w:pBdr/>
      <w:spacing/>
      <w:contextualSpacing/>
      <w:ind/>
      <w:jc w:val="center"/>
    </w:pPr>
    <w:rPr>
      <w:rFonts w:ascii="Arial" w:eastAsia="Arial" w:hAnsi="Arial" w:cstheme="majorBidi"/>
      <w:b/>
      <w:spacing w:val="-10"/>
      <w:szCs w:val="56"/>
    </w:rPr>
  </w:style>
  <w:style w:type="character" w:styleId="Naslov Char">
    <w:name w:val="Naslov Char"/>
    <w:basedOn w:val="Default Paragraph Font"/>
    <w:rPr>
      <w:rFonts w:ascii="Arial" w:eastAsia="Arial" w:hAnsi="Arial" w:cstheme="majorBidi"/>
      <w:b/>
      <w:sz w:val="24"/>
      <w:spacing w:val="-10"/>
      <w:szCs w:val="56"/>
    </w:rPr>
  </w:style>
  <w:style w:type="paragraph" w:styleId="Title_1">
    <w:name w:val="Title_1"/>
    <w:basedOn w:val="Normal"/>
    <w:next w:val="Normal"/>
    <w:pPr>
      <w:pBdr/>
      <w:outlineLvl w:val="0"/>
      <w:spacing/>
      <w:ind/>
      <w:jc w:val="center"/>
    </w:pPr>
    <w:rPr>
      <w:rFonts w:ascii="Arial" w:eastAsia="Arial" w:hAnsi="Arial" w:cs="Arial"/>
      <w:b/>
      <w:color w:val="000000"/>
      <w:sz w:val="36"/>
    </w:rPr>
  </w:style>
  <w:style w:type="paragraph" w:styleId="Title_2">
    <w:name w:val="Title_2"/>
    <w:basedOn w:val="Normal"/>
    <w:next w:val="Normal"/>
    <w:pPr>
      <w:pBdr/>
      <w:outlineLvl w:val="0"/>
      <w:spacing/>
      <w:ind/>
      <w:jc w:val="center"/>
    </w:pPr>
    <w:rPr>
      <w:rFonts w:ascii="Arial" w:eastAsia="Arial" w:hAnsi="Arial" w:cs="Arial"/>
      <w:b/>
      <w:color w:val="000000"/>
      <w:sz w:val="36"/>
    </w:rPr>
  </w:style>
  <w:style w:type="paragraph" w:styleId="Title_3">
    <w:name w:val="Title_3"/>
    <w:basedOn w:val="Normal"/>
    <w:next w:val="Normal"/>
    <w:pPr>
      <w:pBdr/>
      <w:outlineLvl w:val="0"/>
      <w:spacing/>
      <w:ind/>
      <w:jc w:val="center"/>
    </w:pPr>
    <w:rPr>
      <w:rFonts w:ascii="Arial" w:eastAsia="Arial" w:hAnsi="Arial" w:cs="Arial"/>
      <w:b/>
      <w:color w:val="000000"/>
      <w:sz w:val="36"/>
    </w:rPr>
  </w:style>
  <w:style w:type="paragraph" w:styleId="Title_4">
    <w:name w:val="Title_4"/>
    <w:basedOn w:val="Normal"/>
    <w:next w:val="Normal"/>
    <w:pPr>
      <w:pBdr/>
      <w:outlineLvl w:val="0"/>
      <w:spacing/>
      <w:ind/>
      <w:jc w:val="center"/>
    </w:pPr>
    <w:rPr>
      <w:rFonts w:ascii="Arial" w:eastAsia="Arial" w:hAnsi="Arial" w:cs="Arial"/>
      <w:b/>
      <w:color w:val="000000"/>
      <w:sz w:val="36"/>
    </w:rPr>
  </w:style>
  <w:style w:type="paragraph" w:styleId="Title_5">
    <w:name w:val="Title_5"/>
    <w:basedOn w:val="Normal"/>
    <w:next w:val="Normal"/>
    <w:pPr>
      <w:pBdr/>
      <w:outlineLvl w:val="0"/>
      <w:spacing/>
      <w:ind/>
      <w:jc w:val="center"/>
    </w:pPr>
    <w:rPr>
      <w:rFonts w:ascii="Arial" w:eastAsia="Arial" w:hAnsi="Arial" w:cs="Arial"/>
      <w:b/>
      <w:color w:val="000000"/>
      <w:sz w:val="36"/>
    </w:rPr>
  </w:style>
  <w:style w:type="paragraph" w:styleId="Title_6">
    <w:name w:val="Title_6"/>
    <w:basedOn w:val="Normal"/>
    <w:next w:val="Normal"/>
    <w:pPr>
      <w:pBdr/>
      <w:outlineLvl w:val="0"/>
      <w:spacing/>
      <w:ind/>
      <w:jc w:val="center"/>
    </w:pPr>
    <w:rPr>
      <w:rFonts w:ascii="Arial" w:eastAsia="Arial" w:hAnsi="Arial" w:cs="Arial"/>
      <w:b/>
      <w:color w:val="000000"/>
      <w:sz w:val="36"/>
    </w:rPr>
  </w:style>
  <w:style w:type="paragraph" w:styleId="Title_7">
    <w:name w:val="Title_7"/>
    <w:basedOn w:val="Normal"/>
    <w:next w:val="Normal"/>
    <w:pPr>
      <w:pBdr/>
      <w:outlineLvl w:val="0"/>
      <w:spacing/>
      <w:ind/>
      <w:jc w:val="center"/>
    </w:pPr>
    <w:rPr>
      <w:rFonts w:ascii="Arial" w:hAnsi="Arial"/>
      <w:b/>
      <w:color w:val="000000"/>
      <w:sz w:val="36"/>
    </w:rPr>
  </w:style>
</w:styles>
</file>

<file path=word/_rels/document.xml.rels><?xml version="1.0" encoding="utf-8"?><Relationships xmlns="http://schemas.openxmlformats.org/package/2006/relationships"><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endnotes" Target="endnotes.xml" /><Relationship Id="rId5" Type="http://schemas.openxmlformats.org/officeDocument/2006/relationships/footnotes" Target="footnotes.xml" /><Relationship Id="rId6" Type="http://schemas.openxmlformats.org/officeDocument/2006/relationships/theme" Target="theme/theme1.xml" /><Relationship Id="rId1"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