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comments.xml" ContentType="application/vnd.openxmlformats-officedocument.wordprocessingml.comments+xml"/>
  <Override PartName="/word/theme/theme1.xml" ContentType="application/vnd.openxmlformats-officedocument.theme+xml"/>
  <Override PartName="/word/commentsExtended.xml" ContentType="application/vnd.openxmlformats-officedocument.wordprocessingml.commentsExtended+xml"/>
  <Override PartName="/word/endnotes.xml" ContentType="application/vnd.openxmlformats-officedocument.wordprocessingml.endnote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Bdr/>
        <w:pStyle w:val="Normal"/>
        <w:spacing w:after="200" w:line="360" w:lineRule="auto"/>
        <w:ind/>
        <w:jc w:val="center"/>
        <w:rPr>
          <w:rFonts w:ascii="Arial" w:eastAsia="Arial" w:hAnsi="Arial" w:cs="Arial"/>
          <w:b/>
          <w:bCs/>
          <w:caps/>
          <w:sz w:val="24"/>
          <w:szCs w:val="24"/>
        </w:rPr>
      </w:pPr>
      <w:bookmarkStart w:name="_Hlk215234095" w:id="0"/>
      <w:r>
        <w:rPr>
          <w:rFonts w:ascii="Arial" w:eastAsia="Arial" w:hAnsi="Arial" w:cs="Arial"/>
          <w:b/>
          <w:bCs/>
          <w:sz w:val="24"/>
          <w:szCs w:val="24"/>
        </w:rPr>
        <w:t xml:space="preserve">PRIJEDLOG ZAKONA O PROVEDBI UREDBE (EU) 2024/1157 EUROPSKOG PARLAMENTA I VIJEĆA OD 11. TRAVNJA 2024. O POŠILJKAMA OTPADA, IZMJENI UREDBI (EU) BR. 1257/2013 I (EU) 2020/1056 TE STAVLJANJU IZVAN SNAGE UREDBE (EZ) BR. 1013/2006</w:t>
      </w:r>
      <w:r>
        <w:rPr>
          <w:rFonts w:ascii="Arial" w:eastAsia="Arial" w:hAnsi="Arial" w:cs="Arial"/>
          <w:b/>
          <w:bCs/>
          <w:caps/>
          <w:sz w:val="24"/>
          <w:szCs w:val="24"/>
        </w:rPr>
        <w:t xml:space="preserve"> OTPADA</w:t>
      </w:r>
    </w:p>
    <w:p>
      <w:pPr>
        <w:pBdr/>
        <w:pStyle w:val="Normal"/>
        <w:spacing w:after="200" w:line="360" w:lineRule="auto"/>
        <w:ind/>
        <w:jc w:val="center"/>
        <w:rPr>
          <w:rFonts w:ascii="Arial" w:eastAsia="Arial" w:hAnsi="Arial" w:cs="Arial"/>
          <w:caps/>
          <w:sz w:val="24"/>
          <w:szCs w:val="24"/>
        </w:rPr>
      </w:pPr>
    </w:p>
    <w:p>
      <w:pPr>
        <w:pBdr/>
        <w:pStyle w:val="Heading 1"/>
        <w:spacing w:after="200" w:line="360" w:lineRule="auto"/>
        <w:ind/>
        <w:jc w:val="center"/>
        <w:rPr>
          <w:rFonts w:ascii="Arial" w:eastAsia="Arial" w:hAnsi="Arial" w:cs="Arial"/>
          <w:sz w:val="24"/>
          <w:szCs w:val="24"/>
        </w:rPr>
      </w:pPr>
      <w:r>
        <w:rPr>
          <w:rFonts w:ascii="Arial" w:eastAsia="Arial" w:hAnsi="Arial" w:cs="Arial"/>
          <w:caps/>
          <w:sz w:val="24"/>
          <w:szCs w:val="24"/>
        </w:rPr>
        <w:t xml:space="preserve">I. OPĆE ODREDBE</w:t>
      </w:r>
    </w:p>
    <w:p>
      <w:pPr>
        <w:pBdr/>
        <w:pStyle w:val="Normal"/>
        <w:spacing w:after="200" w:line="360" w:lineRule="auto"/>
        <w:ind/>
        <w:jc w:val="center"/>
        <w:rPr>
          <w:rFonts w:ascii="Arial" w:eastAsia="Arial" w:hAnsi="Arial" w:cs="Arial"/>
          <w:i/>
          <w:iCs/>
          <w:sz w:val="24"/>
          <w:szCs w:val="24"/>
        </w:rPr>
      </w:pPr>
      <w:r>
        <w:rPr>
          <w:rFonts w:ascii="Arial" w:eastAsia="Arial" w:hAnsi="Arial" w:cs="Arial"/>
          <w:i/>
          <w:iCs/>
          <w:sz w:val="24"/>
          <w:szCs w:val="24"/>
        </w:rPr>
        <w:t xml:space="preserve">Predmet Zakona</w:t>
      </w:r>
    </w:p>
    <w:p>
      <w:pPr>
        <w:pBdr/>
        <w:pStyle w:val="Heading 1"/>
        <w:spacing w:after="200" w:line="360" w:lineRule="auto"/>
        <w:ind/>
        <w:jc w:val="center"/>
        <w:rPr>
          <w:rFonts w:ascii="Arial" w:eastAsia="Arial" w:hAnsi="Arial" w:cs="Arial"/>
          <w:b/>
          <w:bCs/>
          <w:sz w:val="24"/>
          <w:szCs w:val="24"/>
        </w:rPr>
      </w:pPr>
      <w:r>
        <w:rPr>
          <w:rFonts w:ascii="Arial" w:eastAsia="Arial" w:hAnsi="Arial" w:cs="Arial"/>
          <w:b/>
          <w:bCs/>
          <w:sz w:val="24"/>
          <w:szCs w:val="24"/>
        </w:rPr>
        <w:t xml:space="preserve">Članak 1.</w:t>
      </w:r>
    </w:p>
    <w:p>
      <w:pPr>
        <w:pBdr/>
        <w:pStyle w:val="Normal"/>
        <w:spacing w:after="200" w:line="360" w:lineRule="auto"/>
        <w:ind w:firstLine="708"/>
        <w:jc w:val="both"/>
        <w:rPr>
          <w:rFonts w:ascii="Arial" w:eastAsia="Arial" w:hAnsi="Arial" w:cs="Arial"/>
          <w:sz w:val="24"/>
          <w:szCs w:val="24"/>
        </w:rPr>
      </w:pPr>
      <w:r>
        <w:rPr>
          <w:rFonts w:ascii="Arial" w:eastAsia="Arial" w:hAnsi="Arial" w:cs="Arial"/>
          <w:sz w:val="24"/>
          <w:szCs w:val="24"/>
        </w:rPr>
        <w:t xml:space="preserve">Ovim Zakonom utvrđuju se nadležna tijela, ovlasti nadležnih tijela i prekršajne odredbe za provedbu Uredbe Europske unije iz članka 2. ovoga Zakona.</w:t>
      </w:r>
    </w:p>
    <w:p>
      <w:pPr>
        <w:pBdr/>
        <w:pStyle w:val="Normal"/>
        <w:spacing w:after="200" w:line="360" w:lineRule="auto"/>
        <w:ind/>
        <w:jc w:val="center"/>
        <w:rPr>
          <w:rFonts w:ascii="Arial" w:eastAsia="Arial" w:hAnsi="Arial" w:cs="Arial"/>
          <w:i/>
          <w:iCs/>
          <w:sz w:val="24"/>
          <w:szCs w:val="24"/>
        </w:rPr>
      </w:pPr>
      <w:r>
        <w:rPr>
          <w:rFonts w:ascii="Arial" w:eastAsia="Arial" w:hAnsi="Arial" w:cs="Arial"/>
          <w:i/>
          <w:iCs/>
          <w:sz w:val="24"/>
          <w:szCs w:val="24"/>
        </w:rPr>
        <w:t xml:space="preserve">Pravo Europske unije</w:t>
      </w:r>
    </w:p>
    <w:p>
      <w:pPr>
        <w:pBdr/>
        <w:pStyle w:val="Heading 1"/>
        <w:spacing w:after="200" w:line="360" w:lineRule="auto"/>
        <w:ind/>
        <w:jc w:val="center"/>
        <w:rPr>
          <w:rFonts w:ascii="Arial" w:eastAsia="Arial" w:hAnsi="Arial" w:cs="Arial"/>
          <w:b/>
          <w:bCs/>
          <w:sz w:val="24"/>
          <w:szCs w:val="24"/>
        </w:rPr>
      </w:pPr>
      <w:r>
        <w:rPr>
          <w:rFonts w:ascii="Arial" w:eastAsia="Arial" w:hAnsi="Arial" w:cs="Arial"/>
          <w:b/>
          <w:bCs/>
          <w:sz w:val="24"/>
          <w:szCs w:val="24"/>
        </w:rPr>
        <w:t xml:space="preserve">Članak 2.</w:t>
      </w:r>
    </w:p>
    <w:p>
      <w:pPr>
        <w:pBdr/>
        <w:pStyle w:val="Normal"/>
        <w:spacing w:after="200" w:line="360" w:lineRule="auto"/>
        <w:ind w:firstLine="708"/>
        <w:jc w:val="both"/>
        <w:rPr>
          <w:rFonts w:ascii="Arial" w:eastAsia="Arial" w:hAnsi="Arial" w:cs="Arial"/>
          <w:sz w:val="24"/>
          <w:szCs w:val="24"/>
        </w:rPr>
      </w:pPr>
      <w:r>
        <w:rPr>
          <w:rFonts w:ascii="Arial" w:eastAsia="Arial" w:hAnsi="Arial" w:cs="Arial"/>
          <w:sz w:val="24"/>
          <w:szCs w:val="24"/>
        </w:rPr>
        <w:t xml:space="preserve">Ovim Zakonom osigurava se provedba Uredbe (EU) 2024/1157 Europskog parlamenta i Vijeća od 11. travnja 2024. o pošiljkama otpada, izmjeni uredbi (EU) br. 1257/2013 i (EU) 2020/1056 te stavljanju izvan snage Uredbe (EZ) br. 1013/2006 (SL L 1157, 30.4.2024.) (u daljnjem tekstu: Uredba (EU) 2024/1157).</w:t>
      </w:r>
    </w:p>
    <w:p>
      <w:pPr>
        <w:pBdr/>
        <w:pStyle w:val="Normal"/>
        <w:spacing/>
        <w:ind/>
        <w:jc w:val="center"/>
        <w:rPr>
          <w:rFonts w:ascii="Arial" w:eastAsia="Arial" w:hAnsi="Arial" w:cs="Arial"/>
          <w:i/>
          <w:iCs/>
          <w:sz w:val="24"/>
          <w:szCs w:val="24"/>
        </w:rPr>
      </w:pPr>
      <w:r>
        <w:rPr>
          <w:rFonts w:ascii="Arial" w:eastAsia="Arial" w:hAnsi="Arial" w:cs="Arial"/>
          <w:i/>
          <w:iCs/>
          <w:sz w:val="24"/>
          <w:szCs w:val="24"/>
        </w:rPr>
        <w:t xml:space="preserve">Pojmovi</w:t>
      </w:r>
    </w:p>
    <w:p>
      <w:pPr>
        <w:pBdr/>
        <w:pStyle w:val="Heading 1"/>
        <w:spacing/>
        <w:ind/>
        <w:jc w:val="center"/>
        <w:rPr>
          <w:rFonts w:ascii="Arial" w:eastAsia="Arial" w:hAnsi="Arial" w:cs="Arial"/>
          <w:b/>
          <w:bCs/>
          <w:sz w:val="24"/>
          <w:szCs w:val="24"/>
        </w:rPr>
      </w:pPr>
      <w:r>
        <w:rPr>
          <w:rFonts w:ascii="Arial" w:eastAsia="Arial" w:hAnsi="Arial" w:cs="Arial"/>
          <w:b/>
          <w:bCs/>
          <w:sz w:val="24"/>
          <w:szCs w:val="24"/>
        </w:rPr>
        <w:t xml:space="preserve">Članak 3. </w:t>
      </w:r>
    </w:p>
    <w:p>
      <w:pPr>
        <w:pBdr/>
        <w:pStyle w:val="Normal"/>
        <w:spacing/>
        <w:ind w:firstLine="708"/>
        <w:jc w:val="both"/>
        <w:rPr>
          <w:rFonts w:ascii="Arial" w:eastAsia="Arial" w:hAnsi="Arial" w:cs="Arial"/>
          <w:sz w:val="24"/>
          <w:szCs w:val="24"/>
        </w:rPr>
      </w:pPr>
      <w:bookmarkStart w:name="_Hlk215043282" w:id="1"/>
      <w:r>
        <w:rPr>
          <w:rFonts w:ascii="Arial" w:eastAsia="Arial" w:hAnsi="Arial" w:cs="Arial"/>
          <w:sz w:val="24"/>
          <w:szCs w:val="24"/>
        </w:rPr>
        <w:t xml:space="preserve">(1) Pojmovi koji se koriste u ovom Zakonu imaju značenje utvrđeno Uredbom (EU) 2024/1157 i zakonima kojima se uređuje gospodarenje otpadom. </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(2) Pojmovi koji se koriste u ovom Zakonu i nisu propisani propisima iz stavka 1. ovoga članka imaju slijedeće značenje:</w:t>
      </w:r>
    </w:p>
    <w:p>
      <w:pPr>
        <w:pBdr/>
        <w:pStyle w:val="Normal"/>
        <w:spacing/>
        <w:ind/>
        <w:jc w:val="both"/>
        <w:rPr>
          <w:rFonts w:ascii="Arial" w:eastAsia="Arial" w:hAnsi="Arial" w:cs="Arial"/>
          <w:sz w:val="24"/>
          <w:szCs w:val="24"/>
        </w:rPr>
      </w:pPr>
      <w:r>
        <w:rPr>
          <w:rFonts w:ascii="Arial" w:eastAsia="Arial" w:hAnsi="Arial" w:cs="Arial"/>
          <w:sz w:val="24"/>
          <w:szCs w:val="24"/>
        </w:rPr>
        <w:t xml:space="preserve">1. </w:t>
      </w:r>
      <w:r>
        <w:rPr>
          <w:rFonts w:ascii="Arial" w:eastAsia="Arial" w:hAnsi="Arial" w:cs="Arial"/>
          <w:i/>
          <w:iCs/>
          <w:sz w:val="24"/>
          <w:szCs w:val="24"/>
        </w:rPr>
        <w:t xml:space="preserve">„uvoz pošiljke otpada u Republiku Hrvatsku“ </w:t>
      </w:r>
      <w:r>
        <w:rPr>
          <w:rFonts w:ascii="Arial" w:eastAsia="Arial" w:hAnsi="Arial" w:cs="Arial"/>
          <w:sz w:val="24"/>
          <w:szCs w:val="24"/>
        </w:rPr>
        <w:t xml:space="preserve">(u daljnjem tekstu: uvoz otpada u Republiku Hrvatsku) znači svaki ulazak pošiljke otpada u Republiku Hrvatsku osim provoza kroz Republiku Hrvatsku</w:t>
      </w:r>
    </w:p>
    <w:p>
      <w:pPr>
        <w:pBdr/>
        <w:pStyle w:val="Normal"/>
        <w:spacing/>
        <w:ind/>
        <w:jc w:val="both"/>
        <w:rPr>
          <w:rFonts w:ascii="Arial" w:eastAsia="Arial" w:hAnsi="Arial" w:cs="Arial"/>
          <w:sz w:val="24"/>
          <w:szCs w:val="24"/>
        </w:rPr>
      </w:pPr>
      <w:r>
        <w:rPr>
          <w:rFonts w:ascii="Arial" w:eastAsia="Arial" w:hAnsi="Arial" w:cs="Arial"/>
          <w:sz w:val="24"/>
          <w:szCs w:val="24"/>
        </w:rPr>
        <w:t xml:space="preserve">2. </w:t>
      </w:r>
      <w:r>
        <w:rPr>
          <w:rFonts w:ascii="Arial" w:eastAsia="Arial" w:hAnsi="Arial" w:cs="Arial"/>
          <w:i/>
          <w:iCs/>
          <w:sz w:val="24"/>
          <w:szCs w:val="24"/>
        </w:rPr>
        <w:t xml:space="preserve">„izvoz pošiljke otpada iz Republike Hrvatske“</w:t>
      </w:r>
      <w:r>
        <w:rPr>
          <w:rFonts w:ascii="Arial" w:eastAsia="Arial" w:hAnsi="Arial" w:cs="Arial"/>
          <w:sz w:val="24"/>
          <w:szCs w:val="24"/>
        </w:rPr>
        <w:t xml:space="preserve"> (u daljnjem tekstu: izvoz otpada iz Republike Hrvatske) znači svaki izlazak pošiljke otpada iz Republike Hrvatske osim provoza kroz Republiku Hrvatsku</w:t>
      </w:r>
    </w:p>
    <w:p>
      <w:pPr>
        <w:pBdr/>
        <w:pStyle w:val="Normal"/>
        <w:spacing/>
        <w:ind/>
        <w:jc w:val="both"/>
        <w:rPr>
          <w:rFonts w:ascii="Arial" w:eastAsia="Arial" w:hAnsi="Arial" w:cs="Arial"/>
          <w:sz w:val="24"/>
          <w:szCs w:val="24"/>
        </w:rPr>
      </w:pPr>
      <w:r>
        <w:rPr>
          <w:rFonts w:ascii="Arial" w:eastAsia="Arial" w:hAnsi="Arial" w:cs="Arial"/>
          <w:sz w:val="24"/>
          <w:szCs w:val="24"/>
        </w:rPr>
        <w:t xml:space="preserve">3. </w:t>
      </w:r>
      <w:r>
        <w:rPr>
          <w:rFonts w:ascii="Arial" w:eastAsia="Arial" w:hAnsi="Arial" w:cs="Arial"/>
          <w:i/>
          <w:iCs/>
          <w:sz w:val="24"/>
          <w:szCs w:val="24"/>
        </w:rPr>
        <w:t xml:space="preserve">„iznos otpada iz Republike Hrvatske“</w:t>
      </w:r>
      <w:r>
        <w:rPr>
          <w:rFonts w:ascii="Arial" w:eastAsia="Arial" w:hAnsi="Arial" w:cs="Arial"/>
          <w:sz w:val="24"/>
          <w:szCs w:val="24"/>
        </w:rPr>
        <w:t xml:space="preserve"> (u daljnjem tekstu: iznos otpada) znači svaki izlazak pošiljke otpada iz Republike Hrvatske u državu članicu Europske unije osim provoza kroz Republiku Hrvatsku</w:t>
      </w:r>
    </w:p>
    <w:p>
      <w:pPr>
        <w:pBdr/>
        <w:pStyle w:val="Normal"/>
        <w:spacing/>
        <w:ind/>
        <w:jc w:val="both"/>
        <w:rPr>
          <w:rFonts w:ascii="Arial" w:eastAsia="Arial" w:hAnsi="Arial" w:cs="Arial"/>
          <w:sz w:val="24"/>
          <w:szCs w:val="24"/>
        </w:rPr>
      </w:pPr>
      <w:r>
        <w:rPr>
          <w:rFonts w:ascii="Arial" w:eastAsia="Arial" w:hAnsi="Arial" w:cs="Arial"/>
          <w:sz w:val="24"/>
          <w:szCs w:val="24"/>
        </w:rPr>
        <w:t xml:space="preserve">4. </w:t>
      </w:r>
      <w:r>
        <w:rPr>
          <w:rFonts w:ascii="Arial" w:eastAsia="Arial" w:hAnsi="Arial" w:cs="Arial"/>
          <w:i/>
          <w:iCs/>
          <w:sz w:val="24"/>
          <w:szCs w:val="24"/>
        </w:rPr>
        <w:t xml:space="preserve">„unos otpada u Republiku Hrvatsku“</w:t>
      </w:r>
      <w:r>
        <w:rPr>
          <w:rFonts w:ascii="Arial" w:eastAsia="Arial" w:hAnsi="Arial" w:cs="Arial"/>
          <w:sz w:val="24"/>
          <w:szCs w:val="24"/>
        </w:rPr>
        <w:t xml:space="preserve">(u daljnjem tekstu: unos otpada) znači svaki ulazak pošiljke otpada u Republiku Hrvatsku iz države članice Europske unije osim provoza kroz Republiku Hrvatsku.</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(3) Izrazi koji se koriste u ovom Zakonu, a imaju rodno značenje odnose se jednako na muški i ženski rod.</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(4) Prihvatljivi jezik za podatke i dokumentaciju koja se koriste u provedbi Uredbe (EU) 2024/1157 u Republici Hrvatskoj je hrvatski jezik.</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(5) Iznimno od stavka 4. ovoga članka, ako podaci i dokumentacija koji se koriste u provedbi Uredbe (EU) 2024/1157 u Republici Hrvatskoj nisu na hrvatskom jeziku, nadležno tijelo može ocijeniti da dostava ovjerenog prijevoda na hrvatski jezik određenog dokumenta nije potrebna te da je jezik na kojem je dokument izrađen prihvatljiv.</w:t>
      </w:r>
    </w:p>
    <w:p>
      <w:pPr>
        <w:pBdr/>
        <w:pStyle w:val="Normal"/>
        <w:spacing/>
        <w:ind/>
        <w:jc w:val="center"/>
        <w:rPr>
          <w:rFonts w:ascii="Arial" w:eastAsia="Arial" w:hAnsi="Arial" w:cs="Arial"/>
          <w:sz w:val="24"/>
          <w:szCs w:val="24"/>
        </w:rPr>
      </w:pPr>
    </w:p>
    <w:p>
      <w:pPr>
        <w:pBdr/>
        <w:pStyle w:val="Heading 1"/>
        <w:spacing/>
        <w:ind/>
        <w:jc w:val="center"/>
        <w:rPr>
          <w:rFonts w:ascii="Arial" w:eastAsia="Arial" w:hAnsi="Arial" w:cs="Arial"/>
          <w:sz w:val="24"/>
          <w:szCs w:val="24"/>
        </w:rPr>
      </w:pPr>
      <w:r>
        <w:rPr>
          <w:rFonts w:ascii="Arial" w:eastAsia="Arial" w:hAnsi="Arial" w:cs="Arial"/>
          <w:sz w:val="24"/>
          <w:szCs w:val="24"/>
        </w:rPr>
        <w:t xml:space="preserve">II. NADLEŽNOSTI ZA PREKOGRANIČNI PROMET OTPADOM</w:t>
      </w:r>
    </w:p>
    <w:p>
      <w:pPr>
        <w:pBdr/>
        <w:pStyle w:val="Normal"/>
        <w:spacing/>
        <w:ind/>
        <w:jc w:val="center"/>
        <w:rPr>
          <w:rFonts w:ascii="Arial" w:eastAsia="Arial" w:hAnsi="Arial" w:cs="Arial"/>
          <w:i/>
          <w:iCs/>
          <w:sz w:val="24"/>
          <w:szCs w:val="24"/>
        </w:rPr>
      </w:pPr>
      <w:r>
        <w:rPr>
          <w:rFonts w:ascii="Arial" w:eastAsia="Arial" w:hAnsi="Arial" w:cs="Arial"/>
          <w:i/>
          <w:iCs/>
          <w:sz w:val="24"/>
          <w:szCs w:val="24"/>
        </w:rPr>
        <w:t xml:space="preserve">Nadležna tijela</w:t>
      </w:r>
    </w:p>
    <w:p>
      <w:pPr>
        <w:pBdr/>
        <w:pStyle w:val="Heading 1"/>
        <w:spacing/>
        <w:ind/>
        <w:jc w:val="center"/>
        <w:rPr>
          <w:rFonts w:ascii="Arial" w:eastAsia="Arial" w:hAnsi="Arial" w:cs="Arial"/>
          <w:b/>
          <w:bCs/>
          <w:sz w:val="24"/>
          <w:szCs w:val="24"/>
        </w:rPr>
      </w:pPr>
      <w:r>
        <w:rPr>
          <w:rFonts w:ascii="Arial" w:eastAsia="Arial" w:hAnsi="Arial" w:cs="Arial"/>
          <w:b/>
          <w:bCs/>
          <w:sz w:val="24"/>
          <w:szCs w:val="24"/>
        </w:rPr>
        <w:t xml:space="preserve">Članak 4.</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(1) Ministarstvo nadležno za zaštitu okoliša je nadležno tijelo za provedbu Uredbe (EU) 2024/1157 i ovoga Zakona, ako ovim Zakonom nije propisano drugačije.</w:t>
      </w:r>
    </w:p>
    <w:p>
      <w:pPr>
        <w:pBdr/>
        <w:pStyle w:val="Normal"/>
        <w:spacing/>
        <w:ind/>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sz w:val="24"/>
          <w:szCs w:val="24"/>
        </w:rPr>
        <w:t xml:space="preserve">(2) Vlada je nadležna za sklapanje bilateralnih sporazuma s drugim državama radi zbrinjavanja otpada u skladu s člankom 50. Uredbe (EU) 2024/1157. </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(3) Ministarstvo nadležno za zaštitu okoliša obavještava Europsku komisiju u skladu s člancima 36., 56., 63. i 78. Uredbe (EU) 2024/1157 i dostavlja Europsku komisiji izvješće u skladu s člankom 73. Uredbe (EU) 2024/1157.</w:t>
      </w:r>
    </w:p>
    <w:bookmarkEnd w:id="0"/>
    <w:bookmarkEnd w:id="1"/>
    <w:p>
      <w:pPr>
        <w:pBdr/>
        <w:pStyle w:val="Normal"/>
        <w:spacing w:after="200" w:line="360" w:lineRule="auto"/>
        <w:ind/>
        <w:jc w:val="center"/>
        <w:rPr>
          <w:rFonts w:ascii="Arial" w:eastAsia="Arial" w:hAnsi="Arial" w:cs="Arial"/>
          <w:i/>
          <w:iCs/>
          <w:sz w:val="24"/>
          <w:szCs w:val="24"/>
        </w:rPr>
      </w:pPr>
      <w:r>
        <w:rPr>
          <w:rFonts w:ascii="Arial" w:eastAsia="Arial" w:hAnsi="Arial" w:cs="Arial"/>
          <w:i/>
          <w:iCs/>
          <w:sz w:val="24"/>
          <w:szCs w:val="24"/>
        </w:rPr>
        <w:t xml:space="preserve">Korespondenti i Provedbena skupina za pošiljke otpada</w:t>
      </w:r>
    </w:p>
    <w:p>
      <w:pPr>
        <w:pBdr/>
        <w:pStyle w:val="Heading 1"/>
        <w:spacing/>
        <w:ind/>
        <w:jc w:val="center"/>
        <w:rPr>
          <w:rFonts w:ascii="Arial" w:eastAsia="Arial" w:hAnsi="Arial" w:cs="Arial"/>
          <w:b/>
          <w:bCs/>
          <w:sz w:val="24"/>
          <w:szCs w:val="24"/>
        </w:rPr>
      </w:pPr>
      <w:r>
        <w:rPr>
          <w:rFonts w:ascii="Arial" w:eastAsia="Arial" w:hAnsi="Arial" w:cs="Arial"/>
          <w:b/>
          <w:bCs/>
          <w:sz w:val="24"/>
          <w:szCs w:val="24"/>
        </w:rPr>
        <w:t xml:space="preserve">Članak 5.</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(1) Korespondente za Republiku Hrvatsku iz članka 76. Uredbe (EU) 2024/1157 odlukom imenuje Ministar nadležan za zaštitu okoliša.</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(2) Članove provedbene skupine za pošiljke otpada iz Republike Hrvatske u skladu s člankom 66. Uredbe (EU) 2024/1157 imenuje ministar nadležan za zaštitu okoliša odlukom.</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(3) Provedbena skupina iz stavka 2. ovoga članka obavlja razmjenu informacija o sprečavanju i otkrivanju nezakonitih pošiljki otpada, tokova otpada, operatera i postrojenja.</w:t>
      </w:r>
    </w:p>
    <w:p>
      <w:pPr>
        <w:pBdr/>
        <w:pStyle w:val="Normal"/>
        <w:spacing/>
        <w:ind/>
        <w:jc w:val="center"/>
        <w:rPr>
          <w:rFonts w:ascii="Arial" w:eastAsia="Arial" w:hAnsi="Arial" w:cs="Arial"/>
          <w:i/>
          <w:iCs/>
          <w:sz w:val="24"/>
          <w:szCs w:val="24"/>
        </w:rPr>
      </w:pPr>
      <w:r>
        <w:rPr>
          <w:rFonts w:ascii="Arial" w:eastAsia="Arial" w:hAnsi="Arial" w:cs="Arial"/>
          <w:i/>
          <w:iCs/>
          <w:sz w:val="24"/>
          <w:szCs w:val="24"/>
        </w:rPr>
        <w:t xml:space="preserve">Suradnja tijela u Republici Hrvatskoj i međudržavna suradnja</w:t>
      </w:r>
    </w:p>
    <w:p>
      <w:pPr>
        <w:pBdr/>
        <w:pStyle w:val="Heading 1"/>
        <w:spacing/>
        <w:ind/>
        <w:jc w:val="center"/>
        <w:rPr>
          <w:rFonts w:ascii="Arial" w:eastAsia="Arial" w:hAnsi="Arial" w:cs="Arial"/>
          <w:b/>
          <w:bCs/>
          <w:sz w:val="24"/>
          <w:szCs w:val="24"/>
        </w:rPr>
      </w:pPr>
      <w:r>
        <w:rPr>
          <w:rFonts w:ascii="Arial" w:eastAsia="Arial" w:hAnsi="Arial" w:cs="Arial"/>
          <w:b/>
          <w:bCs/>
          <w:sz w:val="24"/>
          <w:szCs w:val="24"/>
        </w:rPr>
        <w:t xml:space="preserve">Članak 6.</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(1) U skladu s člankom 64.  Uredbe (EU) 2024/1157  pojedinosti načina suradnje tijela nadležnih za provedbu Uredbe (EU) 2024/1157 uključujući i način suradnje u provedbi nadzora prekograničnog prometa pošiljki otpada uređuje se sporazumom tih tijela.</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(2) Tijelo odgovorno za međudržavnu suradnju radi sprečavanja i otkrivanja nezakonitih pošiljki otpada u skladu s člankom 65. Uredbe (EU) 2024/1157 je Državni inspektorat.</w:t>
      </w:r>
    </w:p>
    <w:p>
      <w:pPr>
        <w:pBdr/>
        <w:pStyle w:val="Heading 1"/>
        <w:spacing/>
        <w:ind/>
        <w:jc w:val="center"/>
        <w:rPr>
          <w:rFonts w:ascii="Arial" w:eastAsia="Arial" w:hAnsi="Arial" w:cs="Arial"/>
          <w:sz w:val="24"/>
          <w:szCs w:val="24"/>
        </w:rPr>
      </w:pPr>
      <w:r>
        <w:rPr>
          <w:rFonts w:ascii="Arial" w:eastAsia="Arial" w:hAnsi="Arial" w:cs="Arial"/>
          <w:sz w:val="24"/>
          <w:szCs w:val="24"/>
        </w:rPr>
        <w:t xml:space="preserve">III. PRAVILA PREKOGRANIČNOG PROMETA OTPADOM</w:t>
      </w:r>
    </w:p>
    <w:p>
      <w:pPr>
        <w:pBdr/>
        <w:pStyle w:val="Normal"/>
        <w:spacing/>
        <w:ind w:firstLine="708"/>
        <w:jc w:val="center"/>
        <w:rPr>
          <w:rFonts w:ascii="Arial" w:eastAsia="Arial" w:hAnsi="Arial" w:cs="Arial"/>
          <w:sz w:val="24"/>
          <w:szCs w:val="24"/>
        </w:rPr>
      </w:pPr>
      <w:r>
        <w:rPr>
          <w:rFonts w:ascii="Arial" w:eastAsia="Arial" w:hAnsi="Arial" w:cs="Arial"/>
          <w:i/>
          <w:iCs/>
          <w:sz w:val="24"/>
          <w:szCs w:val="24"/>
        </w:rPr>
        <w:t xml:space="preserve">Granični prijelazi za uvoz i izvoz otpada</w:t>
      </w:r>
    </w:p>
    <w:p>
      <w:pPr>
        <w:pBdr/>
        <w:pStyle w:val="Heading 1"/>
        <w:spacing/>
        <w:ind/>
        <w:jc w:val="center"/>
        <w:rPr>
          <w:rFonts w:ascii="Arial" w:eastAsia="Arial" w:hAnsi="Arial" w:cs="Arial"/>
          <w:b/>
          <w:bCs/>
          <w:sz w:val="24"/>
          <w:szCs w:val="24"/>
        </w:rPr>
      </w:pPr>
      <w:r>
        <w:rPr>
          <w:rFonts w:ascii="Arial" w:eastAsia="Arial" w:hAnsi="Arial" w:cs="Arial"/>
          <w:b/>
          <w:bCs/>
          <w:sz w:val="24"/>
          <w:szCs w:val="24"/>
        </w:rPr>
        <w:t xml:space="preserve">Članak 7.</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Granične prijelaze na području Republike Hrvatske preko kojih je dopušten uvoz otpada u Europsku uniju i izvoz otpada iz Europske unije u skladu s člankom 77. Uredbe (EU) 2024/1157 propisuje Vlada uredbom.</w:t>
      </w:r>
    </w:p>
    <w:p>
      <w:pPr>
        <w:pBdr/>
        <w:pStyle w:val="Normal"/>
        <w:spacing/>
        <w:ind/>
        <w:jc w:val="center"/>
        <w:rPr>
          <w:rFonts w:ascii="Arial" w:eastAsia="Arial" w:hAnsi="Arial" w:cs="Arial"/>
          <w:i/>
          <w:iCs/>
          <w:sz w:val="24"/>
          <w:szCs w:val="24"/>
        </w:rPr>
      </w:pPr>
      <w:r>
        <w:rPr>
          <w:rFonts w:ascii="Arial" w:eastAsia="Arial" w:hAnsi="Arial" w:cs="Arial"/>
          <w:i/>
          <w:iCs/>
          <w:sz w:val="24"/>
          <w:szCs w:val="24"/>
        </w:rPr>
        <w:t xml:space="preserve">Ograničenja u prekograničnom prometu otpadom</w:t>
      </w:r>
    </w:p>
    <w:p>
      <w:pPr>
        <w:pBdr/>
        <w:pStyle w:val="Heading 1"/>
        <w:spacing/>
        <w:ind/>
        <w:jc w:val="center"/>
        <w:rPr>
          <w:rFonts w:ascii="Arial" w:eastAsia="Arial" w:hAnsi="Arial" w:cs="Arial"/>
          <w:b/>
          <w:bCs/>
          <w:sz w:val="24"/>
          <w:szCs w:val="24"/>
        </w:rPr>
      </w:pPr>
      <w:r>
        <w:rPr>
          <w:rFonts w:ascii="Arial" w:eastAsia="Arial" w:hAnsi="Arial" w:cs="Arial"/>
          <w:b/>
          <w:bCs/>
          <w:sz w:val="24"/>
          <w:szCs w:val="24"/>
        </w:rPr>
        <w:t xml:space="preserve">Članak 8.</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(1) Zabranjeno je na teritorij Republike Hrvatske isporučiti opasni otpad, miješani komunalni otpad i ostatke od spaljivanja miješanog komunalnog otpada radi zbrinjavanja.</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(2) Zabranjeno je na teritorij Republike Hrvatske isporučivati miješani komunalni otpad radi korištenja u energetske svrhe.</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(3) Vlada može nakon 1. siječnja 2028. godine odlukom ukinuti zabranu iz stavka 2. ovoga članka ako ukidanje te zabrane ne bi ugrozila ni sustav gospodarenja otpadom Republike Hrvatske niti ostvarenje ciljeva gospodarenja otpadom. </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(4) Ministar nadležan za zaštitu okoliša naredbom može zabraniti isporuku određenog otpada u Republiku Hrvatsku radi:</w:t>
      </w:r>
    </w:p>
    <w:p>
      <w:pPr>
        <w:pBdr/>
        <w:pStyle w:val="Normal"/>
        <w:spacing/>
        <w:ind/>
        <w:jc w:val="both"/>
        <w:rPr>
          <w:rFonts w:ascii="Arial" w:eastAsia="Arial" w:hAnsi="Arial" w:cs="Arial"/>
          <w:sz w:val="24"/>
          <w:szCs w:val="24"/>
        </w:rPr>
      </w:pPr>
      <w:r>
        <w:rPr>
          <w:rFonts w:ascii="Arial" w:eastAsia="Arial" w:hAnsi="Arial" w:cs="Arial"/>
          <w:sz w:val="24"/>
          <w:szCs w:val="24"/>
        </w:rPr>
        <w:t xml:space="preserve">– sprječavanja narušavanja dugoročno održivog gospodarenja određenom vrstom otpada na način sukladan temeljnim zahtjevima gospodarenja otpadom propisanim zakonom koji uređuje gospodarenje otpadom uz uvažavanje načela zaštite okoliša propisanih zakonom kojim se uređuje zaštita okoliša i pravnom stečevinom Europske unije</w:t>
      </w:r>
    </w:p>
    <w:p>
      <w:pPr>
        <w:pBdr/>
        <w:pStyle w:val="Normal"/>
        <w:spacing/>
        <w:ind/>
        <w:jc w:val="both"/>
        <w:rPr>
          <w:rFonts w:ascii="Arial" w:eastAsia="Arial" w:hAnsi="Arial" w:cs="Arial"/>
          <w:sz w:val="24"/>
          <w:szCs w:val="24"/>
        </w:rPr>
      </w:pPr>
      <w:r>
        <w:rPr>
          <w:rFonts w:ascii="Arial" w:eastAsia="Arial" w:hAnsi="Arial" w:cs="Arial"/>
          <w:sz w:val="24"/>
          <w:szCs w:val="24"/>
        </w:rPr>
        <w:t xml:space="preserve">– zaštite integrirane mreže postrojenja za obradu miješanog komunalnog otpada, ako je izvjesno da bi se zbog takvih isporuka otpad koji nastaje u Republici Hrvatskoj morao zbrinuti na način koji nije usklađen s Planom gospodarenja otpadom Republike Hrvatske i</w:t>
      </w:r>
    </w:p>
    <w:p>
      <w:pPr>
        <w:pBdr/>
        <w:pStyle w:val="Normal"/>
        <w:spacing/>
        <w:ind/>
        <w:jc w:val="both"/>
        <w:rPr>
          <w:rFonts w:ascii="Arial" w:eastAsia="Arial" w:hAnsi="Arial" w:cs="Arial"/>
          <w:sz w:val="24"/>
          <w:szCs w:val="24"/>
        </w:rPr>
      </w:pPr>
      <w:r>
        <w:rPr>
          <w:rFonts w:ascii="Arial" w:eastAsia="Arial" w:hAnsi="Arial" w:cs="Arial"/>
          <w:sz w:val="24"/>
          <w:szCs w:val="24"/>
        </w:rPr>
        <w:t xml:space="preserve">– sprječavanja negativnog utjecaja na nacionalni sustav gospodarenja otpadom određen Planom gospodarenja otpadom Republike Hrvatske.</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(5) Ako je Republika Hrvatska država odredišta uvoza otpada iz trećih zemalja i ispunjeni su zahtjevi iz članka 55. stavka 1. i 2. Uredbe (EU) 2024/1157 ministarstvo nadležno za zaštitu okoliša po službenoj dužnosti donosi rješenje kojim zabranjuje uvoz tog otpada.</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(6) Protiv rješenja iz stavka 5. ovoga članka žalba nije dopuštena, ali se može pokrenuti upravni spor pred nadležnim upravnim sudom.</w:t>
      </w:r>
    </w:p>
    <w:p>
      <w:pPr>
        <w:pBdr/>
        <w:pStyle w:val="Normal"/>
        <w:spacing/>
        <w:ind/>
        <w:jc w:val="center"/>
        <w:rPr>
          <w:rFonts w:ascii="Arial" w:eastAsia="Arial" w:hAnsi="Arial" w:cs="Arial"/>
          <w:i/>
          <w:iCs/>
          <w:sz w:val="24"/>
          <w:szCs w:val="24"/>
        </w:rPr>
      </w:pPr>
      <w:r>
        <w:rPr>
          <w:rFonts w:ascii="Arial" w:eastAsia="Arial" w:hAnsi="Arial" w:cs="Arial"/>
          <w:i/>
          <w:iCs/>
          <w:sz w:val="24"/>
          <w:szCs w:val="24"/>
        </w:rPr>
        <w:t xml:space="preserve">Razlikovanje rabljene robe od otpada</w:t>
      </w:r>
    </w:p>
    <w:p>
      <w:pPr>
        <w:pBdr/>
        <w:pStyle w:val="Heading 1"/>
        <w:spacing/>
        <w:ind/>
        <w:jc w:val="center"/>
        <w:rPr>
          <w:rFonts w:ascii="Arial" w:eastAsia="Arial" w:hAnsi="Arial" w:cs="Arial"/>
          <w:b/>
          <w:bCs/>
          <w:sz w:val="24"/>
          <w:szCs w:val="24"/>
        </w:rPr>
      </w:pPr>
      <w:r>
        <w:rPr>
          <w:rFonts w:ascii="Arial" w:eastAsia="Arial" w:hAnsi="Arial" w:cs="Arial"/>
          <w:b/>
          <w:bCs/>
          <w:sz w:val="24"/>
          <w:szCs w:val="24"/>
        </w:rPr>
        <w:t xml:space="preserve">Članak 9.</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(1) Postupak ocjene da li tvar ili predmet ima status rabljene robe ili otpada provodi po službenoj dužnosti inspektor zaštite okoliša uz primjenu zahtjeva propisanih člankom 29. Uredbe (EU) 2024/1157, člankom 61. stavkom 3. Uredbe (EU) 2024/1157 i zahtjeva propisanim pravilnikom iz stavka 4. ovoga članka.</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(2) O ocjeni iz stavka 1. ovoga članka inspektor zaštite okoliša donosi rješenje.</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(3) Protiv rješenja iz stavka 2. ovoga članka može se izjaviti žalba nadležnoj unutarnjoj ustrojstvenoj jedinici za drugostupanjski upravni postupak u središnjem uredu Državnog inspektorata.</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(4) Dodatne zahtjeve i način ispunjenja zahtjeva za razlikovanje statusa rabljene robe od otpada u skladu s člankom 29. Uredbe (EU) 2024/1157 uređuje ministar nadležan za zaštitu okoliša pravilnikom.</w:t>
      </w:r>
    </w:p>
    <w:p>
      <w:pPr>
        <w:pBdr/>
        <w:pStyle w:val="Normal"/>
        <w:spacing/>
        <w:ind/>
        <w:jc w:val="center"/>
        <w:rPr>
          <w:rFonts w:ascii="Arial" w:eastAsia="Arial" w:hAnsi="Arial" w:cs="Arial"/>
          <w:i/>
          <w:iCs/>
          <w:sz w:val="24"/>
          <w:szCs w:val="24"/>
        </w:rPr>
      </w:pPr>
      <w:r>
        <w:rPr>
          <w:rFonts w:ascii="Arial" w:eastAsia="Arial" w:hAnsi="Arial" w:cs="Arial"/>
          <w:i/>
          <w:iCs/>
          <w:sz w:val="24"/>
          <w:szCs w:val="24"/>
        </w:rPr>
        <w:t xml:space="preserve">Odobrenje za prekogranični promet otpadom</w:t>
      </w:r>
    </w:p>
    <w:p>
      <w:pPr>
        <w:pBdr/>
        <w:pStyle w:val="Heading 1"/>
        <w:spacing/>
        <w:ind/>
        <w:jc w:val="center"/>
        <w:rPr>
          <w:rFonts w:ascii="Arial" w:eastAsia="Arial" w:hAnsi="Arial" w:cs="Arial"/>
          <w:b/>
          <w:bCs/>
          <w:sz w:val="24"/>
          <w:szCs w:val="24"/>
        </w:rPr>
      </w:pPr>
      <w:r>
        <w:rPr>
          <w:rFonts w:ascii="Arial" w:eastAsia="Arial" w:hAnsi="Arial" w:cs="Arial"/>
          <w:b/>
          <w:bCs/>
          <w:sz w:val="24"/>
          <w:szCs w:val="24"/>
        </w:rPr>
        <w:t xml:space="preserve">Članak 10.</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(1) Prethodna pisana obavijest iz članka 5. Uredbe (EU) 2024/1157 smatra se zahtjevom za ishođenje odobrenja za prekogranični promet otpadom koji se podnosi ministarstvu nadležnom za okoliš.</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(2) O zahtjevu iz stavka 1. ovoga članka Ministarstvo nadležno za zaštitu okoliša odlučuje rješenjem.</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(3) Rješenje iz stavka 2. ovoga članka mora biti u skladu s člankom 9. stavkom 1. Uredbe (EU) 2024/1157.</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(4) Rješenje iz stavka 2. ovoga članka može sadržavati uvjete odobrenja i obrazloženje tih uvjeta u skladu s člankom 10. Uredbe (EU) 2024/1157.</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(5) Zahtjev iz stavka 1. ovoga članka odbaciti će se rješenjem u slučajevima iz  članka 8. stavka 5. ili članka 10. Uredbe (EU) 2024/1157.</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(6) Ministarstvo će rješenjem ukinuti izdano rješenje kojim je odobren prekogranični promet otpadom u slučaju iz članka 9. stavka 7. Uredbe (EU) 2024/1157.</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(7) Ministarstvo nadležno za zaštitu okoliša o urednom zahtjevu za odobrenje iz stavka 1. ovoga članka koji je podnesen za isporuku otpada iz Republike Hrvatske i o urednom zahtjevu za odobrenje iz stavka 1. ovoga članka koji je podnesen za provoz otpada kroz teritorij Republike Hrvatske, može neposredno riješiti usvajanjem zahtjeva davanjem prešutnog odobrenja na način da ne donese rješenje u roku od 30 dana od dana zaprimanja urednog zahtjeva u skladu s člankom 9. Uredbe (EU) 2024/1157. </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(8) Ministarstvo nadležno za zaštitu okoliša o davanju prešutnog odobrenja daje obavijest koja sadrži broj notifikacije i rok važenja odobrenja.</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(9) Stavak 7. i 8. ovoga članka ne primjenjuju se na postupak koji podliježe prethodnoj pisanoj obavijesti i odobrenju u skladu s Uredbom (EU) 2024/1157.</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(10) Protiv rješenja propisanih ovim člankom Zakona žalba nije dopuštena, ali se može pokrenuti upravni spor pred nadležnim upravnim sudom. </w:t>
      </w:r>
    </w:p>
    <w:p>
      <w:pPr>
        <w:pBdr/>
        <w:pStyle w:val="Normal"/>
        <w:spacing/>
        <w:ind/>
        <w:jc w:val="center"/>
        <w:rPr>
          <w:rFonts w:ascii="Arial" w:eastAsia="Arial" w:hAnsi="Arial" w:cs="Arial"/>
          <w:i/>
          <w:iCs/>
          <w:sz w:val="24"/>
          <w:szCs w:val="24"/>
        </w:rPr>
      </w:pPr>
      <w:r>
        <w:rPr>
          <w:rFonts w:ascii="Arial" w:eastAsia="Arial" w:hAnsi="Arial" w:cs="Arial"/>
          <w:i/>
          <w:iCs/>
          <w:sz w:val="24"/>
          <w:szCs w:val="24"/>
        </w:rPr>
        <w:t xml:space="preserve">Financijsko jamstvo za pošiljke otpada</w:t>
      </w:r>
    </w:p>
    <w:p>
      <w:pPr>
        <w:pBdr/>
        <w:pStyle w:val="Heading 1"/>
        <w:spacing/>
        <w:ind/>
        <w:jc w:val="center"/>
        <w:rPr>
          <w:rFonts w:ascii="Arial" w:eastAsia="Arial" w:hAnsi="Arial" w:cs="Arial"/>
          <w:b/>
          <w:bCs/>
          <w:sz w:val="24"/>
          <w:szCs w:val="24"/>
        </w:rPr>
      </w:pPr>
      <w:r>
        <w:rPr>
          <w:rFonts w:ascii="Arial" w:eastAsia="Arial" w:hAnsi="Arial" w:cs="Arial"/>
          <w:b/>
          <w:bCs/>
          <w:sz w:val="24"/>
          <w:szCs w:val="24"/>
        </w:rPr>
        <w:t xml:space="preserve">Članak 11.</w:t>
      </w:r>
    </w:p>
    <w:p>
      <w:pPr>
        <w:pBdr/>
        <w:pStyle w:val="Normal"/>
        <w:spacing/>
        <w:ind/>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sz w:val="24"/>
          <w:szCs w:val="24"/>
        </w:rPr>
        <w:t xml:space="preserve">Način određivanja iznosa financijskog jamstva ili odgovarajućeg osiguranja za pošiljke otpada u prekograničnom prometu otpadom iz članka 7. Uredbe (EU) 2024/1157 propisuje ministar nadležan za zaštitu okoliša pravilnikom.</w:t>
      </w:r>
    </w:p>
    <w:p>
      <w:pPr>
        <w:pBdr/>
        <w:pStyle w:val="Normal"/>
        <w:spacing/>
        <w:ind/>
        <w:jc w:val="center"/>
        <w:rPr>
          <w:rFonts w:ascii="Arial" w:eastAsia="Arial" w:hAnsi="Arial" w:cs="Arial"/>
          <w:i/>
          <w:iCs/>
          <w:sz w:val="24"/>
          <w:szCs w:val="24"/>
        </w:rPr>
      </w:pPr>
      <w:r>
        <w:rPr>
          <w:rFonts w:ascii="Arial" w:eastAsia="Arial" w:hAnsi="Arial" w:cs="Arial"/>
          <w:i/>
          <w:iCs/>
          <w:sz w:val="24"/>
          <w:szCs w:val="24"/>
        </w:rPr>
        <w:t xml:space="preserve">Prigovor na pošiljku otpada</w:t>
      </w:r>
    </w:p>
    <w:p>
      <w:pPr>
        <w:pBdr/>
        <w:pStyle w:val="Heading 1"/>
        <w:spacing/>
        <w:ind/>
        <w:jc w:val="center"/>
        <w:rPr>
          <w:rFonts w:ascii="Arial" w:eastAsia="Arial" w:hAnsi="Arial" w:cs="Arial"/>
          <w:b/>
          <w:bCs/>
          <w:sz w:val="24"/>
          <w:szCs w:val="24"/>
        </w:rPr>
      </w:pPr>
      <w:r>
        <w:rPr>
          <w:rFonts w:ascii="Arial" w:eastAsia="Arial" w:hAnsi="Arial" w:cs="Arial"/>
          <w:b/>
          <w:bCs/>
          <w:sz w:val="24"/>
          <w:szCs w:val="24"/>
        </w:rPr>
        <w:t xml:space="preserve">Članak 12.</w:t>
      </w:r>
    </w:p>
    <w:p>
      <w:pPr>
        <w:pBdr/>
        <w:pStyle w:val="Normal"/>
        <w:spacing/>
        <w:ind/>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sz w:val="24"/>
          <w:szCs w:val="24"/>
        </w:rPr>
        <w:t xml:space="preserve">(1) Kad ministarstvo nadležno za zaštitu okoliša utvrdi da postoje razlozi iz članka 12. Uredbe (EU) 2024/1157 donosi rješenje kojim se prigovara na pošiljku otpada, odbija isporuku pošiljke otpada i određuje razloge prigovaranja.</w:t>
      </w:r>
    </w:p>
    <w:p>
      <w:pPr>
        <w:pBdr/>
        <w:pStyle w:val="Normal"/>
        <w:spacing/>
        <w:ind/>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sz w:val="24"/>
          <w:szCs w:val="24"/>
        </w:rPr>
        <w:t xml:space="preserve">(2) Protiv rješenja iz stavka 1. ovoga članka žalba nije dopuštena, ali se može pokrenuti upravni spor pred nadležnim upravnim sudom.</w:t>
      </w:r>
    </w:p>
    <w:p>
      <w:pPr>
        <w:pBdr/>
        <w:pStyle w:val="Normal"/>
        <w:spacing/>
        <w:ind/>
        <w:jc w:val="center"/>
        <w:rPr>
          <w:rFonts w:ascii="Arial" w:eastAsia="Arial" w:hAnsi="Arial" w:cs="Arial"/>
          <w:i/>
          <w:iCs/>
          <w:sz w:val="24"/>
          <w:szCs w:val="24"/>
        </w:rPr>
      </w:pPr>
      <w:r>
        <w:rPr>
          <w:rFonts w:ascii="Arial" w:eastAsia="Arial" w:hAnsi="Arial" w:cs="Arial"/>
          <w:i/>
          <w:iCs/>
          <w:sz w:val="24"/>
          <w:szCs w:val="24"/>
        </w:rPr>
        <w:t xml:space="preserve">Postrojenje s prethodnim odobrenjem</w:t>
      </w:r>
    </w:p>
    <w:p>
      <w:pPr>
        <w:pBdr/>
        <w:pStyle w:val="Heading 1"/>
        <w:spacing/>
        <w:ind/>
        <w:jc w:val="center"/>
        <w:rPr>
          <w:rFonts w:ascii="Arial" w:eastAsia="Arial" w:hAnsi="Arial" w:cs="Arial"/>
          <w:b/>
          <w:bCs/>
          <w:sz w:val="24"/>
          <w:szCs w:val="24"/>
        </w:rPr>
      </w:pPr>
      <w:r>
        <w:rPr>
          <w:rFonts w:ascii="Arial" w:eastAsia="Arial" w:hAnsi="Arial" w:cs="Arial"/>
          <w:b/>
          <w:bCs/>
          <w:sz w:val="24"/>
          <w:szCs w:val="24"/>
        </w:rPr>
        <w:t xml:space="preserve">Članak 13.</w:t>
      </w:r>
    </w:p>
    <w:p>
      <w:pPr>
        <w:pBdr/>
        <w:pStyle w:val="Normal"/>
        <w:spacing/>
        <w:ind/>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sz w:val="24"/>
          <w:szCs w:val="24"/>
        </w:rPr>
        <w:t xml:space="preserve">(1) O zahtjevu za ishođenje statusa postrojenja s prethodnim odobrenjem ministarstvo nadležno za zaštitu okoliša odlučuje rješenjem.</w:t>
      </w:r>
    </w:p>
    <w:p>
      <w:pPr>
        <w:pBdr/>
        <w:pStyle w:val="Normal"/>
        <w:spacing/>
        <w:ind/>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sz w:val="24"/>
          <w:szCs w:val="24"/>
        </w:rPr>
        <w:t xml:space="preserve">(2) U slučaju utvrđenja iz članka 14. stavka 7. Uredbe (EU) 2024/1157 zahtjev iz stavka 1. ovoga članka će se odbiti.</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(3) Rješenje kojim se dodjeljuje status postrojenja s prethodnim odobrenjem sadrži podatke i uvjete propisane člankom 14. stavkom 6. Uredbe (EU) 2024/1157.</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(4) Kad ministarstvo nadležno za zaštitu okoliša utvrdi da je ispunjen uvjet propisan člankom 14. stavkom 10. Uredbe (EU) 2024/1157 rješenjem će ukinuti izdano rješenje o postrojenju s prethodnim odobrenjem.</w:t>
      </w:r>
    </w:p>
    <w:p>
      <w:pPr>
        <w:pBdr/>
        <w:pStyle w:val="Normal"/>
        <w:spacing/>
        <w:ind/>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sz w:val="24"/>
          <w:szCs w:val="24"/>
        </w:rPr>
        <w:t xml:space="preserve">(5) Protiv rješenja propisanih ovim člankom Zakona žalba nije dopuštena, ali se može pokrenuti upravni spor pred nadležnim upravnim sudom.</w:t>
      </w:r>
    </w:p>
    <w:p>
      <w:pPr>
        <w:pBdr/>
        <w:pStyle w:val="Normal"/>
        <w:spacing/>
        <w:ind/>
        <w:jc w:val="center"/>
        <w:rPr>
          <w:rFonts w:ascii="Arial" w:eastAsia="Arial" w:hAnsi="Arial" w:cs="Arial"/>
          <w:i/>
          <w:iCs/>
          <w:sz w:val="24"/>
          <w:szCs w:val="24"/>
        </w:rPr>
      </w:pPr>
      <w:r>
        <w:rPr>
          <w:rFonts w:ascii="Arial" w:eastAsia="Arial" w:hAnsi="Arial" w:cs="Arial"/>
          <w:i/>
          <w:iCs/>
          <w:sz w:val="24"/>
          <w:szCs w:val="24"/>
        </w:rPr>
        <w:t xml:space="preserve">Povrat pošiljke otpada</w:t>
      </w:r>
    </w:p>
    <w:p>
      <w:pPr>
        <w:pBdr/>
        <w:pStyle w:val="Heading 1"/>
        <w:spacing/>
        <w:ind/>
        <w:jc w:val="center"/>
        <w:rPr>
          <w:rFonts w:ascii="Arial" w:eastAsia="Arial" w:hAnsi="Arial" w:cs="Arial"/>
          <w:b/>
          <w:bCs/>
          <w:sz w:val="24"/>
          <w:szCs w:val="24"/>
        </w:rPr>
      </w:pPr>
      <w:r>
        <w:rPr>
          <w:rFonts w:ascii="Arial" w:eastAsia="Arial" w:hAnsi="Arial" w:cs="Arial"/>
          <w:b/>
          <w:bCs/>
          <w:sz w:val="24"/>
          <w:szCs w:val="24"/>
        </w:rPr>
        <w:t xml:space="preserve">Članak 14.</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(1) Ako su ispunjeni zahtjevi iz članka 22. Uredbe (EU) 2024/1157 ministarstvo nadležno za zaštitu okoliša daje suglasnost za povrat zakonite pošiljke otpada.</w:t>
      </w:r>
    </w:p>
    <w:p>
      <w:pPr>
        <w:pBdr/>
        <w:pStyle w:val="Normal"/>
        <w:spacing/>
        <w:ind/>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sz w:val="24"/>
          <w:szCs w:val="24"/>
        </w:rPr>
        <w:t xml:space="preserve">(2) Suglasnost iz stavka 1. ovoga članka nije upravni akt i dostavlja se elektroničkim putem tijelima nadležnima za prekogranični promet otpadom u odgovarajućim državama i kada je to moguće, pošiljatelju.</w:t>
      </w:r>
    </w:p>
    <w:p>
      <w:pPr>
        <w:pBdr/>
        <w:pStyle w:val="Normal"/>
        <w:spacing/>
        <w:ind/>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sz w:val="24"/>
          <w:szCs w:val="24"/>
        </w:rPr>
        <w:t xml:space="preserve">(3) Pošiljatelj otpada iz Republike Hrvatske dužan je preuzeti vraćeni otpad iz zakonite pošiljke ako ima uvjete za skladištenje takvog otpada.</w:t>
      </w:r>
    </w:p>
    <w:p>
      <w:pPr>
        <w:pBdr/>
        <w:pStyle w:val="Normal"/>
        <w:spacing/>
        <w:ind/>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sz w:val="24"/>
          <w:szCs w:val="24"/>
        </w:rPr>
        <w:t xml:space="preserve">(4) Ako pošiljatelj otpada iz Republike Hrvatske ako nema uvjete za skladištenje otpada iz stavka 3. ovoga članka ili ne preuzme vraćeni otpad, pošiljatelj otpada je dužan osigurati da taj otpad preuzme ovlaštena osoba.</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(5) Iznimno od odredbe stavka 4. ovoga članka, ako pošiljatelj iz Republike Hrvatske nije poznat ili je nesolventan, Fond za zaštitu okoliša i energetsku učinkovitost na zahtjev ministarstva nadležnog za zaštitu okoliša osigurava predaju otpada iz zakonite pošiljke ovlaštenoj osobi.</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(6) Ako su ispunjeni zahtjevi iz članka 25. Uredbe (EU) 2024/1157 ministarstvo nadležno za zaštitu okoliša donosi rješenje o povratu nezakonite pošiljke otpada na prijedlog tijela iz članka 16. ovoga Zakona.</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(7) Rješenjem iz stavka 6. ovoga članka određuje se obveznik, rok i obveza postupanja s otpadom iz nezakonite pošiljke otpada.</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(8) Protiv rješenja iz stavka 6. ovoga članka žalba nije dopuštena, ali se može pokrenuti upravni spor pred nadležnim upravnim sudom.</w:t>
      </w:r>
    </w:p>
    <w:p>
      <w:pPr>
        <w:pBdr/>
        <w:pStyle w:val="Normal"/>
        <w:spacing/>
        <w:ind/>
        <w:jc w:val="center"/>
        <w:rPr>
          <w:rFonts w:ascii="Arial" w:eastAsia="Arial" w:hAnsi="Arial" w:cs="Arial"/>
          <w:i/>
          <w:iCs/>
          <w:sz w:val="24"/>
          <w:szCs w:val="24"/>
        </w:rPr>
      </w:pPr>
      <w:r>
        <w:rPr>
          <w:rFonts w:ascii="Arial" w:eastAsia="Arial" w:hAnsi="Arial" w:cs="Arial"/>
          <w:i/>
          <w:iCs/>
          <w:sz w:val="24"/>
          <w:szCs w:val="24"/>
        </w:rPr>
        <w:t xml:space="preserve">Osiguranje sigurnog skladištenja pošiljke otpada </w:t>
      </w:r>
    </w:p>
    <w:p>
      <w:pPr>
        <w:pBdr/>
        <w:pStyle w:val="Heading 1"/>
        <w:spacing/>
        <w:ind/>
        <w:jc w:val="center"/>
        <w:rPr>
          <w:rFonts w:ascii="Arial" w:eastAsia="Arial" w:hAnsi="Arial" w:cs="Arial"/>
          <w:b/>
          <w:bCs/>
          <w:sz w:val="24"/>
          <w:szCs w:val="24"/>
        </w:rPr>
      </w:pPr>
      <w:r>
        <w:rPr>
          <w:rFonts w:ascii="Arial" w:eastAsia="Arial" w:hAnsi="Arial" w:cs="Arial"/>
          <w:b/>
          <w:bCs/>
          <w:sz w:val="24"/>
          <w:szCs w:val="24"/>
        </w:rPr>
        <w:t xml:space="preserve">Članak 15.</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(1) U slučajevima iz članka 22. stavka 10. Uredbe (EU) 2024/1157 sigurno skladištenje pošiljke otpada do povrata ili trajne oporabe ili trajnog zbrinjavanja osigurava Fond za zaštitu okoliša i energetsku učinkovitost.</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(2) Troškove koji nastaju provedbom obveze iz stavka 1. ovoga članka snosi odgovarajući podnositelj obavijesti odnosno osoba koja se smatra podnositeljem obavijesti u skladu s Uredbom (EU) 2024/1157.</w:t>
      </w:r>
    </w:p>
    <w:p>
      <w:pPr>
        <w:pBdr/>
        <w:pStyle w:val="Normal"/>
        <w:spacing/>
        <w:ind/>
        <w:jc w:val="center"/>
        <w:rPr>
          <w:rFonts w:ascii="Arial" w:eastAsia="Arial" w:hAnsi="Arial" w:cs="Arial"/>
          <w:sz w:val="24"/>
          <w:szCs w:val="24"/>
        </w:rPr>
      </w:pPr>
    </w:p>
    <w:p>
      <w:pPr>
        <w:pBdr/>
        <w:pStyle w:val="Heading 1"/>
        <w:spacing/>
        <w:ind/>
        <w:jc w:val="center"/>
        <w:rPr>
          <w:rFonts w:ascii="Arial" w:eastAsia="Arial" w:hAnsi="Arial" w:cs="Arial"/>
          <w:sz w:val="24"/>
          <w:szCs w:val="24"/>
        </w:rPr>
      </w:pPr>
      <w:r>
        <w:rPr>
          <w:rFonts w:ascii="Arial" w:eastAsia="Arial" w:hAnsi="Arial" w:cs="Arial"/>
          <w:sz w:val="24"/>
          <w:szCs w:val="24"/>
        </w:rPr>
        <w:t xml:space="preserve">IV. NADZOR PREKOGRANIČNOG PROMETA</w:t>
      </w:r>
    </w:p>
    <w:p>
      <w:pPr>
        <w:pBdr/>
        <w:pStyle w:val="Normal"/>
        <w:spacing/>
        <w:ind/>
        <w:jc w:val="center"/>
        <w:rPr>
          <w:rFonts w:ascii="Arial" w:eastAsia="Arial" w:hAnsi="Arial" w:cs="Arial"/>
          <w:sz w:val="24"/>
          <w:szCs w:val="24"/>
        </w:rPr>
      </w:pPr>
      <w:r>
        <w:rPr>
          <w:rFonts w:ascii="Arial" w:eastAsia="Arial" w:hAnsi="Arial" w:cs="Arial"/>
          <w:i/>
          <w:iCs/>
          <w:sz w:val="24"/>
          <w:szCs w:val="24"/>
        </w:rPr>
        <w:t xml:space="preserve">Tijela nadzora prekograničnog prometa otpadom</w:t>
      </w:r>
    </w:p>
    <w:p>
      <w:pPr>
        <w:pBdr/>
        <w:pStyle w:val="Heading 1"/>
        <w:spacing/>
        <w:ind/>
        <w:jc w:val="center"/>
        <w:rPr>
          <w:rFonts w:ascii="Arial" w:eastAsia="Arial" w:hAnsi="Arial" w:cs="Arial"/>
          <w:b/>
          <w:bCs/>
          <w:sz w:val="24"/>
          <w:szCs w:val="24"/>
        </w:rPr>
      </w:pPr>
      <w:r>
        <w:rPr>
          <w:rFonts w:ascii="Arial" w:eastAsia="Arial" w:hAnsi="Arial" w:cs="Arial"/>
          <w:b/>
          <w:bCs/>
          <w:sz w:val="24"/>
          <w:szCs w:val="24"/>
        </w:rPr>
        <w:t xml:space="preserve">Članak 16.</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(1) Inspekcijski nadzor nad primjenom ovoga Zakona i propisa donesenih na temelju ovoga Zakona provode inspektori zaštite okoliša Državnog inspektorata ako ovim Zakonom nije drukčije propisano.</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(2) Inspekcijski nadzor nad primjenom ovoga Zakona u dijelu koji se odnosi na prijevoz otpada provode ovlaštene službene osobe ministarstva unutarnjih poslova.</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(3) Inspekcijski nadzor nad uvozom otpada u Republiku Hrvatsku i izvozom otpada iz Republike Hrvatske, provode ovlaštene službene osobe Ministarstva financija, Carinske uprave (u daljnjem tekstu Carinske uprave).</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(4) Tijela iz ovoga članka, u skladu s člankom 65. stavkom 2. Uredbe (EU) 2024/1157 ovlaštena su u sklopu nadzora prekograničnog prometa otpadom provesti mjere propisane člankom 61. stavkom 1. Uredbe (EU) 2024/1157.</w:t>
      </w:r>
    </w:p>
    <w:p>
      <w:pPr>
        <w:pBdr/>
        <w:pStyle w:val="Normal"/>
        <w:spacing/>
        <w:ind/>
        <w:jc w:val="center"/>
        <w:rPr>
          <w:rFonts w:ascii="Arial" w:eastAsia="Arial" w:hAnsi="Arial" w:cs="Arial"/>
          <w:sz w:val="24"/>
          <w:szCs w:val="24"/>
        </w:rPr>
      </w:pPr>
      <w:r>
        <w:rPr>
          <w:rFonts w:ascii="Arial" w:eastAsia="Arial" w:hAnsi="Arial" w:cs="Arial"/>
          <w:i/>
          <w:iCs/>
          <w:sz w:val="24"/>
          <w:szCs w:val="24"/>
        </w:rPr>
        <w:t xml:space="preserve">Postupanje Obalne straže</w:t>
      </w:r>
    </w:p>
    <w:p>
      <w:pPr>
        <w:pBdr/>
        <w:pStyle w:val="Heading 1"/>
        <w:spacing/>
        <w:ind/>
        <w:jc w:val="center"/>
        <w:rPr>
          <w:rFonts w:ascii="Arial" w:eastAsia="Arial" w:hAnsi="Arial" w:cs="Arial"/>
          <w:b/>
          <w:bCs/>
          <w:sz w:val="24"/>
          <w:szCs w:val="24"/>
        </w:rPr>
      </w:pPr>
      <w:r>
        <w:rPr>
          <w:rFonts w:ascii="Arial" w:eastAsia="Arial" w:hAnsi="Arial" w:cs="Arial"/>
          <w:b/>
          <w:bCs/>
          <w:sz w:val="24"/>
          <w:szCs w:val="24"/>
        </w:rPr>
        <w:t xml:space="preserve">Članak 17.</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(1) Državni inspektorat može radi sprječavanja i otkrivanja nezakonitog prometa otpadom na području unutarnjih morskih voda i teritorijalnog mora Republike Hrvatske te isključivog gospodarskog pojasa Republike Hrvatske zatražiti pružanje logističke, sigurnosne i tehničke potpore Obalne straže Republike Hrvatske.</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(2) Državni inspektorat, Ministarstvo obrane i ministarstvo nadležno za zaštitu okoliša, za potrebe postupanja Obalne straže Republike Hrvatske radi pružanja logističke, sigurnosne i tehničke potpore inspektorima zaštite okoliša u provedbi nadzora nad prekograničnim prometom otpada, prijevozom otpada morem te sprječavanja i otkrivanja nezakonitih pošiljki otpada sklapaju sporazum o suradnji kojim se uređuje:</w:t>
      </w:r>
    </w:p>
    <w:p>
      <w:pPr>
        <w:pBdr/>
        <w:pStyle w:val="List Paragraph"/>
        <w:numPr>
          <w:ilvl w:val="0"/>
          <w:numId w:val="1"/>
        </w:numPr>
        <w:spacing/>
        <w:ind/>
        <w:jc w:val="both"/>
        <w:rPr>
          <w:rFonts w:ascii="Arial" w:eastAsia="Arial" w:hAnsi="Arial" w:cs="Arial"/>
          <w:sz w:val="24"/>
          <w:szCs w:val="24"/>
        </w:rPr>
      </w:pPr>
      <w:r>
        <w:rPr>
          <w:rFonts w:ascii="Arial" w:eastAsia="Arial" w:hAnsi="Arial" w:cs="Arial"/>
          <w:sz w:val="24"/>
          <w:szCs w:val="24"/>
        </w:rPr>
        <w:t xml:space="preserve">način razmjene podataka i obavijesti</w:t>
      </w:r>
    </w:p>
    <w:p>
      <w:pPr>
        <w:pBdr/>
        <w:pStyle w:val="List Paragraph"/>
        <w:numPr>
          <w:ilvl w:val="0"/>
          <w:numId w:val="1"/>
        </w:numPr>
        <w:spacing/>
        <w:ind/>
        <w:jc w:val="both"/>
        <w:rPr>
          <w:rFonts w:ascii="Arial" w:eastAsia="Arial" w:hAnsi="Arial" w:cs="Arial"/>
          <w:sz w:val="24"/>
          <w:szCs w:val="24"/>
        </w:rPr>
      </w:pPr>
      <w:r>
        <w:rPr>
          <w:rFonts w:ascii="Arial" w:eastAsia="Arial" w:hAnsi="Arial" w:cs="Arial"/>
          <w:sz w:val="24"/>
          <w:szCs w:val="24"/>
        </w:rPr>
        <w:t xml:space="preserve">postupak podnošenja zahtjeva za pružanje potpore</w:t>
      </w:r>
    </w:p>
    <w:p>
      <w:pPr>
        <w:pBdr/>
        <w:pStyle w:val="List Paragraph"/>
        <w:numPr>
          <w:ilvl w:val="0"/>
          <w:numId w:val="1"/>
        </w:numPr>
        <w:spacing/>
        <w:ind/>
        <w:jc w:val="both"/>
        <w:rPr>
          <w:rFonts w:ascii="Arial" w:eastAsia="Arial" w:hAnsi="Arial" w:cs="Arial"/>
          <w:sz w:val="24"/>
          <w:szCs w:val="24"/>
        </w:rPr>
      </w:pPr>
      <w:r>
        <w:rPr>
          <w:rFonts w:ascii="Arial" w:eastAsia="Arial" w:hAnsi="Arial" w:cs="Arial"/>
          <w:sz w:val="24"/>
          <w:szCs w:val="24"/>
        </w:rPr>
        <w:t xml:space="preserve">planiranje i provedba zajedničkih aktivnosti i akcija</w:t>
      </w:r>
    </w:p>
    <w:p>
      <w:pPr>
        <w:pBdr/>
        <w:pStyle w:val="List Paragraph"/>
        <w:numPr>
          <w:ilvl w:val="0"/>
          <w:numId w:val="1"/>
        </w:numPr>
        <w:spacing/>
        <w:ind/>
        <w:jc w:val="both"/>
        <w:rPr>
          <w:rFonts w:ascii="Arial" w:eastAsia="Arial" w:hAnsi="Arial" w:cs="Arial"/>
          <w:sz w:val="24"/>
          <w:szCs w:val="24"/>
        </w:rPr>
      </w:pPr>
      <w:r>
        <w:rPr>
          <w:rFonts w:ascii="Arial" w:eastAsia="Arial" w:hAnsi="Arial" w:cs="Arial"/>
          <w:sz w:val="24"/>
          <w:szCs w:val="24"/>
        </w:rPr>
        <w:t xml:space="preserve">korištenje plovila, opreme i drugih tehničkih sredstava</w:t>
      </w:r>
    </w:p>
    <w:p>
      <w:pPr>
        <w:pBdr/>
        <w:pStyle w:val="List Paragraph"/>
        <w:numPr>
          <w:ilvl w:val="0"/>
          <w:numId w:val="1"/>
        </w:numPr>
        <w:spacing/>
        <w:ind/>
        <w:jc w:val="both"/>
        <w:rPr>
          <w:rFonts w:ascii="Arial" w:eastAsia="Arial" w:hAnsi="Arial" w:cs="Arial"/>
          <w:sz w:val="24"/>
          <w:szCs w:val="24"/>
        </w:rPr>
      </w:pPr>
      <w:r>
        <w:rPr>
          <w:rFonts w:ascii="Arial" w:eastAsia="Arial" w:hAnsi="Arial" w:cs="Arial"/>
          <w:sz w:val="24"/>
          <w:szCs w:val="24"/>
        </w:rPr>
        <w:t xml:space="preserve">način izvješćivanja o provedenim aktivnostima</w:t>
      </w:r>
    </w:p>
    <w:p>
      <w:pPr>
        <w:pBdr/>
        <w:pStyle w:val="List Paragraph"/>
        <w:numPr>
          <w:ilvl w:val="0"/>
          <w:numId w:val="1"/>
        </w:numPr>
        <w:spacing/>
        <w:ind/>
        <w:jc w:val="both"/>
        <w:rPr>
          <w:rFonts w:ascii="Arial" w:eastAsia="Arial" w:hAnsi="Arial" w:cs="Arial"/>
          <w:sz w:val="24"/>
          <w:szCs w:val="24"/>
        </w:rPr>
      </w:pPr>
      <w:r>
        <w:rPr>
          <w:rFonts w:ascii="Arial" w:eastAsia="Arial" w:hAnsi="Arial" w:cs="Arial"/>
          <w:sz w:val="24"/>
          <w:szCs w:val="24"/>
        </w:rPr>
        <w:t xml:space="preserve">određivanje kontakt-</w:t>
      </w:r>
      <w:r>
        <w:rPr>
          <w:rFonts w:ascii="Arial" w:eastAsia="Arial" w:hAnsi="Arial" w:cs="Arial"/>
          <w:sz w:val="24"/>
          <w:szCs w:val="24"/>
        </w:rPr>
        <w:t xml:space="preserve">točaka i koordinacijskih tijela i</w:t>
      </w:r>
    </w:p>
    <w:p>
      <w:pPr>
        <w:pBdr/>
        <w:pStyle w:val="List Paragraph"/>
        <w:numPr>
          <w:ilvl w:val="0"/>
          <w:numId w:val="1"/>
        </w:numPr>
        <w:spacing/>
        <w:ind/>
        <w:jc w:val="both"/>
        <w:rPr>
          <w:rFonts w:ascii="Arial" w:eastAsia="Arial" w:hAnsi="Arial" w:cs="Arial"/>
          <w:sz w:val="24"/>
          <w:szCs w:val="24"/>
        </w:rPr>
      </w:pPr>
      <w:r>
        <w:rPr>
          <w:rFonts w:ascii="Arial" w:eastAsia="Arial" w:hAnsi="Arial" w:cs="Arial"/>
          <w:sz w:val="24"/>
          <w:szCs w:val="24"/>
        </w:rPr>
        <w:t xml:space="preserve">druga pitanja od značaja za učinkovitu provedbu ovoga Zakona.</w:t>
      </w:r>
    </w:p>
    <w:p>
      <w:pPr>
        <w:pBdr/>
        <w:pStyle w:val="Normal"/>
        <w:spacing/>
        <w:ind/>
        <w:jc w:val="center"/>
        <w:rPr>
          <w:rFonts w:ascii="Arial" w:eastAsia="Arial" w:hAnsi="Arial" w:cs="Arial"/>
          <w:i/>
          <w:iCs/>
          <w:sz w:val="24"/>
          <w:szCs w:val="24"/>
        </w:rPr>
      </w:pPr>
      <w:r>
        <w:rPr>
          <w:rFonts w:ascii="Arial" w:eastAsia="Arial" w:hAnsi="Arial" w:cs="Arial"/>
          <w:i/>
          <w:iCs/>
          <w:sz w:val="24"/>
          <w:szCs w:val="24"/>
        </w:rPr>
        <w:t xml:space="preserve">Provjera ispunjavanja obveza</w:t>
      </w:r>
    </w:p>
    <w:p>
      <w:pPr>
        <w:pBdr/>
        <w:pStyle w:val="Heading 1"/>
        <w:spacing/>
        <w:ind/>
        <w:jc w:val="center"/>
        <w:rPr>
          <w:rFonts w:ascii="Arial" w:eastAsia="Arial" w:hAnsi="Arial" w:cs="Arial"/>
          <w:b/>
          <w:bCs/>
          <w:sz w:val="24"/>
          <w:szCs w:val="24"/>
        </w:rPr>
      </w:pPr>
      <w:r>
        <w:rPr>
          <w:rFonts w:ascii="Arial" w:eastAsia="Arial" w:hAnsi="Arial" w:cs="Arial"/>
          <w:b/>
          <w:bCs/>
          <w:sz w:val="24"/>
          <w:szCs w:val="24"/>
        </w:rPr>
        <w:t xml:space="preserve">Članak 18.</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Temeljem pouzdanih informacija u skladu s člankom 47. stavkom 2. Uredbe (EU) 2024/1157, koje upućuju da fizička osoba – obrtnik ili pravna osoba koja isporučuje otpad u Republiku Hrvatsku ili isporučuje otpad iz Republike Hrvatske ne ispunjava propisane obveze, Državni inspektorat će obaviti provjeru da li ta osoba ispunjava obveze propisane Uredbom (EU) 2024/1157 i ovim Zakonom.</w:t>
      </w:r>
    </w:p>
    <w:p>
      <w:pPr>
        <w:pBdr/>
        <w:pStyle w:val="Normal"/>
        <w:spacing/>
        <w:ind/>
        <w:jc w:val="center"/>
        <w:rPr>
          <w:rFonts w:ascii="Arial" w:eastAsia="Arial" w:hAnsi="Arial" w:cs="Arial"/>
          <w:sz w:val="24"/>
          <w:szCs w:val="24"/>
        </w:rPr>
      </w:pPr>
      <w:r>
        <w:rPr>
          <w:rFonts w:ascii="Arial" w:eastAsia="Arial" w:hAnsi="Arial" w:cs="Arial"/>
          <w:i/>
          <w:iCs/>
          <w:sz w:val="24"/>
          <w:szCs w:val="24"/>
        </w:rPr>
        <w:t xml:space="preserve">Zadržavanje i oduzimanje pošiljke, vozila i opreme</w:t>
      </w:r>
    </w:p>
    <w:p>
      <w:pPr>
        <w:pBdr/>
        <w:pStyle w:val="Heading 1"/>
        <w:spacing/>
        <w:ind/>
        <w:jc w:val="center"/>
        <w:rPr>
          <w:rFonts w:ascii="Arial" w:eastAsia="Arial" w:hAnsi="Arial" w:cs="Arial"/>
          <w:b/>
          <w:bCs/>
          <w:sz w:val="24"/>
          <w:szCs w:val="24"/>
        </w:rPr>
      </w:pPr>
      <w:r>
        <w:rPr>
          <w:rFonts w:ascii="Arial" w:eastAsia="Arial" w:hAnsi="Arial" w:cs="Arial"/>
          <w:b/>
          <w:bCs/>
          <w:sz w:val="24"/>
          <w:szCs w:val="24"/>
        </w:rPr>
        <w:t xml:space="preserve">Članak 19.</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(1) Radi provjere usklađenosti pošiljke otpada s ovim Zakonom, Uredbom (EU) 2024/1157 i zakonom koji uređuje gospodarenje otpadom, svako tijelo iz članka 16. ovoga Zakona ovlašteno je od podnositelja obavijesti, osobe koja organizira otpremu, posjednika otpada, prijevoznika, primatelja te osobe koja upravlja postrojenjem za oporabu ili zbrinjavanje otpada zahtijevati dostavu potrebnih podataka, isprava i drugih dokaza u roku koji to tijelo odredi.</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(2) Ako dokazi za provjeru usklađenosti iz stavka 1. ovoga članka nisu dostavljeni u zatraženom roku ili postoje okolnosti koje upućuju na moguću nezakonitu pošiljku otpada, tijelo iz stavka 1. ovoga članka može, do okončanja provjere usklađenosti, kad smatra da je to nužno radi zaštite okoliša, zdravlja ljudi ili radi sprječavanja nezakonitog prometa otpadom, donijeti rješenje kojim naređuje obustavu prijevoza i privremeno zadržavanje pošiljke otpada, vozila i opreme, lokaciju za smještaj privremeno zadržane pošiljka otpada, vozila i opreme, razloge za privremeno zadržavanje te iznos i oblik financijskog jamstva.</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(3) Privremeno zadržana pošiljka otpada, vozila i oprema pečate se i smještaju na rok do mjesec dana na lokaciju gospodarenja otpadom kojom upravlja osoba koja je ovlaštena preuzeti otpad koji se nalazi u toj pošiljci i koja je uz naknadu sposobna i tehnički sposobna skladištiti zadržanu pošiljku otpada, vozilo i opremu i koja je mjereći udaljenost cestom najbliža lokaciji na kojoj se nalazi zadržana pošiljka otpada.</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(4) Sve troškove koji nastaju zbog privremenog zadržavanja pošiljke otpada, vozila i oprema snosi osoba za koju je rješenjem iz stavka 6. ovoga članka utvrđeno da je odgovorna za privremeno zadržanu pošiljku otpada.</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(5) Privremeno zadržano vozilo i oprema mogu se otpustiti i prije dostave potrebnih podataka, isprava i drugih dokaza iz stavka 1. ovoga članka ako se položi financijsko jamstvo kojim su osigurani troškovi povrata otpada, oporabe, zbrinjavanja otpada, skladištenja, prijevoza i drugih troškova koji mogu nastati u vezi s privremeno zadržanom pošiljkom, vozilom i opremom.</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(6) O osobi odgovornoj za privremeno zadržanu pošiljku otpada i o usklađenosti pošiljke otpada s ovim Zakonom ili Uredbom (EU) 2024/1157 ili zakonom koji uređuje gospodarenje otpadom tijelo iz stavka 1. ovoga članka donosi rješenje.</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(7) Ako se rješenjem iz stavka 6. ovoga članka utvrdi da je pošiljka otpada u skladu s ovim Zakonom, Uredbom (EU) 2024/1157 i zakonom koji uređuje gospodarenje otpadom, tijelo iz stavka 1. ovoga članka rješenjem iz stavka 6. ovoga članka će se odrediti otpust privremeno zadržane pošiljke, vozila i opreme, a ako je položeno financijsko jamstvo i nalog za vraćanje tog jamstva osobi koja ga je položila, nakon što su osobi koja upravlja lokacijom gospodarenja otpada na kojoj se nalazi privremeno zadržana pošiljka otpada podmireni svi troškovi skladištenja privremeno zadržane pošiljke otpada, vozila i opreme.</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(8) Ako se rješenjem iz stavka 6. ovoga članka utvrdi da pošiljka otpada nije u skladu s ovim Zakonom ili Uredbom (EU) 2024/1157 ili zakonom koji uređuje gospodarenje otpadom ili ako po isteku roka od mjesec dana od dana početka privremenog zadržavanja nije moguće utvrditi zakonitost pošiljke zbog nepostupanja osobe odgovorne za pošiljku otpada iako joj je bilo omogućeno sudjelovanje u postupku i dostava potrebnih podataka, rješenjem iz stavka 6. ovoga članka odredit će se predaja pošiljke otpada osobi ovlaštenoj za gospodarenje otpadom čija lokacija gospodarenja otpadom je najbliža lokaciji na kojoj se nalazi pošiljka otpada i otpustit će privremeno zadržano vozilo i opremu.</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(9) Sve troškove koji nastanu zbog postupanja s nezakonitom pošiljkom otpada namiruju se prvo iz položenog financijskog jamstva, ako je isto položeno i potom od osobe određene rješenjem iz stavka 6. ovoga članka.</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(10) Ako osoba koja je odgovorna za pošiljku otpada određena rješenjem iz stavka 6. ovoga članka ne podmiri troškove iz stavka 4. i stavka 8. ovoga članka troškove će na zahtjev tijela iz stavka 1. ovoga članka podmiriti Fond za zaštitu okoliša i energetsku učinkovitost.</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(11) Fond za zaštitu okoliša i energetsku učinkovitost će iznos za podmirene troškove iz stavka 9. ovoga članka uvećane za troškove postupanja prisilno naplatiti od osobe koja je odgovorna za pošiljku otpada određena rješenjem iz stavka 6. ovoga članka.</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(12) Prilikom određivanja iznosa i oblika financijskog jamstva iz stavka 2. ovoga članka uzimaju se u obzir procijenjeni troškovi povrata otpada, prijevoza, skladištenja, obrade otpada te drugi predvidivi troškovi koji mogu nastati zbog nezakonite pošiljke otpada.</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(13) Protiv rješenja iz ovoga članka  može se izjaviti žalba ministarstvu nadležnom za zaštitu okoliša.</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(15) Žalba protiv rješenja iz ovoga članka ne odgađa izvršenje tog rješenja. </w:t>
      </w:r>
    </w:p>
    <w:p>
      <w:pPr>
        <w:pBdr/>
        <w:pStyle w:val="Normal"/>
        <w:spacing/>
        <w:ind/>
        <w:jc w:val="center"/>
        <w:rPr>
          <w:rFonts w:ascii="Arial" w:eastAsia="Arial" w:hAnsi="Arial" w:cs="Arial"/>
          <w:i/>
          <w:iCs/>
          <w:sz w:val="24"/>
          <w:szCs w:val="24"/>
        </w:rPr>
      </w:pPr>
      <w:r>
        <w:rPr>
          <w:rFonts w:ascii="Arial" w:eastAsia="Arial" w:hAnsi="Arial" w:cs="Arial"/>
          <w:i/>
          <w:iCs/>
          <w:sz w:val="24"/>
          <w:szCs w:val="24"/>
        </w:rPr>
        <w:t xml:space="preserve">Plan inspekcijskog nadzora</w:t>
      </w:r>
    </w:p>
    <w:p>
      <w:pPr>
        <w:pBdr/>
        <w:pStyle w:val="Heading 1"/>
        <w:spacing/>
        <w:ind/>
        <w:jc w:val="center"/>
        <w:rPr>
          <w:rFonts w:ascii="Arial" w:eastAsia="Arial" w:hAnsi="Arial" w:cs="Arial"/>
          <w:b/>
          <w:bCs/>
          <w:sz w:val="24"/>
          <w:szCs w:val="24"/>
        </w:rPr>
      </w:pPr>
      <w:r>
        <w:rPr>
          <w:rFonts w:ascii="Arial" w:eastAsia="Arial" w:hAnsi="Arial" w:cs="Arial"/>
          <w:b/>
          <w:bCs/>
          <w:sz w:val="24"/>
          <w:szCs w:val="24"/>
        </w:rPr>
        <w:t xml:space="preserve">Članak 20.</w:t>
      </w:r>
    </w:p>
    <w:p>
      <w:pPr>
        <w:pBdr/>
        <w:pStyle w:val="Normal"/>
        <w:spacing/>
        <w:ind/>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sz w:val="24"/>
          <w:szCs w:val="24"/>
        </w:rPr>
        <w:t xml:space="preserve">(1) Plan inspekcijskog nadzora pošiljaka otpada iz članka 62. Uredbe (EU) 2024/1157 donosi Državni inspektorat u suradnji s ministarstvom nadležnim za zaštitu okoliša, ministarstvom nadležnim za carinsku upravu i ministarstvom unutarnjih poslova. </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(2) Plan iz stavka 1. ovoga članka temelji se na procjeni rizika te osobito uključuje:</w:t>
      </w:r>
    </w:p>
    <w:p>
      <w:pPr>
        <w:pBdr/>
        <w:pStyle w:val="Normal"/>
        <w:spacing/>
        <w:ind/>
        <w:jc w:val="both"/>
        <w:rPr>
          <w:rFonts w:ascii="Arial" w:eastAsia="Arial" w:hAnsi="Arial" w:cs="Arial"/>
          <w:sz w:val="24"/>
          <w:szCs w:val="24"/>
        </w:rPr>
      </w:pPr>
      <w:r>
        <w:rPr>
          <w:rFonts w:ascii="Arial" w:eastAsia="Arial" w:hAnsi="Arial" w:cs="Arial"/>
          <w:sz w:val="24"/>
          <w:szCs w:val="24"/>
        </w:rPr>
        <w:t xml:space="preserve">– vrste i količine pošiljaka otpada koje predstavljaju povećani rizik</w:t>
      </w:r>
    </w:p>
    <w:p>
      <w:pPr>
        <w:pBdr/>
        <w:pStyle w:val="Normal"/>
        <w:spacing/>
        <w:ind/>
        <w:jc w:val="both"/>
        <w:rPr>
          <w:rFonts w:ascii="Arial" w:eastAsia="Arial" w:hAnsi="Arial" w:cs="Arial"/>
          <w:sz w:val="24"/>
          <w:szCs w:val="24"/>
        </w:rPr>
      </w:pPr>
      <w:r>
        <w:rPr>
          <w:rFonts w:ascii="Arial" w:eastAsia="Arial" w:hAnsi="Arial" w:cs="Arial"/>
          <w:sz w:val="24"/>
          <w:szCs w:val="24"/>
        </w:rPr>
        <w:t xml:space="preserve">– tokove prekograničnog prometa otpada s povećanim rizikom</w:t>
      </w:r>
    </w:p>
    <w:p>
      <w:pPr>
        <w:pBdr/>
        <w:pStyle w:val="Normal"/>
        <w:spacing/>
        <w:ind/>
        <w:jc w:val="both"/>
        <w:rPr>
          <w:rFonts w:ascii="Arial" w:eastAsia="Arial" w:hAnsi="Arial" w:cs="Arial"/>
          <w:sz w:val="24"/>
          <w:szCs w:val="24"/>
        </w:rPr>
      </w:pPr>
      <w:r>
        <w:rPr>
          <w:rFonts w:ascii="Arial" w:eastAsia="Arial" w:hAnsi="Arial" w:cs="Arial"/>
          <w:sz w:val="24"/>
          <w:szCs w:val="24"/>
        </w:rPr>
        <w:t xml:space="preserve">– operatore i postrojenja visokog rizika</w:t>
      </w:r>
    </w:p>
    <w:p>
      <w:pPr>
        <w:pBdr/>
        <w:pStyle w:val="Normal"/>
        <w:spacing/>
        <w:ind/>
        <w:jc w:val="both"/>
        <w:rPr>
          <w:rFonts w:ascii="Arial" w:eastAsia="Arial" w:hAnsi="Arial" w:cs="Arial"/>
          <w:sz w:val="24"/>
          <w:szCs w:val="24"/>
        </w:rPr>
      </w:pPr>
      <w:r>
        <w:rPr>
          <w:rFonts w:ascii="Arial" w:eastAsia="Arial" w:hAnsi="Arial" w:cs="Arial"/>
          <w:sz w:val="24"/>
          <w:szCs w:val="24"/>
        </w:rPr>
        <w:t xml:space="preserve">– prioritete i učestalost inspekcijskog nadzora</w:t>
      </w:r>
    </w:p>
    <w:p>
      <w:pPr>
        <w:pBdr/>
        <w:pStyle w:val="Normal"/>
        <w:spacing/>
        <w:ind/>
        <w:jc w:val="both"/>
        <w:rPr>
          <w:rFonts w:ascii="Arial" w:eastAsia="Arial" w:hAnsi="Arial" w:cs="Arial"/>
          <w:sz w:val="24"/>
          <w:szCs w:val="24"/>
        </w:rPr>
      </w:pPr>
      <w:r>
        <w:rPr>
          <w:rFonts w:ascii="Arial" w:eastAsia="Arial" w:hAnsi="Arial" w:cs="Arial"/>
          <w:sz w:val="24"/>
          <w:szCs w:val="24"/>
        </w:rPr>
        <w:t xml:space="preserve">– metode nadzora, uključujući pregled dokumentacije, fizičke kontrole i uzorkovanje.</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(3) Plan iz stavka 1. ovoga članka redovito se ažurira na temelju rezultata nadzora i novih saznanja o rizicima.</w:t>
      </w:r>
    </w:p>
    <w:p>
      <w:pPr>
        <w:pBdr/>
        <w:pStyle w:val="Normal"/>
        <w:spacing/>
        <w:ind/>
        <w:jc w:val="center"/>
        <w:rPr>
          <w:rFonts w:ascii="Arial" w:eastAsia="Arial" w:hAnsi="Arial" w:cs="Arial"/>
          <w:i/>
          <w:iCs/>
          <w:sz w:val="24"/>
          <w:szCs w:val="24"/>
        </w:rPr>
      </w:pPr>
      <w:r>
        <w:rPr>
          <w:rFonts w:ascii="Arial" w:eastAsia="Arial" w:hAnsi="Arial" w:cs="Arial"/>
          <w:i/>
          <w:iCs/>
          <w:sz w:val="24"/>
          <w:szCs w:val="24"/>
        </w:rPr>
        <w:t xml:space="preserve">Prijava, optužni prijedlog i zabrana sudjelovanja u javnoj nabavi</w:t>
      </w:r>
    </w:p>
    <w:p>
      <w:pPr>
        <w:pBdr/>
        <w:pStyle w:val="Heading 1"/>
        <w:spacing/>
        <w:ind/>
        <w:jc w:val="center"/>
        <w:rPr>
          <w:rFonts w:ascii="Arial" w:eastAsia="Arial" w:hAnsi="Arial" w:cs="Arial"/>
          <w:b/>
          <w:bCs/>
          <w:sz w:val="24"/>
          <w:szCs w:val="24"/>
        </w:rPr>
      </w:pPr>
      <w:r>
        <w:rPr>
          <w:rFonts w:ascii="Arial" w:eastAsia="Arial" w:hAnsi="Arial" w:cs="Arial"/>
          <w:b/>
          <w:bCs/>
          <w:sz w:val="24"/>
          <w:szCs w:val="24"/>
        </w:rPr>
        <w:t xml:space="preserve">Članak 21.</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Ako tijelo iz članka 18. stavaka 1., 2., 3. ili 4. ovoga Zakona u obavljenom nadzoru utvrdi da je povredom odredbi ovoga Zakona počinjen prekršaj i/ili kazneno djelo, obvezno je izdati prekršajni nalog odnosno podnijeti optužni prijedlog i/ili prijavu nadležnom tijelu.</w:t>
      </w:r>
    </w:p>
    <w:p>
      <w:pPr>
        <w:pBdr/>
        <w:pStyle w:val="Normal"/>
        <w:spacing/>
        <w:ind/>
        <w:jc w:val="center"/>
        <w:rPr>
          <w:rFonts w:ascii="Arial" w:eastAsia="Arial" w:hAnsi="Arial" w:cs="Arial"/>
          <w:sz w:val="24"/>
          <w:szCs w:val="24"/>
        </w:rPr>
      </w:pPr>
    </w:p>
    <w:p>
      <w:pPr>
        <w:pBdr/>
        <w:pStyle w:val="Heading 1"/>
        <w:spacing/>
        <w:ind/>
        <w:jc w:val="center"/>
        <w:rPr>
          <w:rFonts w:ascii="Arial" w:eastAsia="Arial" w:hAnsi="Arial" w:cs="Arial"/>
          <w:sz w:val="24"/>
          <w:szCs w:val="24"/>
        </w:rPr>
      </w:pPr>
      <w:r>
        <w:rPr>
          <w:rFonts w:ascii="Arial" w:eastAsia="Arial" w:hAnsi="Arial" w:cs="Arial"/>
          <w:sz w:val="24"/>
          <w:szCs w:val="24"/>
        </w:rPr>
        <w:t xml:space="preserve">V. PREKRŠAJNE ODREDBE</w:t>
      </w:r>
    </w:p>
    <w:p>
      <w:pPr>
        <w:pBdr/>
        <w:pStyle w:val="Normal"/>
        <w:spacing/>
        <w:ind/>
        <w:jc w:val="center"/>
        <w:rPr>
          <w:rFonts w:ascii="Arial" w:eastAsia="Arial" w:hAnsi="Arial" w:cs="Arial"/>
          <w:i/>
          <w:iCs/>
          <w:sz w:val="24"/>
          <w:szCs w:val="24"/>
        </w:rPr>
      </w:pPr>
      <w:r>
        <w:rPr>
          <w:rFonts w:ascii="Arial" w:eastAsia="Arial" w:hAnsi="Arial" w:cs="Arial"/>
          <w:i/>
          <w:iCs/>
          <w:sz w:val="24"/>
          <w:szCs w:val="24"/>
        </w:rPr>
        <w:t xml:space="preserve">Prekršajne kazne </w:t>
      </w:r>
    </w:p>
    <w:p>
      <w:pPr>
        <w:pBdr/>
        <w:pStyle w:val="Heading 1"/>
        <w:spacing/>
        <w:ind/>
        <w:jc w:val="center"/>
        <w:rPr>
          <w:rFonts w:ascii="Arial" w:eastAsia="Arial" w:hAnsi="Arial" w:cs="Arial"/>
          <w:b/>
          <w:bCs/>
          <w:sz w:val="24"/>
          <w:szCs w:val="24"/>
        </w:rPr>
      </w:pPr>
      <w:r>
        <w:rPr>
          <w:rFonts w:ascii="Arial" w:eastAsia="Arial" w:hAnsi="Arial" w:cs="Arial"/>
          <w:b/>
          <w:bCs/>
          <w:sz w:val="24"/>
          <w:szCs w:val="24"/>
        </w:rPr>
        <w:t xml:space="preserve">Članak 22.</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(1) Novčanom kaznom u iznosu od 5000,00 do 50.000,00 eura kaznit će se za prekršaj pravna osoba koja:</w:t>
      </w:r>
    </w:p>
    <w:p>
      <w:pPr>
        <w:pBdr/>
        <w:pStyle w:val="Normal"/>
        <w:spacing/>
        <w:ind/>
        <w:jc w:val="both"/>
        <w:rPr>
          <w:rFonts w:ascii="Arial" w:eastAsia="Arial" w:hAnsi="Arial" w:cs="Arial"/>
          <w:sz w:val="24"/>
          <w:szCs w:val="24"/>
        </w:rPr>
      </w:pPr>
      <w:r>
        <w:rPr>
          <w:rFonts w:ascii="Arial" w:eastAsia="Arial" w:hAnsi="Arial" w:cs="Arial"/>
          <w:sz w:val="24"/>
          <w:szCs w:val="24"/>
        </w:rPr>
        <w:t xml:space="preserve">1. je podnositelj obavijesti i otpremi pošiljku za koju ne postoji financijsko jamstvo ili istovjetno osiguranje ili to financijsko jamstvo ili istovjetno osiguranje ne pokriva troškove propisane člankom 7. stavkom 1. Uredbe (EU) 2024/1157 (članak 7. stavak 1. Uredbe (EU) 2024/1157)</w:t>
      </w:r>
    </w:p>
    <w:p>
      <w:pPr>
        <w:pBdr/>
        <w:pStyle w:val="Normal"/>
        <w:spacing/>
        <w:ind/>
        <w:rPr>
          <w:rFonts w:ascii="Arial" w:eastAsia="Arial" w:hAnsi="Arial" w:cs="Arial"/>
          <w:sz w:val="24"/>
          <w:szCs w:val="24"/>
        </w:rPr>
      </w:pPr>
      <w:r>
        <w:rPr>
          <w:rFonts w:ascii="Arial" w:eastAsia="Arial" w:hAnsi="Arial" w:cs="Arial"/>
          <w:sz w:val="24"/>
          <w:szCs w:val="24"/>
        </w:rPr>
        <w:t xml:space="preserve">2. obavlja oporabu ili zbrinjavanje otpada i ne završi oporabu ili zbrinjavanje pošiljke otpada povezane s otpremom u roku godine dana od dana primitka te pošiljke ili ne završi oporabu ili zbrinjavanje pošiljke otpada povezane s otpremom u roku koje je odredilo nadležno tijelo (članak 9. stavak 6. Uredbe (EU) 2024/1157)</w:t>
      </w:r>
    </w:p>
    <w:p>
      <w:pPr>
        <w:pBdr/>
        <w:pStyle w:val="Normal"/>
        <w:spacing/>
        <w:ind/>
        <w:jc w:val="both"/>
        <w:rPr>
          <w:rFonts w:ascii="Arial" w:eastAsia="Arial" w:hAnsi="Arial" w:cs="Arial"/>
          <w:sz w:val="24"/>
          <w:szCs w:val="24"/>
        </w:rPr>
      </w:pPr>
      <w:r>
        <w:rPr>
          <w:rFonts w:ascii="Arial" w:eastAsia="Arial" w:hAnsi="Arial" w:cs="Arial"/>
          <w:sz w:val="24"/>
          <w:szCs w:val="24"/>
        </w:rPr>
        <w:t xml:space="preserve">3. obavlja oporabu ili zbrinjavanje pošiljke otpada i u roku od dva radna dana od primitka otpada u postrojenju u kojem se provodi postupak privremene oporabe ili postupak privremenog zbrinjavanja, podnositelju obavijesti i nadležnim tijelima ne dostavi potvrdu o primitku otpada (članak 15. stavak 3. Uredbe (EU) 2024/1157)</w:t>
      </w:r>
    </w:p>
    <w:p>
      <w:pPr>
        <w:pBdr/>
        <w:pStyle w:val="Normal"/>
        <w:spacing/>
        <w:ind/>
        <w:jc w:val="both"/>
        <w:rPr>
          <w:rFonts w:ascii="Arial" w:eastAsia="Arial" w:hAnsi="Arial" w:cs="Arial"/>
          <w:sz w:val="24"/>
          <w:szCs w:val="24"/>
        </w:rPr>
      </w:pPr>
      <w:r>
        <w:rPr>
          <w:rFonts w:ascii="Arial" w:eastAsia="Arial" w:hAnsi="Arial" w:cs="Arial"/>
          <w:sz w:val="24"/>
          <w:szCs w:val="24"/>
        </w:rPr>
        <w:t xml:space="preserve">4. obavlja oporabu ili zbrinjavanje pošiljke otpada i nije dostavo podnositelju obavijesti i nadležnim tijelima potvrdu da je postupak završen u roku od 30 dana od završetka postupka privremene oporabe ili postupka privremenog zbrinjavanja i najkasnije godinu dana od dana zaprimanja otpada ili u roku koji je kraći od godinu dana od dana primitka pošiljke otpada ako je takav rok odredilo nadležno tijelo u odobrenju  (članak 15. stavak 4. Uredbe (EU) 2024/1157)</w:t>
      </w:r>
    </w:p>
    <w:p>
      <w:pPr>
        <w:pBdr/>
        <w:pStyle w:val="Normal"/>
        <w:spacing/>
        <w:ind/>
        <w:jc w:val="both"/>
        <w:rPr>
          <w:rFonts w:ascii="Arial" w:eastAsia="Arial" w:hAnsi="Arial" w:cs="Arial"/>
          <w:sz w:val="24"/>
          <w:szCs w:val="24"/>
        </w:rPr>
      </w:pPr>
      <w:r>
        <w:rPr>
          <w:rFonts w:ascii="Arial" w:eastAsia="Arial" w:hAnsi="Arial" w:cs="Arial"/>
          <w:sz w:val="24"/>
          <w:szCs w:val="24"/>
        </w:rPr>
        <w:t xml:space="preserve">5. obavlja oporabu ili zbrinjavanje pošiljke otpada, koju je zaprimio od pravne ili fizičke osobe – obrtnika koji je prethodno pošiljku otpada obradio postupkom privremene oporabe ili privremenog zbrinjavanja, i ne dostavi potvrdu da je naknadni postupak privremene ili trajne oporabe ili postupak privremenog ili trajnog zbrinjavanja završen u roku od godinu dana nakon što je zaprimio otpad ili u roku koji je kraći od godinu dana od dana primitka pošiljke otpada ako je takav rok odredilo nadležno tijelo u odobrenju  (članak 15. stavak 5. Uredbe (EU) 2024/1157)</w:t>
      </w:r>
    </w:p>
    <w:p>
      <w:pPr>
        <w:pBdr/>
        <w:pStyle w:val="Normal"/>
        <w:spacing/>
        <w:ind/>
        <w:jc w:val="both"/>
        <w:rPr>
          <w:rFonts w:ascii="Arial" w:eastAsia="Arial" w:hAnsi="Arial" w:cs="Arial"/>
          <w:sz w:val="24"/>
          <w:szCs w:val="24"/>
        </w:rPr>
      </w:pPr>
      <w:r>
        <w:rPr>
          <w:rFonts w:ascii="Arial" w:eastAsia="Arial" w:hAnsi="Arial" w:cs="Arial"/>
          <w:sz w:val="24"/>
          <w:szCs w:val="24"/>
        </w:rPr>
        <w:t xml:space="preserve">6. je podnositelj obavijesti i nije dostavio nadležnim tijelima i drugim fizičkim i pravnim osobama uključenima u otpremu dva radna dana prije početka otpreme stvarni datum otpreme ili nije popunio dokument o prometu u mjeri u kojoj je to bilo moguće, u skladu s uputama za popunjavanje obrazaca obavijesti i dokumenata o prometu iz priloga I.A i I.B u skladu s Prilogom I.C (članak 16. stavak 2. Uredbe (EU) 2024/1157)</w:t>
      </w:r>
    </w:p>
    <w:p>
      <w:pPr>
        <w:pBdr/>
        <w:pStyle w:val="Normal"/>
        <w:spacing/>
        <w:ind/>
        <w:jc w:val="both"/>
        <w:rPr>
          <w:rFonts w:ascii="Arial" w:eastAsia="Arial" w:hAnsi="Arial" w:cs="Arial"/>
          <w:sz w:val="24"/>
          <w:szCs w:val="24"/>
        </w:rPr>
      </w:pPr>
      <w:r>
        <w:rPr>
          <w:rFonts w:ascii="Arial" w:eastAsia="Arial" w:hAnsi="Arial" w:cs="Arial"/>
          <w:sz w:val="24"/>
          <w:szCs w:val="24"/>
        </w:rPr>
        <w:t xml:space="preserve">7. je podnositelj obavijesti i nije učinio dostupnim nadležnim tijelima i tijelima uključenima u inspekcijski nadzor u elektroničkom obliku, uključujući tijekom prijevoza otpada obrazac obavijesti koji sadrži odobrenja nadležnih tijela i uvjete tih nadležnih tijela, uključujući tijekom prijevoza otpada (članak 16. stavak 4. Uredbe (EU) 2024/1157)</w:t>
      </w:r>
    </w:p>
    <w:p>
      <w:pPr>
        <w:pBdr/>
        <w:pStyle w:val="Normal"/>
        <w:spacing/>
        <w:ind/>
        <w:jc w:val="both"/>
        <w:rPr>
          <w:rFonts w:ascii="Arial" w:eastAsia="Arial" w:hAnsi="Arial" w:cs="Arial"/>
          <w:sz w:val="24"/>
          <w:szCs w:val="24"/>
        </w:rPr>
      </w:pPr>
      <w:r>
        <w:rPr>
          <w:rFonts w:ascii="Arial" w:eastAsia="Arial" w:hAnsi="Arial" w:cs="Arial"/>
          <w:sz w:val="24"/>
          <w:szCs w:val="24"/>
        </w:rPr>
        <w:t xml:space="preserve">8. je podnositelj obavijesti ili prijevoznik i nije osigurao da su dokumenti iz stavaka 1. i 3. članka 16. stavka 2. Uredbe (EU) 2024/1157, koji nisu dostupni elektroničkim putem tijekom prijevoza otpada, dostupni na odgovarajući način u prijevoznom vozilu ili je podnositelj obavijesti koji u takvom slučaju nije osigurao da su se sve izmjene ili dopune dokumenata tijekom prijevoza otpada podnijele putem sustava iz članka 27. Uredbe (EU) 2024/1157 (članak 16. stavak 4. Uredbe (EU) 2024/1157)</w:t>
      </w:r>
    </w:p>
    <w:p>
      <w:pPr>
        <w:pBdr/>
        <w:pStyle w:val="Normal"/>
        <w:spacing/>
        <w:ind/>
        <w:jc w:val="both"/>
        <w:rPr>
          <w:rFonts w:ascii="Arial" w:eastAsia="Arial" w:hAnsi="Arial" w:cs="Arial"/>
          <w:sz w:val="24"/>
          <w:szCs w:val="24"/>
        </w:rPr>
      </w:pPr>
      <w:r>
        <w:rPr>
          <w:rFonts w:ascii="Arial" w:eastAsia="Arial" w:hAnsi="Arial" w:cs="Arial"/>
          <w:sz w:val="24"/>
          <w:szCs w:val="24"/>
        </w:rPr>
        <w:t xml:space="preserve">9. obavlja oporabu ili zbrinjavanje pošiljke otpada i nije u roku od dva radna dana od primitka pošiljke otpada dostavila potvrdu podnositelju obavijesti i nadležnim tijelima da je pošiljka otpada primljena (članak 16. stavak 5. Uredbe (EU) 2024/1157)</w:t>
      </w:r>
    </w:p>
    <w:p>
      <w:pPr>
        <w:pBdr/>
        <w:pStyle w:val="Normal"/>
        <w:spacing/>
        <w:ind/>
        <w:jc w:val="both"/>
        <w:rPr>
          <w:rFonts w:ascii="Arial" w:eastAsia="Arial" w:hAnsi="Arial" w:cs="Arial"/>
          <w:sz w:val="24"/>
          <w:szCs w:val="24"/>
        </w:rPr>
      </w:pPr>
      <w:r>
        <w:rPr>
          <w:rFonts w:ascii="Arial" w:eastAsia="Arial" w:hAnsi="Arial" w:cs="Arial"/>
          <w:sz w:val="24"/>
          <w:szCs w:val="24"/>
        </w:rPr>
        <w:t xml:space="preserve">10. obavlja postupak trajne oporabe ili trajnog zbrinjavanja i nije podnositelju obavijesti i nadležnim tijelima dostavio potvrdu da je trajna oporaba ili trajno zbrinjavanje odgovarajuće pošiljke otpada završeno u roku od 30 dana od završetka tog postupka ili u roku od godine dana od dana primitka pošiljke otpada ili u roku koji je kraći od godinu dana od dana primitka pošiljke otpada ako je takav rok odredilo nadležno tijelo u odobrenju (članak 16. stavak 6. Uredbe (EU) 2024/1157)</w:t>
      </w:r>
    </w:p>
    <w:p>
      <w:pPr>
        <w:pBdr/>
        <w:pStyle w:val="Normal"/>
        <w:spacing/>
        <w:ind/>
        <w:jc w:val="both"/>
        <w:rPr>
          <w:rFonts w:ascii="Arial" w:eastAsia="Arial" w:hAnsi="Arial" w:cs="Arial"/>
          <w:sz w:val="24"/>
          <w:szCs w:val="24"/>
        </w:rPr>
      </w:pPr>
      <w:r>
        <w:rPr>
          <w:rFonts w:ascii="Arial" w:eastAsia="Arial" w:hAnsi="Arial" w:cs="Arial"/>
          <w:sz w:val="24"/>
          <w:szCs w:val="24"/>
        </w:rPr>
        <w:t xml:space="preserve">11. je podnositelj obavijesti i ako o bitnim promjenama u pojedinostima ili uvjetima odobrenja, nije odmah obavijestio relevantna nadležna tijela i primatelja (članak 17. stavak 1. Uredbe (EU) 2024/1157)</w:t>
      </w:r>
    </w:p>
    <w:p>
      <w:pPr>
        <w:pBdr/>
        <w:pStyle w:val="Normal"/>
        <w:spacing/>
        <w:ind/>
        <w:jc w:val="both"/>
        <w:rPr>
          <w:rFonts w:ascii="Arial" w:eastAsia="Arial" w:hAnsi="Arial" w:cs="Arial"/>
          <w:sz w:val="24"/>
          <w:szCs w:val="24"/>
        </w:rPr>
      </w:pPr>
      <w:r>
        <w:rPr>
          <w:rFonts w:ascii="Arial" w:eastAsia="Arial" w:hAnsi="Arial" w:cs="Arial"/>
          <w:sz w:val="24"/>
          <w:szCs w:val="24"/>
        </w:rPr>
        <w:t xml:space="preserve">12. osoba koja organizira otpremu ili prevozi pošiljku otpada i nije učinila dostupnim informacije iz članka 18. stavaka 4. i 5. Uredbe (EU) 2024/1157 elektroničkim putem za vrijeme prijevoza pošiljke otpada pri čemu osoba koja organizira otpremu i osoba koja prevozi pošiljku otpada nisu osigurale da su informacije iz članka 18. stavaka 4. i 5. Uredbe (EU) 2024/1157 bile dostupne u vozilu za prijevoz za vrijeme prijevoza pošiljke otpada ili su bile dostupne ali informacije nisu odgovarale informacijama koje su bile dostupne elektroničkim putem u skladu sa člankom 18. stavcima 4. i 5. (EU) 2024/1157 (članak 18. stavak 6. Uredbe (EU) 2024/1157)</w:t>
      </w:r>
    </w:p>
    <w:p>
      <w:pPr>
        <w:pBdr/>
        <w:pStyle w:val="Normal"/>
        <w:spacing/>
        <w:ind/>
        <w:jc w:val="both"/>
        <w:rPr>
          <w:rFonts w:ascii="Arial" w:eastAsia="Arial" w:hAnsi="Arial" w:cs="Arial"/>
          <w:sz w:val="24"/>
          <w:szCs w:val="24"/>
        </w:rPr>
      </w:pPr>
      <w:r>
        <w:rPr>
          <w:rFonts w:ascii="Arial" w:eastAsia="Arial" w:hAnsi="Arial" w:cs="Arial"/>
          <w:sz w:val="24"/>
          <w:szCs w:val="24"/>
        </w:rPr>
        <w:t xml:space="preserve">13. upravlja postrojenjem za oporabu ili laboratorijem i u roku od dva radna dana od primitka pošiljke otpada nije ispunila odgovarajuće informacije iz Priloga VII. Uredbe (EU) 2024/1157) ili nije osobi koja organizira otpremu potvrdila da je pošiljka otpada primljena (članak 18. stavak 8. Uredbe (EU) 2024/1157)</w:t>
      </w:r>
    </w:p>
    <w:p>
      <w:pPr>
        <w:pBdr/>
        <w:pStyle w:val="Normal"/>
        <w:spacing/>
        <w:ind/>
        <w:jc w:val="both"/>
        <w:rPr>
          <w:rFonts w:ascii="Arial" w:eastAsia="Arial" w:hAnsi="Arial" w:cs="Arial"/>
          <w:sz w:val="24"/>
          <w:szCs w:val="24"/>
        </w:rPr>
      </w:pPr>
      <w:r>
        <w:rPr>
          <w:rFonts w:ascii="Arial" w:eastAsia="Arial" w:hAnsi="Arial" w:cs="Arial"/>
          <w:sz w:val="24"/>
          <w:szCs w:val="24"/>
        </w:rPr>
        <w:t xml:space="preserve">14. upravlja postrojenjem za oporabu i nije dostavila potvrdu da je oporaba završena ispunjavanjem odgovarajućih informacija iz Priloga VII. Uredbe (EU) 2024/1157 u roku od 30 dana od završetka oporabe ili godinu dana od dana preuzimanja otpada (članak 18. stavak 9. Uredbe (EU) 2024/</w:t>
      </w:r>
      <w:r>
        <w:rPr>
          <w:rFonts w:ascii="Arial" w:eastAsia="Arial" w:hAnsi="Arial" w:cs="Arial"/>
          <w:sz w:val="24"/>
          <w:szCs w:val="24"/>
        </w:rPr>
        <w:t xml:space="preserve">1157)</w:t>
      </w:r>
    </w:p>
    <w:p>
      <w:pPr>
        <w:pBdr/>
        <w:pStyle w:val="Normal"/>
        <w:spacing/>
        <w:ind/>
        <w:jc w:val="both"/>
        <w:rPr>
          <w:rFonts w:ascii="Arial" w:eastAsia="Arial" w:hAnsi="Arial" w:cs="Arial"/>
          <w:sz w:val="24"/>
          <w:szCs w:val="24"/>
        </w:rPr>
      </w:pPr>
      <w:r>
        <w:rPr>
          <w:rFonts w:ascii="Arial" w:eastAsia="Arial" w:hAnsi="Arial" w:cs="Arial"/>
          <w:sz w:val="24"/>
          <w:szCs w:val="24"/>
        </w:rPr>
        <w:t xml:space="preserve">15. je podnositelj obavijesti, primatelj ili postrojenje koje prima otpad i nije čuvalo sve informacije i dokumente koji se podnose ili razmjenjuju u EU u svezi s pošiljkama prijavljenima u obavijesti pet godina od datuma dostavljanja potvrde u skladu s člankom 15. stavkom 4. ili člankom 16. stavkom 6. Uredbe (EU) 2024/1157 (članak 20. Uredbe (EU) 2024/1157)</w:t>
      </w:r>
    </w:p>
    <w:p>
      <w:pPr>
        <w:pBdr/>
        <w:pStyle w:val="Normal"/>
        <w:spacing/>
        <w:ind/>
        <w:jc w:val="both"/>
        <w:rPr>
          <w:rFonts w:ascii="Arial" w:eastAsia="Arial" w:hAnsi="Arial" w:cs="Arial"/>
          <w:sz w:val="24"/>
          <w:szCs w:val="24"/>
        </w:rPr>
      </w:pPr>
      <w:r>
        <w:rPr>
          <w:rFonts w:ascii="Arial" w:eastAsia="Arial" w:hAnsi="Arial" w:cs="Arial"/>
          <w:sz w:val="24"/>
          <w:szCs w:val="24"/>
        </w:rPr>
        <w:t xml:space="preserve">16. je osoba koja organizira otpremu ili primatelj ili postrojenje koje prima otpad i nije čuvalo u EU informacije dostavljene na temelju članka 18. Uredbe (EU) 2024/1157 pet godina od datuma dostavljanja potvrde u skladu s člankom 18. stavkom 9. Uredbe (EU) 2024/1157 (članak 20. Uredbe (EU) 2024/1157)</w:t>
      </w:r>
    </w:p>
    <w:p>
      <w:pPr>
        <w:pBdr/>
        <w:pStyle w:val="Normal"/>
        <w:spacing/>
        <w:ind/>
        <w:jc w:val="both"/>
        <w:rPr>
          <w:rFonts w:ascii="Arial" w:eastAsia="Arial" w:hAnsi="Arial" w:cs="Arial"/>
          <w:sz w:val="24"/>
          <w:szCs w:val="24"/>
        </w:rPr>
      </w:pPr>
      <w:r>
        <w:rPr>
          <w:rFonts w:ascii="Arial" w:eastAsia="Arial" w:hAnsi="Arial" w:cs="Arial"/>
          <w:sz w:val="24"/>
          <w:szCs w:val="24"/>
        </w:rPr>
        <w:t xml:space="preserve">17. je podnositelj obavijesti ili osoba koja organizira otpremu ili je prevezla otpad pri čemu je za izvezenu pošiljku otpada propisana člankom 37. stavkom 1. Uredbe (EU) 2024/1157 zabrana izvoza i ne primjenjuje se iznimka propisana člankom 37. stavkom 2. 3. ili 4. Uredbe (EU) 2024/1157 (članak 37. stavak 1. Uredbe (EU) 2024/1157)</w:t>
      </w:r>
    </w:p>
    <w:p>
      <w:pPr>
        <w:pBdr/>
        <w:pStyle w:val="Normal"/>
        <w:spacing/>
        <w:ind/>
        <w:jc w:val="both"/>
        <w:rPr>
          <w:rFonts w:ascii="Arial" w:eastAsia="Arial" w:hAnsi="Arial" w:cs="Arial"/>
          <w:sz w:val="24"/>
          <w:szCs w:val="24"/>
        </w:rPr>
      </w:pPr>
      <w:r>
        <w:rPr>
          <w:rFonts w:ascii="Arial" w:eastAsia="Arial" w:hAnsi="Arial" w:cs="Arial"/>
          <w:sz w:val="24"/>
          <w:szCs w:val="24"/>
        </w:rPr>
        <w:t xml:space="preserve">18. je podnositelj obavijesti ili osoba koja organizira otpremu ili je prevezla otpad pri čemu se pošiljka otpada namijenjena zbrinjavanju izvozi u zemlju članicu Europskog udruženja za slobodnu trgovinu koja je stranka Baselske konvencije i nisu bili ispunjeni uvjeti iz Glave II uz prilagodbe i dodatne odredbe propisane člankom 38. stavcima 2. i 3. Uredbe (EU) 2024/1157 (članak 38. stavak 1. Uredbe (EU) 2024/1157)</w:t>
      </w:r>
    </w:p>
    <w:p>
      <w:pPr>
        <w:pBdr/>
        <w:pStyle w:val="Normal"/>
        <w:spacing/>
        <w:ind/>
        <w:jc w:val="both"/>
        <w:rPr>
          <w:rFonts w:ascii="Arial" w:eastAsia="Arial" w:hAnsi="Arial" w:cs="Arial"/>
          <w:sz w:val="24"/>
          <w:szCs w:val="24"/>
        </w:rPr>
      </w:pPr>
      <w:r>
        <w:rPr>
          <w:rFonts w:ascii="Arial" w:eastAsia="Arial" w:hAnsi="Arial" w:cs="Arial"/>
          <w:sz w:val="24"/>
          <w:szCs w:val="24"/>
        </w:rPr>
        <w:t xml:space="preserve">19. je podnositelj obavijesti ili osoba koja organizira otpremu ili je prevezla otpad pri čemu nisu bili ispunjeni uvjeti propisani člankom 38. stavkom 4. Uredbe (EU) 2024/1157 (članak 38. stavak 4. Uredbe (EU) 2024/1157)</w:t>
      </w:r>
    </w:p>
    <w:p>
      <w:pPr>
        <w:pBdr/>
        <w:pStyle w:val="Normal"/>
        <w:spacing/>
        <w:ind/>
        <w:jc w:val="both"/>
        <w:rPr>
          <w:rFonts w:ascii="Arial" w:eastAsia="Arial" w:hAnsi="Arial" w:cs="Arial"/>
          <w:sz w:val="24"/>
          <w:szCs w:val="24"/>
        </w:rPr>
      </w:pPr>
      <w:r>
        <w:rPr>
          <w:rFonts w:ascii="Arial" w:eastAsia="Arial" w:hAnsi="Arial" w:cs="Arial"/>
          <w:sz w:val="24"/>
          <w:szCs w:val="24"/>
        </w:rPr>
        <w:t xml:space="preserve">20. je podnositelj obavijesti ili osoba koja organizira otpremu ili je prevezla otpad ili je bila uključena u otpremu pošiljke otpada namijenjenog oporabi u zemlju na koju se ne primjenjuje odluka OECD-</w:t>
      </w:r>
      <w:r>
        <w:rPr>
          <w:rFonts w:ascii="Arial" w:eastAsia="Arial" w:hAnsi="Arial" w:cs="Arial"/>
          <w:sz w:val="24"/>
          <w:szCs w:val="24"/>
        </w:rPr>
        <w:t xml:space="preserve">a pri čemu ta pošiljka nije obuhvaćena iznimkom propisanom člankom 39. stavkom 2. ili 3. Uredbe (EU) 2024/1157 (članak 39. stavak 1. Uredbe (EU) 2024/1157)</w:t>
      </w:r>
    </w:p>
    <w:p>
      <w:pPr>
        <w:pBdr/>
        <w:pStyle w:val="Normal"/>
        <w:spacing/>
        <w:ind/>
        <w:jc w:val="both"/>
        <w:rPr>
          <w:rFonts w:ascii="Arial" w:eastAsia="Arial" w:hAnsi="Arial" w:cs="Arial"/>
          <w:sz w:val="24"/>
          <w:szCs w:val="24"/>
        </w:rPr>
      </w:pPr>
      <w:r>
        <w:rPr>
          <w:rFonts w:ascii="Arial" w:eastAsia="Arial" w:hAnsi="Arial" w:cs="Arial"/>
          <w:sz w:val="24"/>
          <w:szCs w:val="24"/>
        </w:rPr>
        <w:t xml:space="preserve">21. je osoba koja organizira otpremu i izvezla je otpad iz članka 4. stavka 4. Uredbe (EU) 2024/1157 i nije osigurala da su informacije koje postrojenje treba dostaviti u skladu s člankom 18. stavcima 8. i 9. Uredbe (EU) 2024/1157 uključene u sustav iz članka 27. Uredbe (EU) 2024/1157 pri čemu ta postrojenja nisu povezana sa sustavom iz članka 27. Uredbe (EU) 2024/1157 (članak 44. stavak 4. Uredbe (EU) 2024/1157)</w:t>
      </w:r>
    </w:p>
    <w:p>
      <w:pPr>
        <w:pBdr/>
        <w:pStyle w:val="Normal"/>
        <w:spacing/>
        <w:ind/>
        <w:jc w:val="both"/>
        <w:rPr>
          <w:rFonts w:ascii="Arial" w:eastAsia="Arial" w:hAnsi="Arial" w:cs="Arial"/>
          <w:sz w:val="24"/>
          <w:szCs w:val="24"/>
        </w:rPr>
      </w:pPr>
      <w:r>
        <w:rPr>
          <w:rFonts w:ascii="Arial" w:eastAsia="Arial" w:hAnsi="Arial" w:cs="Arial"/>
          <w:sz w:val="24"/>
          <w:szCs w:val="24"/>
        </w:rPr>
        <w:t xml:space="preserve">22. je podnositelj obavijesti ili osoba koja organizira otpremu ili je prevezla otpad u neznatnoj količini ili je bila uključena u otpremu pošiljke otpada u neznatnoj količini pri čemu pošiljka otpada namijenjena oporabi je bila izvezena u postrojenje koje je u zemlji odredišta nije radilo prema mjerodavnom nacionalnom pravu ili nije imalo ovlaštenje za rad (članak 44. stavak 7. Uredbe (EU) 2024/1157)</w:t>
      </w:r>
    </w:p>
    <w:p>
      <w:pPr>
        <w:pBdr/>
        <w:pStyle w:val="Normal"/>
        <w:spacing/>
        <w:ind/>
        <w:jc w:val="both"/>
        <w:rPr>
          <w:rFonts w:ascii="Arial" w:eastAsia="Arial" w:hAnsi="Arial" w:cs="Arial"/>
          <w:sz w:val="24"/>
          <w:szCs w:val="24"/>
        </w:rPr>
      </w:pPr>
      <w:r>
        <w:rPr>
          <w:rFonts w:ascii="Arial" w:eastAsia="Arial" w:hAnsi="Arial" w:cs="Arial"/>
          <w:sz w:val="24"/>
          <w:szCs w:val="24"/>
        </w:rPr>
        <w:t xml:space="preserve">23. je podnositelj obavijesti ili osoba koja organizira otpremu i namjerava izvoziti otpad i nije prije izvoza otpada osigurala da je postrojenje koje će gospodariti otpadom u zemlji odredišta bilo predmet revizije iz članka 46. stavka 3. Uredbe (EU) 2024/1157  ili revizija nije provedena najviše dvije godine prije izvoza otpada u predmetno postrojenje ili tom revizijom nije dokazano da postrojenje ispunjava kriterije iz dijela B Priloga X Uredbe (EU) 2024/1157 (članak 46. stavak 5. Uredbe (EU) 2024/1157)</w:t>
      </w:r>
    </w:p>
    <w:p>
      <w:pPr>
        <w:pBdr/>
        <w:pStyle w:val="Normal"/>
        <w:spacing/>
        <w:ind/>
        <w:jc w:val="both"/>
        <w:rPr>
          <w:rFonts w:ascii="Arial" w:eastAsia="Arial" w:hAnsi="Arial" w:cs="Arial"/>
          <w:sz w:val="24"/>
          <w:szCs w:val="24"/>
        </w:rPr>
      </w:pPr>
      <w:r>
        <w:rPr>
          <w:rFonts w:ascii="Arial" w:eastAsia="Arial" w:hAnsi="Arial" w:cs="Arial"/>
          <w:sz w:val="24"/>
          <w:szCs w:val="24"/>
        </w:rPr>
        <w:t xml:space="preserve">24. je podnositelj obavijesti ili osoba koja organizira otpremu i koja je naručila reviziju za određeno postrojenje u skladu sa člankom 46. stavkom 3. Uredbe (EU) 2024/1157 i nije osigurala da ta revizija bude dostupna drugim podnositeljima obavijesti ili osobama koje organiziraju otpremu koje namjeravaju izvoziti otpad u relevantno postrojenje (članak 46. stavak 6. Uredbe (EU) 2024/1157)</w:t>
      </w:r>
    </w:p>
    <w:p>
      <w:pPr>
        <w:pBdr/>
        <w:pStyle w:val="Normal"/>
        <w:spacing/>
        <w:ind/>
        <w:jc w:val="both"/>
        <w:rPr>
          <w:rFonts w:ascii="Arial" w:eastAsia="Arial" w:hAnsi="Arial" w:cs="Arial"/>
          <w:sz w:val="24"/>
          <w:szCs w:val="24"/>
        </w:rPr>
      </w:pPr>
      <w:r>
        <w:rPr>
          <w:rFonts w:ascii="Arial" w:eastAsia="Arial" w:hAnsi="Arial" w:cs="Arial"/>
          <w:sz w:val="24"/>
          <w:szCs w:val="24"/>
        </w:rPr>
        <w:t xml:space="preserve">25. je podnositelj obavijesti ili osoba koja organizira otpremu i nije obavijestila Europsku komisiju o revizijama naručenima u skladu sa stavcima 3. i 5., kojima je dokazano da postrojenje ispunjava kriterije iz dijela B Priloga X. ili obavijest ne sadrži informacije propisane člankom 46. stavkom 7. Uredbe (EU) 2024/1157) (članak 46. stavak 7. Uredbe (EU) 2024/1157)</w:t>
      </w:r>
    </w:p>
    <w:p>
      <w:pPr>
        <w:pBdr/>
        <w:pStyle w:val="Normal"/>
        <w:spacing/>
        <w:ind/>
        <w:jc w:val="both"/>
        <w:rPr>
          <w:rFonts w:ascii="Arial" w:eastAsia="Arial" w:hAnsi="Arial" w:cs="Arial"/>
          <w:sz w:val="24"/>
          <w:szCs w:val="24"/>
        </w:rPr>
      </w:pPr>
      <w:r>
        <w:rPr>
          <w:rFonts w:ascii="Arial" w:eastAsia="Arial" w:hAnsi="Arial" w:cs="Arial"/>
          <w:sz w:val="24"/>
          <w:szCs w:val="24"/>
        </w:rPr>
        <w:t xml:space="preserve">26. je podnositelj obavijesti ili osoba koja organizira otpremu i koja je izvezla otpad u neznatnoj količini i nije najmanje jednom godišnje u elektroničkom obliku objavila informacije o tome kako ispunjava obveze propisane člankom 46. Uredbe (EU) 2024/1157 (članak 46. stavak 10. Uredbe (EU) 2024/1157)</w:t>
      </w:r>
    </w:p>
    <w:p>
      <w:pPr>
        <w:pBdr/>
        <w:pStyle w:val="Normal"/>
        <w:spacing/>
        <w:ind/>
        <w:jc w:val="both"/>
        <w:rPr>
          <w:rFonts w:ascii="Arial" w:eastAsia="Arial" w:hAnsi="Arial" w:cs="Arial"/>
          <w:sz w:val="24"/>
          <w:szCs w:val="24"/>
        </w:rPr>
      </w:pPr>
      <w:r>
        <w:rPr>
          <w:rFonts w:ascii="Arial" w:eastAsia="Arial" w:hAnsi="Arial" w:cs="Arial"/>
          <w:sz w:val="24"/>
          <w:szCs w:val="24"/>
        </w:rPr>
        <w:t xml:space="preserve">27. je otpremila, prevezla ili organizirala izvoz pošiljke otpada u neznatnoj količini namijenjenu zbrinjavanju u prekomorsku zemlju ili područje (članak 49. Uredbe (EU) 2024/1157)</w:t>
      </w:r>
    </w:p>
    <w:p>
      <w:pPr>
        <w:pBdr/>
        <w:pStyle w:val="Normal"/>
        <w:spacing/>
        <w:ind/>
        <w:jc w:val="both"/>
        <w:rPr>
          <w:rFonts w:ascii="Arial" w:eastAsia="Arial" w:hAnsi="Arial" w:cs="Arial"/>
          <w:sz w:val="24"/>
          <w:szCs w:val="24"/>
        </w:rPr>
      </w:pPr>
      <w:r>
        <w:rPr>
          <w:rFonts w:ascii="Arial" w:eastAsia="Arial" w:hAnsi="Arial" w:cs="Arial"/>
          <w:sz w:val="24"/>
          <w:szCs w:val="24"/>
        </w:rPr>
        <w:t xml:space="preserve">28. je otpremila, prevezla, organizirala otpremu ili zaprimila pošiljku otpada namijenjenu zbrinjavanju iz uvoza pri čemu nije primjenjiva iznimka propisana člankom 50. stavkom 1. Uredbe (EU) 2024/1157 ili ne postoji bilateralni sporazum ili drugačiji međudržavni dogovor propisan člankom 50. stavkom 2. Uredbe (EU) 2024/1157 (članak 50. stavak 1. Uredbe (EU) 2024/1157)</w:t>
      </w:r>
    </w:p>
    <w:p>
      <w:pPr>
        <w:pBdr/>
        <w:pStyle w:val="Normal"/>
        <w:spacing/>
        <w:ind/>
        <w:jc w:val="both"/>
        <w:rPr>
          <w:rFonts w:ascii="Arial" w:eastAsia="Arial" w:hAnsi="Arial" w:cs="Arial"/>
          <w:sz w:val="24"/>
          <w:szCs w:val="24"/>
        </w:rPr>
      </w:pPr>
      <w:r>
        <w:rPr>
          <w:rFonts w:ascii="Arial" w:eastAsia="Arial" w:hAnsi="Arial" w:cs="Arial"/>
          <w:sz w:val="24"/>
          <w:szCs w:val="24"/>
        </w:rPr>
        <w:t xml:space="preserve">29. je otpremila, prevezla, organizirala otpremu ili zaprimila pošiljku otpada namijenjenu zbrinjavanju, a nisu bili ispunjeni svi uvjeti propisani člankom 51. stavkom 4. Uredbe (EU) 2024/1157 (članak 51. Uredbe (EU) 2024/1157)</w:t>
      </w:r>
    </w:p>
    <w:p>
      <w:pPr>
        <w:pBdr/>
        <w:pStyle w:val="Normal"/>
        <w:spacing/>
        <w:ind/>
        <w:jc w:val="both"/>
        <w:rPr>
          <w:rFonts w:ascii="Arial" w:eastAsia="Arial" w:hAnsi="Arial" w:cs="Arial"/>
          <w:sz w:val="24"/>
          <w:szCs w:val="24"/>
        </w:rPr>
      </w:pPr>
      <w:r>
        <w:rPr>
          <w:rFonts w:ascii="Arial" w:eastAsia="Arial" w:hAnsi="Arial" w:cs="Arial"/>
          <w:sz w:val="24"/>
          <w:szCs w:val="24"/>
        </w:rPr>
        <w:t xml:space="preserve">30. je proizvođač otpada, podnositelj obavijesti, osoba koja organizira otpremu ili je pravna osoba uključena u otpremu, oporabu ili zbrinjavanje otpada i uvezla je otpad namijenjen oporabi koji nije obuhvaćen iznimkom propisanom člankom 52. Uredbe (EU) 2024/1157 (članak 52. stavak 1. Uredbe (EU) 2024/1157)</w:t>
      </w:r>
    </w:p>
    <w:p>
      <w:pPr>
        <w:pBdr/>
        <w:pStyle w:val="Normal"/>
        <w:spacing/>
        <w:ind/>
        <w:jc w:val="both"/>
        <w:rPr>
          <w:rFonts w:ascii="Arial" w:eastAsia="Arial" w:hAnsi="Arial" w:cs="Arial"/>
          <w:sz w:val="24"/>
          <w:szCs w:val="24"/>
        </w:rPr>
      </w:pPr>
      <w:r>
        <w:rPr>
          <w:rFonts w:ascii="Arial" w:eastAsia="Arial" w:hAnsi="Arial" w:cs="Arial"/>
          <w:sz w:val="24"/>
          <w:szCs w:val="24"/>
        </w:rPr>
        <w:t xml:space="preserve">31. je otpremila pošiljku otpada, prevezla, organizirala otpremu ili zaprimila, a nisu bili ispunjeni svi uvjeti propisani člankom 53. stavkom 4. Uredbe (EU) 2024/1157 (članak 53. Uredbe (EU) 2024/1157)</w:t>
      </w:r>
    </w:p>
    <w:p>
      <w:pPr>
        <w:pBdr/>
        <w:pStyle w:val="Normal"/>
        <w:spacing/>
        <w:ind/>
        <w:jc w:val="both"/>
        <w:rPr>
          <w:rFonts w:ascii="Arial" w:eastAsia="Arial" w:hAnsi="Arial" w:cs="Arial"/>
          <w:sz w:val="24"/>
          <w:szCs w:val="24"/>
        </w:rPr>
      </w:pPr>
      <w:r>
        <w:rPr>
          <w:rFonts w:ascii="Arial" w:eastAsia="Arial" w:hAnsi="Arial" w:cs="Arial"/>
          <w:sz w:val="24"/>
          <w:szCs w:val="24"/>
        </w:rPr>
        <w:t xml:space="preserve">32. je proizvođač otpada, podnositelj obavijesti, osoba koja organizira otpremu ili je pravna osoba uključena u otpremu, oporabu ili zbrinjavanje otpada i tijekom otpreme, oporabe ili zbrinjavanja nije poduzela potrebne korake kako bi osigurala da se sa otpadom gospodari na način na koji se ne ugrožava zdravlje ljudi ili koji je prihvatljiv za okoliš (članak 59. stavak 1. Uredbe (EU) 2024/1157).</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(2) Za prekršaj iz stavka 1. ovoga članka kaznit će se i odgovorna osoba u pravnoj osobi iz stavka 1. ovoga članka novčanom kaznom u iznosu od 2.000,00 do 6.500,00 eura.</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(3) Za prekršaj iz stavka 1. ovoga članka kaznit će se fizička osoba – obrtnik novčanom kaznom u iznosu od 2.000,00 do 6.500,00 eura.</w:t>
      </w:r>
    </w:p>
    <w:p>
      <w:pPr>
        <w:pBdr/>
        <w:pStyle w:val="Heading 1"/>
        <w:spacing/>
        <w:ind/>
        <w:jc w:val="center"/>
        <w:rPr>
          <w:rFonts w:ascii="Arial" w:eastAsia="Arial" w:hAnsi="Arial" w:cs="Arial"/>
          <w:b/>
          <w:bCs/>
          <w:sz w:val="24"/>
          <w:szCs w:val="24"/>
        </w:rPr>
      </w:pPr>
      <w:r>
        <w:rPr>
          <w:rFonts w:ascii="Arial" w:eastAsia="Arial" w:hAnsi="Arial" w:cs="Arial"/>
          <w:b/>
          <w:bCs/>
          <w:sz w:val="24"/>
          <w:szCs w:val="24"/>
        </w:rPr>
        <w:t xml:space="preserve">Članak 23.</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(1) Novčanom kaznom u iznosu od 10.000,00 do 100.000,00 eura i zabranom sudjelovanja u postupcima javne nabave na rok od jedne godine u skladu s člankom 63. stavkom 3. točkom c) Uredbe (EU) 2024/1157) kaznit će se za prekršaj pravna osoba koja:</w:t>
      </w:r>
    </w:p>
    <w:p>
      <w:pPr>
        <w:pBdr/>
        <w:pStyle w:val="Normal"/>
        <w:spacing/>
        <w:ind/>
        <w:jc w:val="both"/>
        <w:rPr>
          <w:rFonts w:ascii="Arial" w:eastAsia="Arial" w:hAnsi="Arial" w:cs="Arial"/>
          <w:sz w:val="24"/>
          <w:szCs w:val="24"/>
        </w:rPr>
      </w:pPr>
      <w:r>
        <w:rPr>
          <w:rFonts w:ascii="Arial" w:eastAsia="Arial" w:hAnsi="Arial" w:cs="Arial"/>
          <w:sz w:val="24"/>
          <w:szCs w:val="24"/>
        </w:rPr>
        <w:t xml:space="preserve">1. je podnositelj obavijesti ili primatelj ili prevozi ili posreduje u prekograničnom prometu  zabranjene pošiljke otpada u neznatnoj količini za koju nije ishođeno odobrenje nadležnog tijela (članak 4. stavak 1. Uredbe (EU) 2024/1157)</w:t>
      </w:r>
    </w:p>
    <w:p>
      <w:pPr>
        <w:pBdr/>
        <w:pStyle w:val="Normal"/>
        <w:spacing/>
        <w:ind/>
        <w:jc w:val="both"/>
        <w:rPr>
          <w:rFonts w:ascii="Arial" w:eastAsia="Arial" w:hAnsi="Arial" w:cs="Arial"/>
          <w:sz w:val="24"/>
          <w:szCs w:val="24"/>
        </w:rPr>
      </w:pPr>
      <w:r>
        <w:rPr>
          <w:rFonts w:ascii="Arial" w:eastAsia="Arial" w:hAnsi="Arial" w:cs="Arial"/>
          <w:sz w:val="24"/>
          <w:szCs w:val="24"/>
        </w:rPr>
        <w:t xml:space="preserve">2. je podnositelj obavijesti i otpremi pošiljku otpada u neznatnoj količini iz članka 4. stavka 1. ili 2. ili 3. Uredbe (EU) 2024/1157 (članak 5. stavak 1. Uredbe (EU) 2024/1157)</w:t>
      </w:r>
    </w:p>
    <w:p>
      <w:pPr>
        <w:pBdr/>
        <w:pStyle w:val="Normal"/>
        <w:spacing/>
        <w:ind/>
        <w:jc w:val="both"/>
        <w:rPr>
          <w:rFonts w:ascii="Arial" w:eastAsia="Arial" w:hAnsi="Arial" w:cs="Arial"/>
          <w:sz w:val="24"/>
          <w:szCs w:val="24"/>
        </w:rPr>
      </w:pPr>
      <w:r>
        <w:rPr>
          <w:rFonts w:ascii="Arial" w:eastAsia="Arial" w:hAnsi="Arial" w:cs="Arial"/>
          <w:sz w:val="24"/>
          <w:szCs w:val="24"/>
        </w:rPr>
        <w:t xml:space="preserve">3. koja organizira otpremu i otpremila je pošiljku otpada u neznatnoj količini u postrojenje za oporabu otpada koje nije imalo dozvolu ili nije bilo registrirano u skladu s Poglavljem IV. Direktive 2008/98/EZ Europskog parlamenta i Vijeća od 19. studenoga 2008. o otpadu i stavljanju izvan snage određenih direktiva (SL L 312, 22. 11. 2008.)  (članak 18. stavak 3. Uredbe (EU) 2024/1157)</w:t>
      </w:r>
    </w:p>
    <w:p>
      <w:pPr>
        <w:pBdr/>
        <w:pStyle w:val="Normal"/>
        <w:spacing/>
        <w:ind/>
        <w:jc w:val="both"/>
        <w:rPr>
          <w:rFonts w:ascii="Arial" w:eastAsia="Arial" w:hAnsi="Arial" w:cs="Arial"/>
          <w:sz w:val="24"/>
          <w:szCs w:val="24"/>
        </w:rPr>
      </w:pPr>
      <w:r>
        <w:rPr>
          <w:rFonts w:ascii="Arial" w:eastAsia="Arial" w:hAnsi="Arial" w:cs="Arial"/>
          <w:sz w:val="24"/>
          <w:szCs w:val="24"/>
        </w:rPr>
        <w:t xml:space="preserve">4. je pomiješala otpad u neznatnoj količini iz pošiljke navedene u obavijesti s drugim otpadom ili drugim tvarima ili predmetima u vremenu od početka otpreme do primitka pošiljke otpada u postrojenju za oporabu ili zbrinjavanje otpada (članak 19. Uredbe (EU) 2024/1157)</w:t>
      </w:r>
    </w:p>
    <w:p>
      <w:pPr>
        <w:pBdr/>
        <w:pStyle w:val="Normal"/>
        <w:spacing/>
        <w:ind/>
        <w:jc w:val="both"/>
        <w:rPr>
          <w:rFonts w:ascii="Arial" w:eastAsia="Arial" w:hAnsi="Arial" w:cs="Arial"/>
          <w:sz w:val="24"/>
          <w:szCs w:val="24"/>
        </w:rPr>
      </w:pPr>
      <w:r>
        <w:rPr>
          <w:rFonts w:ascii="Arial" w:eastAsia="Arial" w:hAnsi="Arial" w:cs="Arial"/>
          <w:sz w:val="24"/>
          <w:szCs w:val="24"/>
        </w:rPr>
        <w:t xml:space="preserve">5. je podnositelj obavijesti ili osoba koja organizira otpremu ili je prevezla otpad u neznatnoj količini ili je bila uključena u otpremu pošiljke otpada u neznatnoj količini namijenjenog oporabi za koju je člankom 40. stavkom 1. Uredbe (EU) 2024/1157 propisana zabrana izvoza, a ta pošiljka nije obuhvaćena iznimkom propisanom člankom 40. stavkom 2., 3. ili 4. Uredbe (EU) 2024/1157 (članak 40. stavak 1. Uredbe (EU) 2024/1157)</w:t>
      </w:r>
    </w:p>
    <w:p>
      <w:pPr>
        <w:pBdr/>
        <w:pStyle w:val="Normal"/>
        <w:spacing/>
        <w:ind/>
        <w:jc w:val="both"/>
        <w:rPr>
          <w:rFonts w:ascii="Arial" w:eastAsia="Arial" w:hAnsi="Arial" w:cs="Arial"/>
          <w:sz w:val="24"/>
          <w:szCs w:val="24"/>
        </w:rPr>
      </w:pPr>
      <w:r>
        <w:rPr>
          <w:rFonts w:ascii="Arial" w:eastAsia="Arial" w:hAnsi="Arial" w:cs="Arial"/>
          <w:sz w:val="24"/>
          <w:szCs w:val="24"/>
        </w:rPr>
        <w:t xml:space="preserve">6. je podnositelj obavijesti ili osoba koja organizira otpremu ili je prevezla otpad u neznatnoj količini ili je bila uključena u otpremu pošiljke otpada u neznatnoj količini koja podliježe postupku prethodne pisane obavijesti i odobrenja pri čemu je pošiljka otpremljena bez da su bili ispunjeni svi uvjeti propisani člankom 44. stavkom 5. Uredbe (EU) 2024/1157 (članak 44. stavak 5. Uredbe (EU) 2024/1157)</w:t>
      </w:r>
    </w:p>
    <w:p>
      <w:pPr>
        <w:pBdr/>
        <w:pStyle w:val="Normal"/>
        <w:spacing/>
        <w:ind/>
        <w:jc w:val="both"/>
        <w:rPr>
          <w:rFonts w:ascii="Arial" w:eastAsia="Arial" w:hAnsi="Arial" w:cs="Arial"/>
          <w:sz w:val="24"/>
          <w:szCs w:val="24"/>
        </w:rPr>
      </w:pPr>
      <w:r>
        <w:rPr>
          <w:rFonts w:ascii="Arial" w:eastAsia="Arial" w:hAnsi="Arial" w:cs="Arial"/>
          <w:sz w:val="24"/>
          <w:szCs w:val="24"/>
        </w:rPr>
        <w:t xml:space="preserve">7. je podnositelj obavijesti ili osoba koja organizira otpremu i izvezla je otpad u neznatnoj količini bez da je dokazala da će postrojenja koja će primati otpad u zemlji odredišta gospodariti njime na način prihvatljiv za okoliš iz članka 59. Uredbe (EU) 2024/1157 (članak 46. stavak 1. Uredbe (EU) 2024/1157)</w:t>
      </w:r>
    </w:p>
    <w:p>
      <w:pPr>
        <w:pBdr/>
        <w:pStyle w:val="Normal"/>
        <w:spacing/>
        <w:ind/>
        <w:jc w:val="both"/>
        <w:rPr>
          <w:rFonts w:ascii="Arial" w:eastAsia="Arial" w:hAnsi="Arial" w:cs="Arial"/>
          <w:sz w:val="24"/>
          <w:szCs w:val="24"/>
        </w:rPr>
      </w:pPr>
      <w:r>
        <w:rPr>
          <w:rFonts w:ascii="Arial" w:eastAsia="Arial" w:hAnsi="Arial" w:cs="Arial"/>
          <w:sz w:val="24"/>
          <w:szCs w:val="24"/>
        </w:rPr>
        <w:t xml:space="preserve">8. je podnositelj obavijesti ili osoba koja organizira otpremu izvezla  otpad u neznatnoj količini u postrojenje koje ne ispunjava kriterije utvrđene u dijelu B Priloga X. Uredbe (EU) 2024/1157 (članak 46. stavak 2. Uredbe (EU) 2024/1157)</w:t>
      </w:r>
    </w:p>
    <w:p>
      <w:pPr>
        <w:pBdr/>
        <w:pStyle w:val="Normal"/>
        <w:spacing/>
        <w:ind/>
        <w:jc w:val="both"/>
        <w:rPr>
          <w:rFonts w:ascii="Arial" w:eastAsia="Arial" w:hAnsi="Arial" w:cs="Arial"/>
          <w:sz w:val="24"/>
          <w:szCs w:val="24"/>
        </w:rPr>
      </w:pPr>
      <w:r>
        <w:rPr>
          <w:rFonts w:ascii="Arial" w:eastAsia="Arial" w:hAnsi="Arial" w:cs="Arial"/>
          <w:sz w:val="24"/>
          <w:szCs w:val="24"/>
        </w:rPr>
        <w:t xml:space="preserve">9. je otpremila, prevezla ili organizirala izvoz pošiljke otpada u neznatnoj količini za koju nisu bili ispunjeni uvjeti iz članaka 39. do 46. Uredbe (EU) 2024/1157 (članak 47. stavak 1. Uredbe (EU) 2024/1157)</w:t>
      </w:r>
    </w:p>
    <w:p>
      <w:pPr>
        <w:pBdr/>
        <w:pStyle w:val="Normal"/>
        <w:spacing/>
        <w:ind/>
        <w:jc w:val="both"/>
        <w:rPr>
          <w:rFonts w:ascii="Arial" w:eastAsia="Arial" w:hAnsi="Arial" w:cs="Arial"/>
          <w:sz w:val="24"/>
          <w:szCs w:val="24"/>
        </w:rPr>
      </w:pPr>
      <w:r>
        <w:rPr>
          <w:rFonts w:ascii="Arial" w:eastAsia="Arial" w:hAnsi="Arial" w:cs="Arial"/>
          <w:sz w:val="24"/>
          <w:szCs w:val="24"/>
        </w:rPr>
        <w:t xml:space="preserve">10. je otpremila, prevezla ili organizirala izvoz pošiljke otpada u neznatnoj količini na Antarktiku (članak 48. Uredbe (EU) 2024/1157)</w:t>
      </w:r>
    </w:p>
    <w:p>
      <w:pPr>
        <w:pBdr/>
        <w:pStyle w:val="Normal"/>
        <w:spacing/>
        <w:ind/>
        <w:jc w:val="both"/>
        <w:rPr>
          <w:rFonts w:ascii="Arial" w:eastAsia="Arial" w:hAnsi="Arial" w:cs="Arial"/>
          <w:sz w:val="24"/>
          <w:szCs w:val="24"/>
        </w:rPr>
      </w:pPr>
      <w:r>
        <w:rPr>
          <w:rFonts w:ascii="Arial" w:eastAsia="Arial" w:hAnsi="Arial" w:cs="Arial"/>
          <w:sz w:val="24"/>
          <w:szCs w:val="24"/>
        </w:rPr>
        <w:t xml:space="preserve">11. je skinula ili oštetila pečat na privremeno oduzetom vozilu ili opremi (članak 18. stavak 2. Zakona).</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(2) Za prekršaj iz stavka 1. ovoga članka kaznit će se i odgovorna osoba u pravnoj osobi iz stavka 1. ovoga članka novčanom kaznom u iznosu od 5.000,00 do 10.000,00 eura.</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(3) Za prekršaj iz stavka 1. ovoga članka kaznit će se fizička osoba – obrtnik novčanom kaznom u iznosu od 5.000,00 do 10.000,00 eura i zabranom sudjelovanja u postupcima javne nabave na rok od jedne godine u skladu s člankom 63. stavkom 3. točkom c) Uredbe (EU) 2024/1157).</w:t>
      </w:r>
    </w:p>
    <w:p>
      <w:pPr>
        <w:pBdr/>
        <w:pStyle w:val="Normal"/>
        <w:spacing/>
        <w:ind/>
        <w:jc w:val="both"/>
        <w:rPr>
          <w:rFonts w:ascii="Arial" w:eastAsia="Arial" w:hAnsi="Arial" w:cs="Arial"/>
          <w:sz w:val="24"/>
          <w:szCs w:val="24"/>
        </w:rPr>
      </w:pPr>
    </w:p>
    <w:p>
      <w:pPr>
        <w:pBdr/>
        <w:pStyle w:val="Heading 1"/>
        <w:spacing/>
        <w:ind/>
        <w:jc w:val="center"/>
        <w:rPr>
          <w:rFonts w:ascii="Arial" w:eastAsia="Arial" w:hAnsi="Arial" w:cs="Arial"/>
          <w:sz w:val="24"/>
          <w:szCs w:val="24"/>
        </w:rPr>
      </w:pPr>
      <w:r>
        <w:rPr>
          <w:rFonts w:ascii="Arial" w:eastAsia="Arial" w:hAnsi="Arial" w:cs="Arial"/>
          <w:sz w:val="24"/>
          <w:szCs w:val="24"/>
        </w:rPr>
        <w:t xml:space="preserve">PRIJELAZNE I ZAVRŠNE ODREDBE</w:t>
      </w:r>
    </w:p>
    <w:p>
      <w:pPr>
        <w:pBdr/>
        <w:pStyle w:val="Normal"/>
        <w:spacing/>
        <w:ind/>
        <w:jc w:val="center"/>
        <w:rPr>
          <w:rFonts w:ascii="Arial" w:eastAsia="Arial" w:hAnsi="Arial" w:cs="Arial"/>
          <w:i/>
          <w:iCs/>
          <w:sz w:val="24"/>
          <w:szCs w:val="24"/>
        </w:rPr>
      </w:pPr>
      <w:r>
        <w:rPr>
          <w:rFonts w:ascii="Arial" w:eastAsia="Arial" w:hAnsi="Arial" w:cs="Arial"/>
          <w:i/>
          <w:iCs/>
          <w:sz w:val="24"/>
          <w:szCs w:val="24"/>
        </w:rPr>
        <w:t xml:space="preserve">Granični prijelazi za uvoz i izvoz otpada do stupanja na snagu uredbe i pravilnika</w:t>
      </w:r>
    </w:p>
    <w:p>
      <w:pPr>
        <w:pBdr/>
        <w:pStyle w:val="Heading 1"/>
        <w:spacing/>
        <w:ind/>
        <w:jc w:val="center"/>
        <w:rPr>
          <w:rFonts w:ascii="Arial" w:eastAsia="Arial" w:hAnsi="Arial" w:cs="Arial"/>
          <w:b/>
          <w:bCs/>
          <w:sz w:val="24"/>
          <w:szCs w:val="24"/>
        </w:rPr>
      </w:pPr>
      <w:r>
        <w:rPr>
          <w:rFonts w:ascii="Arial" w:eastAsia="Arial" w:hAnsi="Arial" w:cs="Arial"/>
          <w:b/>
          <w:bCs/>
          <w:sz w:val="24"/>
          <w:szCs w:val="24"/>
        </w:rPr>
        <w:t xml:space="preserve">Članak 24.</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(1) Vlada će uredbu iz članka 7. ovoga Zakona donijeti u roku 6. mjeseci od dana stupanja na snagu ovoga Zakona.</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(2) Do stupanja na snagu uredbe iz članka 7. ovoga Zakona ostaje na snazi Uredba o graničnim prijelazima na području Republike Hrvatske preko kojih je dopušten uvoz otpada u Europsku uniju i izvoz otpada iz Europske unije (»Narodne novine«, broj 6/14.).</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(3) Ministar nadležan za zaštitu okoliša će pravilnike iz članka 9. i 11. ovoga Zakona donijeti u roku od šest mjeseci od dana stupanja na snagu ovoga Zakona.</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(4) Do stupanja na snagu pravilnika iz članka  9. i 11. ovoga Zakona primjenjuje se način određivanja iznosa financijskog jamstva ili ekvivalentnog osiguranja za pošiljke otpada u prekograničnom prometu otpadom propisan Pravilnikom o gospodarenju otpadom (»Narodne novine«, broj 106/22, 138/24 i 108/25).</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(5) Ministar će Odluku iz članka 5. stavka 2. ovoga Zakona donijeti u roku tri mjeseca od dana stupanja na snagu ovoga Zakona.</w:t>
      </w:r>
    </w:p>
    <w:p>
      <w:pPr>
        <w:pBdr/>
        <w:pStyle w:val="Normal"/>
        <w:spacing/>
        <w:ind/>
        <w:jc w:val="center"/>
        <w:rPr>
          <w:rFonts w:ascii="Arial" w:eastAsia="Arial" w:hAnsi="Arial" w:cs="Arial"/>
          <w:i/>
          <w:iCs/>
          <w:sz w:val="24"/>
          <w:szCs w:val="24"/>
        </w:rPr>
      </w:pPr>
      <w:r>
        <w:rPr>
          <w:rFonts w:ascii="Arial" w:eastAsia="Arial" w:hAnsi="Arial" w:cs="Arial"/>
          <w:i/>
          <w:iCs/>
          <w:sz w:val="24"/>
          <w:szCs w:val="24"/>
        </w:rPr>
        <w:t xml:space="preserve">Sporazum o suradnji, korespondenti, radna skupina i plan nadzora</w:t>
      </w:r>
    </w:p>
    <w:p>
      <w:pPr>
        <w:pBdr/>
        <w:pStyle w:val="Heading 1"/>
        <w:spacing/>
        <w:ind/>
        <w:jc w:val="center"/>
        <w:rPr>
          <w:rFonts w:ascii="Arial" w:eastAsia="Arial" w:hAnsi="Arial" w:cs="Arial"/>
          <w:b/>
          <w:bCs/>
          <w:sz w:val="24"/>
          <w:szCs w:val="24"/>
        </w:rPr>
      </w:pPr>
      <w:r>
        <w:rPr>
          <w:rFonts w:ascii="Arial" w:eastAsia="Arial" w:hAnsi="Arial" w:cs="Arial"/>
          <w:b/>
          <w:bCs/>
          <w:sz w:val="24"/>
          <w:szCs w:val="24"/>
        </w:rPr>
        <w:t xml:space="preserve">Članak 25.</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(1) Sporazum iz članka 6. ovoga Zakona sklopiti će se u roku šest mjeseci od dana stupanja na snagu ovoga Zakona.</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(2) Do sklapanja sporazuma iz stavka 2. ovoga članka na odgovarajući način se primjenjuje sporazum o suradnji tijela nadležnih za provedbu Uredbe (EU) 1013/2006.</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(3) Odluke iz članka 5. stavka 1. i stavka 2. ovoga Zakona donijeti će se u roku mjesec dana od dana stupanja na snagu ovoga Zakona.</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(4) Plan iz članka19. ovoga Zakona donijeti će se u roku 3 mjeseca od dana stupanja na snagu ovoga Zakona.</w:t>
      </w: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(5) Do donošenja plana iz stavka 4. ovoga članka na odgovarajući način se primjenjuje plan inspekcijskog nadzora pošiljaka otpada </w:t>
      </w:r>
    </w:p>
    <w:p>
      <w:pPr>
        <w:pBdr/>
        <w:pStyle w:val="Normal"/>
        <w:spacing/>
        <w:ind/>
        <w:jc w:val="center"/>
        <w:rPr>
          <w:rFonts w:ascii="Arial" w:eastAsia="Arial" w:hAnsi="Arial" w:cs="Arial"/>
          <w:i/>
          <w:iCs/>
          <w:sz w:val="24"/>
          <w:szCs w:val="24"/>
        </w:rPr>
      </w:pPr>
      <w:r>
        <w:rPr>
          <w:rFonts w:ascii="Arial" w:eastAsia="Arial" w:hAnsi="Arial" w:cs="Arial"/>
          <w:i/>
          <w:iCs/>
          <w:sz w:val="24"/>
          <w:szCs w:val="24"/>
        </w:rPr>
        <w:t xml:space="preserve">Stupanje na snagu</w:t>
      </w:r>
    </w:p>
    <w:p>
      <w:pPr>
        <w:pBdr/>
        <w:pStyle w:val="Heading 1"/>
        <w:spacing/>
        <w:ind/>
        <w:jc w:val="center"/>
        <w:rPr>
          <w:rFonts w:ascii="Arial" w:eastAsia="Arial" w:hAnsi="Arial" w:cs="Arial"/>
          <w:b/>
          <w:bCs/>
          <w:sz w:val="24"/>
          <w:szCs w:val="24"/>
        </w:rPr>
      </w:pPr>
      <w:r>
        <w:rPr>
          <w:rFonts w:ascii="Arial" w:eastAsia="Arial" w:hAnsi="Arial" w:cs="Arial"/>
          <w:b/>
          <w:bCs/>
          <w:sz w:val="24"/>
          <w:szCs w:val="24"/>
        </w:rPr>
        <w:t xml:space="preserve">Članak 26.</w:t>
      </w:r>
    </w:p>
    <w:p>
      <w:pPr>
        <w:pBdr/>
        <w:pStyle w:val="Normal"/>
        <w:spacing/>
        <w:ind w:firstLine="708"/>
        <w:rPr>
          <w:rFonts w:ascii="Arial" w:eastAsia="Arial" w:hAnsi="Arial" w:cs="Arial"/>
          <w:sz w:val="24"/>
          <w:szCs w:val="24"/>
        </w:rPr>
      </w:pPr>
      <w:r>
        <w:rPr>
          <w:rFonts w:ascii="Arial" w:eastAsia="Arial" w:hAnsi="Arial" w:cs="Arial"/>
          <w:sz w:val="24"/>
          <w:szCs w:val="24"/>
        </w:rPr>
        <w:t xml:space="preserve">Ovaj Zakon stupa na snagu osmoga dana od dana objave u »Narodnim novinama«.</w:t>
      </w:r>
    </w:p>
    <w:p>
      <w:pPr>
        <w:pBdr/>
        <w:pStyle w:val="Normal"/>
        <w:spacing/>
        <w:ind/>
        <w:rPr/>
      </w:pPr>
    </w:p>
    <w:sectPr>
      <w:type w:val="nextPage"/>
      <w:pgSz w:w="11906" w:h="16838"/>
      <w:pgMar w:top="1417" w:right="1417" w:bottom="1417" w:left="1417" w:header="708" w:footer="708" w:gutter="0"/>
      <w:pgNumType w:fmt="Arabic"/>
      <w:pgBorders/>
      <w:endnotePr>
        <w:pos w:val="docEnd"/>
        <w:numFmt w:val="lowerRoman"/>
        <w:numRestart w:val="continuous"/>
        <w:numStart w:val="1"/>
      </w:endnotePr>
    </w:sectPr>
  </w:body>
</w:document>
</file>

<file path=word/endnotes.xml><?xml version="1.0" encoding="utf-8"?>
<w:endnotes xmlns:wpc="http://schemas.microsoft.com/office/word/2010/wordprocessingCanvas" xmlns:cx="http://schemas.microsoft.com/office/drawing/2014/chartex" xmlns:aink="http://schemas.microsoft.com/office/drawing/2016/ink" xmlns:am3d="http://schemas.microsoft.com/office/drawing/2017/,odel3d"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endnote w:type="separator" w:id="-1">
    <w:p>
      <w:pPr>
        <w:pBdr/>
        <w:pStyle w:val="Normal"/>
        <w:spacing/>
        <w:ind/>
        <w:rPr/>
      </w:pPr>
      <w:r>
        <w:rPr/>
        <w:separator/>
      </w:r>
    </w:p>
  </w:endnote>
  <w:endnote w:type="continuationSeparator" w:id="0">
    <w:p>
      <w:pPr>
        <w:pBdr/>
        <w:pStyle w:val="Normal"/>
        <w:spacing/>
        <w:ind/>
        <w:rPr/>
      </w:pPr>
      <w:r>
        <w:rPr/>
        <w:continuationSeparator/>
      </w:r>
    </w:p>
  </w:endnote>
  <w:endnote w:type="continuationNotice" w:id="1">
    <w:p>
      <w:pPr>
        <w:pBdr/>
        <w:pStyle w:val="Normal"/>
        <w:spacing/>
        <w:ind/>
        <w:rPr/>
      </w:pPr>
    </w:p>
  </w:endnote>
</w:endnotes>
</file>

<file path=word/footnotes.xml><?xml version="1.0" encoding="utf-8"?>
<w:footnotes xmlns:wpc="http://schemas.microsoft.com/office/word/2010/wordprocessingCanvas" xmlns:cx="http://schemas.microsoft.com/office/drawing/2014/chartex" xmlns:aink="http://schemas.microsoft.com/office/drawing/2016/ink" xmlns:am3d="http://schemas.microsoft.com/office/drawing/2017/,odel3d"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footnote w:type="separator" w:id="-1">
    <w:p>
      <w:pPr>
        <w:pBdr/>
        <w:pStyle w:val="Normal"/>
        <w:spacing/>
        <w:ind/>
        <w:rPr/>
      </w:pPr>
      <w:r>
        <w:rPr/>
        <w:separator/>
      </w:r>
    </w:p>
  </w:footnote>
  <w:footnote w:type="continuationSeparator" w:id="0">
    <w:p>
      <w:pPr>
        <w:pBdr/>
        <w:pStyle w:val="Normal"/>
        <w:spacing/>
        <w:ind/>
        <w:rPr/>
      </w:pPr>
      <w:r>
        <w:rPr/>
        <w:continuationSeparator/>
      </w:r>
    </w:p>
  </w:footnote>
  <w:footnote w:type="continuationNotice" w:id="1">
    <w:p>
      <w:pPr>
        <w:pBdr/>
        <w:pStyle w:val="Normal"/>
        <w:spacing/>
        <w:ind/>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90314D"/>
    <w:lvl w:ilvl="0">
      <w:start w:val="0"/>
      <w:numFmt w:val="bullet"/>
      <w:suff w:val="tab"/>
      <w:lvlText w:val="-"/>
      <w:pPr>
        <w:pBdr/>
        <w:spacing/>
        <w:ind w:left="720" w:hanging="360"/>
      </w:pPr>
      <w:rPr>
        <w:rFonts w:ascii="Courier New" w:hAnsi="Courier New" w:hint="default"/>
      </w:rPr>
    </w:lvl>
    <w:lvl w:ilvl="1">
      <w:start w:val="0"/>
      <w:numFmt w:val="bullet"/>
      <w:suff w:val="tab"/>
      <w:lvlText w:val="o"/>
      <w:pPr>
        <w:pBdr/>
        <w:spacing/>
        <w:ind w:left="1440" w:hanging="360"/>
      </w:pPr>
      <w:rPr>
        <w:rFonts w:ascii="Courier New" w:hAnsi="Courier New" w:cs="Courier New" w:hint="default"/>
      </w:rPr>
    </w:lvl>
    <w:lvl w:ilvl="2">
      <w:start w:val="0"/>
      <w:numFmt w:val="bullet"/>
      <w:suff w:val="tab"/>
      <w:lvlText w:val=""/>
      <w:pPr>
        <w:pBdr/>
        <w:spacing/>
        <w:ind w:left="2160" w:hanging="360"/>
      </w:pPr>
      <w:rPr>
        <w:rFonts w:ascii="Wingdings" w:hAnsi="Wingdings" w:hint="default"/>
      </w:rPr>
    </w:lvl>
    <w:lvl w:ilvl="3">
      <w:start w:val="0"/>
      <w:numFmt w:val="bullet"/>
      <w:suff w:val="tab"/>
      <w:lvlText w:val=""/>
      <w:pPr>
        <w:pBdr/>
        <w:spacing/>
        <w:ind w:left="2880" w:hanging="360"/>
      </w:pPr>
      <w:rPr>
        <w:rFonts w:ascii="Symbol" w:hAnsi="Symbol" w:hint="default"/>
      </w:rPr>
    </w:lvl>
    <w:lvl w:ilvl="4">
      <w:start w:val="0"/>
      <w:numFmt w:val="bullet"/>
      <w:suff w:val="tab"/>
      <w:lvlText w:val="o"/>
      <w:pPr>
        <w:pBdr/>
        <w:spacing/>
        <w:ind w:left="3600" w:hanging="360"/>
      </w:pPr>
      <w:rPr>
        <w:rFonts w:ascii="Courier New" w:hAnsi="Courier New" w:cs="Courier New" w:hint="default"/>
      </w:rPr>
    </w:lvl>
    <w:lvl w:ilvl="5">
      <w:start w:val="0"/>
      <w:numFmt w:val="bullet"/>
      <w:suff w:val="tab"/>
      <w:lvlText w:val=""/>
      <w:pPr>
        <w:pBdr/>
        <w:spacing/>
        <w:ind w:left="4320" w:hanging="360"/>
      </w:pPr>
      <w:rPr>
        <w:rFonts w:ascii="Wingdings" w:hAnsi="Wingdings" w:hint="default"/>
      </w:rPr>
    </w:lvl>
    <w:lvl w:ilvl="6">
      <w:start w:val="0"/>
      <w:numFmt w:val="bullet"/>
      <w:suff w:val="tab"/>
      <w:lvlText w:val=""/>
      <w:pPr>
        <w:pBdr/>
        <w:spacing/>
        <w:ind w:left="5040" w:hanging="360"/>
      </w:pPr>
      <w:rPr>
        <w:rFonts w:ascii="Symbol" w:hAnsi="Symbol" w:hint="default"/>
      </w:rPr>
    </w:lvl>
    <w:lvl w:ilvl="7">
      <w:start w:val="0"/>
      <w:numFmt w:val="bullet"/>
      <w:suff w:val="tab"/>
      <w:lvlText w:val="o"/>
      <w:pPr>
        <w:pBdr/>
        <w:spacing/>
        <w:ind w:left="5760" w:hanging="360"/>
      </w:pPr>
      <w:rPr>
        <w:rFonts w:ascii="Courier New" w:hAnsi="Courier New" w:cs="Courier New" w:hint="default"/>
      </w:rPr>
    </w:lvl>
    <w:lvl w:ilvl="8">
      <w:start w:val="0"/>
      <w:numFmt w:val="bullet"/>
      <w:suff w:val="tab"/>
      <w:lvlText w:val=""/>
      <w:pPr>
        <w:pBdr/>
        <w:spacing/>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documentProtection w:cryptProviderType="rsaAES" w:cryptAlgorithmClass="hash" w:cryptAlgorithmType="typeAny" w:cryptAlgorithmSid="14" w:cryptSpinCount="100000"/>
  <w:zoom w:val="none" w:percent="100"/>
  <w:themeFontLang w:val="hr-HR"/>
  <w:displayBackgroundShape/>
  <w:defaultTabStop w:val="708"/>
  <w:compat>
    <w:compatSetting w:name="compatibilityMode" w:uri="http://schemas.microsoft.com/office/word" w:val="15"/>
  </w:compat>
  <w:footnotePr>
    <w:footnote w:id="-1"/>
    <w:footnote w:id="0"/>
  </w:footnotePr>
  <w:endnotePr>
    <w:endnote w:id="-1"/>
    <w:endnote w:id="0"/>
  </w:end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rPr>
    </w:rPrDefault>
    <w:pPrDefault>
      <w:pPr>
        <w:pBdr/>
        <w:keepNext w:val="0"/>
        <w:keepLines w:val="0"/>
        <w:outlineLvl w:val="9"/>
        <w:spacing w:before="0" w:after="160" w:line="259" w:lineRule="auto"/>
        <w:widowControl w:val="1"/>
        <w:ind w:left="0" w:right="0" w:firstLine="0"/>
        <w:jc w:val="left"/>
      </w:pPr>
    </w:pPrDefault>
  </w:docDefaults>
  <w:style w:type="paragraph" w:styleId="Normal">
    <w:name w:val="Normal"/>
    <w:next w:val="Normal"/>
    <w:pPr>
      <w:pBdr/>
      <w:spacing/>
      <w:ind/>
    </w:pPr>
    <w:rPr>
      <w:rFonts w:ascii="Arial" w:eastAsia="Arial" w:hAnsi="Arial" w:cs="Arial"/>
    </w:rPr>
  </w:style>
  <w:style w:type="paragraph" w:styleId="Heading 1">
    <w:name w:val="Heading 1"/>
    <w:basedOn w:val="Normal"/>
    <w:next w:val="Normal"/>
    <w:link w:val="Naslov 1 Char"/>
    <w:pPr>
      <w:pBdr/>
      <w:keepNext/>
      <w:keepLines/>
      <w:outlineLvl w:val="0"/>
      <w:spacing w:before="360" w:after="80"/>
      <w:ind/>
      <w:jc w:val="left"/>
    </w:pPr>
    <w:rPr>
      <w:rFonts w:ascii="Arial" w:eastAsia="Arial" w:hAnsi="Arial" w:cstheme="majorBidi"/>
      <w:b/>
      <w:color w:val="000000"/>
      <w:sz w:val="32"/>
      <w:szCs w:val="40"/>
    </w:rPr>
  </w:style>
  <w:style w:type="character" w:styleId="Naslov 1 Char">
    <w:name w:val="Naslov 1 Char"/>
    <w:basedOn w:val="Default Paragraph Font"/>
    <w:rPr>
      <w:rFonts w:ascii="Arial" w:eastAsia="Arial" w:hAnsi="Arial" w:cstheme="majorBidi"/>
      <w:color w:val="0F4761"/>
      <w:sz w:val="40"/>
      <w:szCs w:val="40"/>
    </w:rPr>
  </w:style>
  <w:style w:type="character" w:styleId="Default Paragraph Font">
    <w:name w:val="Default Paragraph Font"/>
    <w:rPr>
      <w:rFonts w:ascii="Arial" w:eastAsia="Arial" w:hAnsi="Arial" w:cs="Arial"/>
    </w:rPr>
  </w:style>
  <w:style w:type="paragraph" w:styleId="Heading 2">
    <w:name w:val="Heading 2"/>
    <w:basedOn w:val="Normal"/>
    <w:next w:val="Normal"/>
    <w:link w:val="Naslov 2 Char"/>
    <w:pPr>
      <w:pBdr/>
      <w:keepNext/>
      <w:keepLines/>
      <w:outlineLvl w:val="1"/>
      <w:spacing w:before="160" w:after="80"/>
      <w:ind/>
      <w:jc w:val="left"/>
    </w:pPr>
    <w:rPr>
      <w:rFonts w:ascii="Arial" w:eastAsia="Arial" w:hAnsi="Arial" w:cstheme="majorBidi"/>
      <w:b/>
      <w:color w:val="000000"/>
      <w:sz w:val="28"/>
      <w:szCs w:val="32"/>
    </w:rPr>
  </w:style>
  <w:style w:type="character" w:styleId="Naslov 2 Char">
    <w:name w:val="Naslov 2 Char"/>
    <w:basedOn w:val="Default Paragraph Font"/>
    <w:rPr>
      <w:rFonts w:ascii="Arial" w:eastAsia="Arial" w:hAnsi="Arial" w:cstheme="majorBidi"/>
      <w:color w:val="0F4761"/>
      <w:sz w:val="32"/>
      <w:szCs w:val="32"/>
    </w:rPr>
  </w:style>
  <w:style w:type="paragraph" w:styleId="Heading 3">
    <w:name w:val="Heading 3"/>
    <w:basedOn w:val="Normal"/>
    <w:next w:val="Normal"/>
    <w:link w:val="Naslov 3 Char"/>
    <w:pPr>
      <w:pBdr/>
      <w:keepNext/>
      <w:keepLines/>
      <w:outlineLvl w:val="2"/>
      <w:spacing w:before="160" w:after="80"/>
      <w:ind/>
      <w:jc w:val="left"/>
    </w:pPr>
    <w:rPr>
      <w:rFonts w:ascii="Arial" w:eastAsia="Arial" w:hAnsi="Arial" w:cstheme="majorBidi"/>
      <w:b/>
      <w:color w:val="000000"/>
      <w:sz w:val="26"/>
      <w:szCs w:val="28"/>
    </w:rPr>
  </w:style>
  <w:style w:type="character" w:styleId="Naslov 3 Char">
    <w:name w:val="Naslov 3 Char"/>
    <w:basedOn w:val="Default Paragraph Font"/>
    <w:rPr>
      <w:rFonts w:ascii="Arial" w:eastAsia="Arial" w:hAnsi="Arial" w:cstheme="majorBidi"/>
      <w:color w:val="0F4761"/>
      <w:sz w:val="28"/>
      <w:szCs w:val="28"/>
    </w:rPr>
  </w:style>
  <w:style w:type="paragraph" w:styleId="Heading 4">
    <w:name w:val="Heading 4"/>
    <w:basedOn w:val="Normal"/>
    <w:next w:val="Normal"/>
    <w:link w:val="Naslov 4 Char"/>
    <w:pPr>
      <w:pBdr/>
      <w:keepNext/>
      <w:keepLines/>
      <w:outlineLvl w:val="3"/>
      <w:spacing w:before="80" w:after="40"/>
      <w:ind/>
      <w:jc w:val="left"/>
    </w:pPr>
    <w:rPr>
      <w:rFonts w:ascii="Arial" w:eastAsia="Arial" w:hAnsi="Arial" w:cstheme="majorBidi"/>
      <w:b/>
      <w:i/>
      <w:iCs/>
      <w:color w:val="000000"/>
      <w:sz w:val="24"/>
    </w:rPr>
  </w:style>
  <w:style w:type="character" w:styleId="Naslov 4 Char">
    <w:name w:val="Naslov 4 Char"/>
    <w:basedOn w:val="Default Paragraph Font"/>
    <w:rPr>
      <w:rFonts w:ascii="Arial" w:eastAsia="Arial" w:hAnsi="Arial" w:cstheme="majorBidi"/>
      <w:i/>
      <w:iCs/>
      <w:color w:val="0F4761"/>
    </w:rPr>
  </w:style>
  <w:style w:type="paragraph" w:styleId="Heading 5">
    <w:name w:val="Heading 5"/>
    <w:basedOn w:val="Normal"/>
    <w:next w:val="Normal"/>
    <w:link w:val="Naslov 5 Char"/>
    <w:pPr>
      <w:pBdr/>
      <w:keepNext/>
      <w:keepLines/>
      <w:outlineLvl w:val="4"/>
      <w:spacing w:before="80" w:after="40"/>
      <w:ind/>
      <w:jc w:val="left"/>
    </w:pPr>
    <w:rPr>
      <w:rFonts w:ascii="Arial" w:eastAsia="Arial" w:hAnsi="Arial" w:cstheme="majorBidi"/>
      <w:b/>
      <w:color w:val="000000"/>
      <w:sz w:val="22"/>
    </w:rPr>
  </w:style>
  <w:style w:type="character" w:styleId="Naslov 5 Char">
    <w:name w:val="Naslov 5 Char"/>
    <w:basedOn w:val="Default Paragraph Font"/>
    <w:rPr>
      <w:rFonts w:ascii="Arial" w:eastAsia="Arial" w:hAnsi="Arial" w:cstheme="majorBidi"/>
      <w:color w:val="0F4761"/>
    </w:rPr>
  </w:style>
  <w:style w:type="paragraph" w:styleId="Heading 6">
    <w:name w:val="Heading 6"/>
    <w:basedOn w:val="Normal"/>
    <w:next w:val="Normal"/>
    <w:link w:val="Naslov 6 Char"/>
    <w:pPr>
      <w:pBdr/>
      <w:keepNext/>
      <w:keepLines/>
      <w:outlineLvl w:val="5"/>
      <w:spacing w:before="40" w:after="0"/>
      <w:ind/>
      <w:jc w:val="left"/>
    </w:pPr>
    <w:rPr>
      <w:rFonts w:ascii="Arial" w:eastAsia="Arial" w:hAnsi="Arial" w:cstheme="majorBidi"/>
      <w:b/>
      <w:i/>
      <w:iCs/>
      <w:color w:val="000000"/>
      <w:sz w:val="22"/>
    </w:rPr>
  </w:style>
  <w:style w:type="character" w:styleId="Naslov 6 Char">
    <w:name w:val="Naslov 6 Char"/>
    <w:basedOn w:val="Default Paragraph Font"/>
    <w:rPr>
      <w:rFonts w:ascii="Arial" w:eastAsia="Arial" w:hAnsi="Arial" w:cstheme="majorBidi"/>
      <w:i/>
      <w:iCs/>
      <w:color w:val="595959"/>
    </w:rPr>
  </w:style>
  <w:style w:type="paragraph" w:styleId="Heading 7">
    <w:name w:val="Heading 7"/>
    <w:basedOn w:val="Normal"/>
    <w:next w:val="Normal"/>
    <w:link w:val="Naslov 7 Char"/>
    <w:pPr>
      <w:pBdr/>
      <w:keepNext/>
      <w:keepLines/>
      <w:outlineLvl w:val="6"/>
      <w:spacing w:before="40" w:after="0"/>
      <w:ind/>
      <w:jc w:val="left"/>
    </w:pPr>
    <w:rPr>
      <w:rFonts w:ascii="Arial" w:eastAsia="Arial" w:hAnsi="Arial" w:cstheme="majorBidi"/>
      <w:b/>
      <w:color w:val="000000"/>
      <w:sz w:val="21"/>
    </w:rPr>
  </w:style>
  <w:style w:type="character" w:styleId="Naslov 7 Char">
    <w:name w:val="Naslov 7 Char"/>
    <w:basedOn w:val="Default Paragraph Font"/>
    <w:rPr>
      <w:rFonts w:ascii="Arial" w:eastAsia="Arial" w:hAnsi="Arial" w:cstheme="majorBidi"/>
      <w:color w:val="595959"/>
    </w:rPr>
  </w:style>
  <w:style w:type="paragraph" w:styleId="Heading 8">
    <w:name w:val="Heading 8"/>
    <w:basedOn w:val="Normal"/>
    <w:next w:val="Normal"/>
    <w:link w:val="Naslov 8 Char"/>
    <w:pPr>
      <w:pBdr/>
      <w:keepNext/>
      <w:keepLines/>
      <w:outlineLvl w:val="7"/>
      <w:spacing w:after="0"/>
      <w:ind/>
      <w:jc w:val="left"/>
    </w:pPr>
    <w:rPr>
      <w:rFonts w:ascii="Arial" w:eastAsia="Arial" w:hAnsi="Arial" w:cstheme="majorBidi"/>
      <w:b/>
      <w:i/>
      <w:iCs/>
      <w:color w:val="000000"/>
      <w:sz w:val="20"/>
    </w:rPr>
  </w:style>
  <w:style w:type="character" w:styleId="Naslov 8 Char">
    <w:name w:val="Naslov 8 Char"/>
    <w:basedOn w:val="Default Paragraph Font"/>
    <w:rPr>
      <w:rFonts w:ascii="Arial" w:eastAsia="Arial" w:hAnsi="Arial" w:cstheme="majorBidi"/>
      <w:i/>
      <w:iCs/>
      <w:color w:val="272727"/>
    </w:rPr>
  </w:style>
  <w:style w:type="paragraph" w:styleId="Heading 9">
    <w:name w:val="Heading 9"/>
    <w:basedOn w:val="Normal"/>
    <w:next w:val="Normal"/>
    <w:link w:val="Naslov 9 Char"/>
    <w:pPr>
      <w:pBdr/>
      <w:keepNext/>
      <w:keepLines/>
      <w:outlineLvl w:val="8"/>
      <w:spacing w:after="0"/>
      <w:ind/>
      <w:jc w:val="left"/>
    </w:pPr>
    <w:rPr>
      <w:rFonts w:ascii="Arial" w:eastAsia="Arial" w:hAnsi="Arial" w:cstheme="majorBidi"/>
      <w:b/>
      <w:color w:val="000000"/>
      <w:sz w:val="20"/>
    </w:rPr>
  </w:style>
  <w:style w:type="character" w:styleId="Naslov 9 Char">
    <w:name w:val="Naslov 9 Char"/>
    <w:basedOn w:val="Default Paragraph Font"/>
    <w:rPr>
      <w:rFonts w:ascii="Arial" w:eastAsia="Arial" w:hAnsi="Arial" w:cstheme="majorBidi"/>
      <w:color w:val="272727"/>
    </w:rPr>
  </w:style>
  <w:style w:type="table" w:styleId="Normal Table">
    <w:name w:val="Normal Table"/>
    <w:next w:val="Normal Table"/>
  </w:style>
  <w:style w:type="paragraph" w:styleId="Title">
    <w:name w:val="Title"/>
    <w:basedOn w:val="Normal"/>
    <w:next w:val="Normal"/>
    <w:link w:val="Naslov Char"/>
    <w:pPr>
      <w:pBdr/>
      <w:spacing w:after="80" w:line="240" w:lineRule="auto"/>
      <w:contextualSpacing/>
      <w:ind/>
    </w:pPr>
    <w:rPr>
      <w:rFonts w:ascii="Arial" w:eastAsia="Arial" w:hAnsi="Arial" w:cstheme="majorBidi"/>
      <w:sz w:val="56"/>
      <w:spacing w:val="-10"/>
      <w:szCs w:val="56"/>
    </w:rPr>
  </w:style>
  <w:style w:type="character" w:styleId="Naslov Char">
    <w:name w:val="Naslov Char"/>
    <w:basedOn w:val="Default Paragraph Font"/>
    <w:rPr>
      <w:rFonts w:ascii="Arial" w:eastAsia="Arial" w:hAnsi="Arial" w:cstheme="majorBidi"/>
      <w:sz w:val="56"/>
      <w:spacing w:val="-10"/>
      <w:szCs w:val="56"/>
    </w:rPr>
  </w:style>
  <w:style w:type="paragraph" w:styleId="Subtitle">
    <w:name w:val="Subtitle"/>
    <w:basedOn w:val="Normal"/>
    <w:next w:val="Normal"/>
    <w:link w:val="Podnaslov Char"/>
    <w:pPr>
      <w:pBdr/>
      <w:numPr>
        <w:ilvl w:val="1"/>
      </w:numPr>
      <w:spacing/>
      <w:ind/>
    </w:pPr>
    <w:rPr>
      <w:rFonts w:ascii="Arial" w:eastAsia="Arial" w:hAnsi="Arial" w:cstheme="majorBidi"/>
      <w:color w:val="595959"/>
      <w:sz w:val="28"/>
      <w:spacing w:val="15"/>
      <w:szCs w:val="28"/>
    </w:rPr>
  </w:style>
  <w:style w:type="character" w:styleId="Podnaslov Char">
    <w:name w:val="Podnaslov Char"/>
    <w:basedOn w:val="Default Paragraph Font"/>
    <w:rPr>
      <w:rFonts w:ascii="Arial" w:eastAsia="Arial" w:hAnsi="Arial" w:cstheme="majorBidi"/>
      <w:color w:val="595959"/>
      <w:sz w:val="28"/>
      <w:spacing w:val="15"/>
      <w:szCs w:val="28"/>
    </w:rPr>
  </w:style>
  <w:style w:type="paragraph" w:styleId="Quote">
    <w:name w:val="Quote"/>
    <w:basedOn w:val="Normal"/>
    <w:next w:val="Normal"/>
    <w:link w:val="Citat Char"/>
    <w:pPr>
      <w:pBdr/>
      <w:spacing w:before="160"/>
      <w:ind/>
      <w:jc w:val="center"/>
    </w:pPr>
    <w:rPr>
      <w:rFonts w:ascii="Arial" w:eastAsia="Arial" w:hAnsi="Arial" w:cs="Arial"/>
      <w:i/>
      <w:iCs/>
      <w:color w:val="404040"/>
    </w:rPr>
  </w:style>
  <w:style w:type="character" w:styleId="Citat Char">
    <w:name w:val="Citat Char"/>
    <w:basedOn w:val="Default Paragraph Font"/>
    <w:rPr>
      <w:rFonts w:ascii="Arial" w:eastAsia="Arial" w:hAnsi="Arial" w:cs="Arial"/>
      <w:i/>
      <w:iCs/>
      <w:color w:val="404040"/>
    </w:rPr>
  </w:style>
  <w:style w:type="paragraph" w:styleId="List Paragraph">
    <w:name w:val="List Paragraph"/>
    <w:basedOn w:val="Normal"/>
    <w:next w:val="List Paragraph"/>
    <w:link w:val="Odlomak popisa Char"/>
    <w:pPr>
      <w:pBdr/>
      <w:spacing/>
      <w:contextualSpacing/>
      <w:ind w:left="720"/>
    </w:pPr>
    <w:rPr>
      <w:rFonts w:ascii="Arial" w:eastAsia="Arial" w:hAnsi="Arial" w:cs="Arial"/>
    </w:rPr>
  </w:style>
  <w:style w:type="character" w:styleId="Odlomak popisa Char">
    <w:name w:val="Odlomak popisa Char"/>
    <w:basedOn w:val="Default Paragraph Font"/>
    <w:rPr>
      <w:rFonts w:ascii="Arial" w:eastAsia="Arial" w:hAnsi="Arial" w:cs="Arial"/>
    </w:rPr>
  </w:style>
  <w:style w:type="character" w:styleId="Intense Emphasis">
    <w:name w:val="Intense Emphasis"/>
    <w:basedOn w:val="Default Paragraph Font"/>
    <w:rPr>
      <w:rFonts w:ascii="Arial" w:eastAsia="Arial" w:hAnsi="Arial" w:cs="Arial"/>
      <w:i/>
      <w:iCs/>
      <w:color w:val="0F4761"/>
    </w:rPr>
  </w:style>
  <w:style w:type="paragraph" w:styleId="Intense Quote">
    <w:name w:val="Intense Quote"/>
    <w:basedOn w:val="Normal"/>
    <w:next w:val="Normal"/>
    <w:pPr>
      <w:pBdr>
        <w:top w:val="single" w:color="0F4761" w:sz="4" w:space="10"/>
        <w:bottom w:val="single" w:color="0F4761" w:sz="4" w:space="10"/>
      </w:pBdr>
      <w:spacing w:before="360" w:after="360"/>
      <w:ind w:left="864" w:right="864"/>
      <w:jc w:val="center"/>
    </w:pPr>
    <w:rPr>
      <w:rFonts w:ascii="Arial" w:eastAsia="Arial" w:hAnsi="Arial" w:cs="Arial"/>
      <w:i/>
      <w:iCs/>
      <w:color w:val="0F4761"/>
    </w:rPr>
  </w:style>
  <w:style w:type="character" w:styleId="Naglašen citat Char">
    <w:name w:val="Naglašen citat Char"/>
    <w:basedOn w:val="Default Paragraph Font"/>
    <w:rPr>
      <w:rFonts w:ascii="Arial" w:eastAsia="Arial" w:hAnsi="Arial" w:cs="Arial"/>
      <w:i/>
      <w:iCs/>
      <w:color w:val="0F4761"/>
    </w:rPr>
  </w:style>
  <w:style w:type="character" w:styleId="Intense Reference">
    <w:name w:val="Intense Reference"/>
    <w:basedOn w:val="Default Paragraph Font"/>
    <w:rPr>
      <w:rFonts w:ascii="Arial" w:eastAsia="Arial" w:hAnsi="Arial" w:cs="Arial"/>
      <w:b/>
      <w:bCs/>
      <w:color w:val="0F4761"/>
      <w:spacing w:val="5"/>
    </w:rPr>
  </w:style>
  <w:style w:type="paragraph" w:styleId="Revision">
    <w:name w:val="Revision"/>
    <w:next w:val="Revision"/>
    <w:pPr>
      <w:pBdr/>
      <w:spacing w:after="0" w:line="240" w:lineRule="auto"/>
      <w:ind/>
    </w:pPr>
    <w:rPr>
      <w:rFonts w:ascii="Arial" w:eastAsia="Arial" w:hAnsi="Arial" w:cs="Arial"/>
    </w:rPr>
  </w:style>
  <w:style w:type="character" w:styleId="annotation reference">
    <w:name w:val="annotation reference"/>
    <w:basedOn w:val="Default Paragraph Font"/>
    <w:rPr>
      <w:rFonts w:ascii="Arial" w:eastAsia="Arial" w:hAnsi="Arial" w:cs="Arial"/>
      <w:sz w:val="16"/>
      <w:szCs w:val="16"/>
    </w:rPr>
  </w:style>
  <w:style w:type="paragraph" w:styleId="annotation text">
    <w:name w:val="annotation text"/>
    <w:basedOn w:val="Normal"/>
    <w:next w:val="annotation text"/>
    <w:link w:val="Tekst komentara Char"/>
    <w:pPr>
      <w:pBdr/>
      <w:spacing w:line="240" w:lineRule="auto"/>
      <w:ind/>
    </w:pPr>
    <w:rPr>
      <w:rFonts w:ascii="Arial" w:eastAsia="Arial" w:hAnsi="Arial" w:cs="Arial"/>
      <w:sz w:val="20"/>
      <w:szCs w:val="20"/>
    </w:rPr>
  </w:style>
  <w:style w:type="character" w:styleId="Tekst komentara Char">
    <w:name w:val="Tekst komentara Char"/>
    <w:basedOn w:val="Default Paragraph Font"/>
    <w:rPr>
      <w:rFonts w:ascii="Arial" w:eastAsia="Arial" w:hAnsi="Arial" w:cs="Arial"/>
      <w:sz w:val="20"/>
      <w:szCs w:val="20"/>
    </w:rPr>
  </w:style>
  <w:style w:type="paragraph" w:styleId="annotation subject">
    <w:name w:val="annotation subject"/>
    <w:basedOn w:val="annotation text"/>
    <w:next w:val="annotation text"/>
    <w:link w:val="Predmet komentara Char"/>
    <w:pPr>
      <w:pBdr/>
      <w:spacing/>
      <w:ind/>
    </w:pPr>
    <w:rPr>
      <w:rFonts w:ascii="Arial" w:eastAsia="Arial" w:hAnsi="Arial" w:cs="Arial"/>
      <w:b/>
      <w:bCs/>
    </w:rPr>
  </w:style>
  <w:style w:type="character" w:styleId="Predmet komentara Char">
    <w:name w:val="Predmet komentara Char"/>
    <w:basedOn w:val="Tekst komentara Char"/>
    <w:rPr>
      <w:rFonts w:ascii="Arial" w:eastAsia="Arial" w:hAnsi="Arial" w:cs="Arial"/>
      <w:b/>
      <w:bCs/>
      <w:sz w:val="20"/>
      <w:szCs w:val="20"/>
    </w:rPr>
  </w:style>
  <w:style w:type="paragraph" w:styleId="Header">
    <w:name w:val="Header"/>
    <w:basedOn w:val="Normal"/>
    <w:next w:val="Header"/>
    <w:link w:val="Zaglavlje Char"/>
    <w:pPr>
      <w:pBdr/>
      <w:spacing w:after="0" w:line="240" w:lineRule="auto"/>
      <w:ind/>
      <w:tabs>
        <w:tab w:val="center" w:pos="4536.000061035156"/>
        <w:tab w:val="right" w:pos="9072.000122070312"/>
      </w:tabs>
    </w:pPr>
    <w:rPr>
      <w:rFonts w:ascii="Arial" w:eastAsia="Arial" w:hAnsi="Arial" w:cs="Arial"/>
    </w:rPr>
  </w:style>
  <w:style w:type="character" w:styleId="Zaglavlje Char">
    <w:name w:val="Zaglavlje Char"/>
    <w:basedOn w:val="Default Paragraph Font"/>
    <w:rPr>
      <w:rFonts w:ascii="Arial" w:eastAsia="Arial" w:hAnsi="Arial" w:cs="Arial"/>
    </w:rPr>
  </w:style>
  <w:style w:type="paragraph" w:styleId="Footer">
    <w:name w:val="Footer"/>
    <w:basedOn w:val="Normal"/>
    <w:next w:val="Footer"/>
    <w:pPr>
      <w:pBdr/>
      <w:spacing w:after="0" w:line="240" w:lineRule="auto"/>
      <w:ind/>
      <w:tabs>
        <w:tab w:val="center" w:pos="4536.000061035156"/>
        <w:tab w:val="right" w:pos="9072.000122070312"/>
      </w:tabs>
    </w:pPr>
    <w:rPr>
      <w:rFonts w:ascii="Arial" w:eastAsia="Arial" w:hAnsi="Arial" w:cs="Arial"/>
    </w:rPr>
  </w:style>
  <w:style w:type="character" w:styleId="Podnožje Char">
    <w:name w:val="Podnožje Char"/>
    <w:basedOn w:val="Default Paragraph Font"/>
    <w:rPr>
      <w:rFonts w:ascii="Arial" w:eastAsia="Arial" w:hAnsi="Arial" w:cs="Arial"/>
    </w:rPr>
  </w:style>
  <w:style w:type="paragraph" w:styleId="tb-na18">
    <w:name w:val="tb-na18"/>
    <w:basedOn w:val="Normal"/>
    <w:next w:val="tb-na18"/>
    <w:pPr>
      <w:pBdr/>
      <w:spacing w:before="100" w:beforeAutospacing="true" w:after="100" w:afterAutospacing="true" w:line="240" w:lineRule="auto"/>
      <w:ind/>
      <w:jc w:val="center"/>
    </w:pPr>
    <w:rPr>
      <w:rFonts w:ascii="Arial" w:eastAsia="Arial" w:hAnsi="Arial" w:cs="Times New Roman"/>
      <w:b/>
      <w:bCs/>
      <w:sz w:val="40"/>
      <w:szCs w:val="40"/>
    </w:rPr>
  </w:style>
  <w:style w:type="table" w:styleId="Table Grid">
    <w:name w:val="Table Grid"/>
    <w:basedOn w:val="Normal Table"/>
    <w:next w:val="Table Grid"/>
  </w:style>
  <w:style w:type="paragraph" w:styleId="box_468252">
    <w:name w:val="box_468252"/>
    <w:basedOn w:val="Normal"/>
    <w:next w:val="box_468252"/>
    <w:pPr>
      <w:pBdr/>
      <w:spacing w:before="100" w:beforeAutospacing="true" w:after="100" w:afterAutospacing="true" w:line="240" w:lineRule="auto"/>
      <w:ind/>
    </w:pPr>
    <w:rPr>
      <w:rFonts w:ascii="Arial" w:eastAsia="Arial" w:hAnsi="Arial" w:cs="Times New Roman"/>
      <w:sz w:val="24"/>
      <w:szCs w:val="24"/>
    </w:rPr>
  </w:style>
  <w:style w:type="paragraph" w:styleId="Title_1">
    <w:name w:val="Title_1"/>
    <w:basedOn w:val="Normal"/>
    <w:next w:val="Normal"/>
    <w:pPr>
      <w:pBdr/>
      <w:outlineLvl w:val="0"/>
      <w:spacing/>
      <w:ind/>
      <w:jc w:val="center"/>
    </w:pPr>
    <w:rPr>
      <w:rFonts w:ascii="Arial" w:hAnsi="Arial"/>
      <w:b/>
      <w:color w:val="000000"/>
      <w:sz w:val="36"/>
    </w:rPr>
  </w:style>
</w:styles>
</file>

<file path=word/_rels/document.xml.rels><?xml version="1.0" encoding="utf-8"?><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endnotes" Target="endnotes.xml" /><Relationship Id="rId4" Type="http://schemas.openxmlformats.org/officeDocument/2006/relationships/footnotes" Target="footnotes.xml" /><Relationship Id="rId5" Type="http://schemas.openxmlformats.org/officeDocument/2006/relationships/theme" Target="theme/theme1.xml" /><Relationship Id="rId6"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
      <a:majorFont>
        <a:latin typeface="Aptos Display" panose="02110004020202020204"/>
        <a:ea typeface="" panose="02110004020202020204"/>
        <a:cs typeface="" panose="0211000402020202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panose="02110004020202020204"/>
        <a:cs typeface="" panose="02110004020202020204"/>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