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comments.xml" ContentType="application/vnd.openxmlformats-officedocument.wordprocessingml.comments+xml"/>
  <Override PartName="/word/theme/theme1.xml" ContentType="application/vnd.openxmlformats-officedocument.theme+xml"/>
  <Override PartName="/word/commentsExtended.xml" ContentType="application/vnd.openxmlformats-officedocument.wordprocessingml.commentsExtended+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Bdr/>
        <w:pStyle w:val="Normal"/>
        <w:spacing/>
        <w:ind/>
        <w:jc w:val="center"/>
        <w:rPr>
          <w:rFonts w:ascii="Arial" w:eastAsia="Arial" w:hAnsi="Arial" w:cs="Arial"/>
          <w:b/>
          <w:szCs w:val="24"/>
        </w:rPr>
      </w:pPr>
      <w:r>
        <w:rPr>
          <w:rFonts w:ascii="Arial" w:eastAsia="Arial" w:hAnsi="Arial" w:cs="Arial"/>
          <w:b/>
          <w:szCs w:val="24"/>
        </w:rPr>
        <w:t xml:space="preserve">REPUBLIKA HRVATSKA</w:t>
      </w:r>
    </w:p>
    <w:p>
      <w:pPr>
        <w:pBdr/>
        <w:pStyle w:val="Normal"/>
        <w:spacing/>
        <w:ind/>
        <w:jc w:val="center"/>
        <w:rPr>
          <w:rFonts w:ascii="Arial" w:eastAsia="Arial" w:hAnsi="Arial" w:cs="Arial"/>
          <w:b/>
          <w:szCs w:val="24"/>
        </w:rPr>
      </w:pPr>
      <w:r>
        <w:rPr>
          <w:rFonts w:ascii="Arial" w:eastAsia="Arial" w:hAnsi="Arial" w:cs="Arial"/>
          <w:b/>
          <w:szCs w:val="24"/>
        </w:rPr>
        <w:t xml:space="preserve">MINISTARSTVO GOSPODARSTVA</w:t>
      </w:r>
    </w:p>
    <w:p>
      <w:pPr>
        <w:pBdr/>
        <w:pStyle w:val="Normal"/>
        <w:spacing/>
        <w:ind/>
        <w:jc w:val="both"/>
        <w:rPr>
          <w:rFonts w:ascii="Arial" w:eastAsia="Arial" w:hAnsi="Arial" w:cs="Arial"/>
          <w:b/>
          <w:szCs w:val="24"/>
        </w:rPr>
      </w:pPr>
      <w:r>
        <w:rPr>
          <w:rFonts w:ascii="Arial" w:eastAsia="Arial" w:hAnsi="Arial" w:cs="Arial"/>
          <w:b/>
          <w:szCs w:val="24"/>
        </w:rPr>
        <w:t xml:space="preserve">________________________________________________________________________</w:t>
      </w:r>
    </w:p>
    <w:p>
      <w:pPr>
        <w:pBdr/>
        <w:pStyle w:val="Normal"/>
        <w:spacing/>
        <w:ind w:left="7200"/>
        <w:jc w:val="both"/>
        <w:rPr>
          <w:rFonts w:ascii="Arial" w:eastAsia="Arial" w:hAnsi="Arial" w:cs="Arial"/>
          <w:b/>
          <w:szCs w:val="24"/>
        </w:rPr>
      </w:pPr>
    </w:p>
    <w:p>
      <w:pPr>
        <w:pBdr/>
        <w:pStyle w:val="Normal"/>
        <w:spacing/>
        <w:ind/>
        <w:jc w:val="both"/>
        <w:rPr>
          <w:rFonts w:ascii="Arial" w:eastAsia="Arial" w:hAnsi="Arial" w:cs="Arial"/>
          <w:b/>
          <w:szCs w:val="24"/>
        </w:rPr>
      </w:pPr>
    </w:p>
    <w:p>
      <w:pPr>
        <w:pBdr/>
        <w:pStyle w:val="Normal"/>
        <w:spacing/>
        <w:ind/>
        <w:jc w:val="right"/>
        <w:rPr>
          <w:rFonts w:ascii="Arial" w:eastAsia="Arial" w:hAnsi="Arial" w:cs="Arial"/>
          <w:b/>
          <w:szCs w:val="24"/>
        </w:rPr>
      </w:pPr>
    </w:p>
    <w:p>
      <w:pPr>
        <w:pBdr/>
        <w:pStyle w:val="Normal"/>
        <w:spacing/>
        <w:ind/>
        <w:jc w:val="both"/>
        <w:rPr>
          <w:rFonts w:ascii="Arial" w:eastAsia="Arial" w:hAnsi="Arial" w:cs="Arial"/>
          <w:b/>
          <w:spacing w:val="-3"/>
          <w:szCs w:val="24"/>
        </w:rPr>
      </w:pPr>
      <w:r>
        <w:rPr>
          <w:rFonts w:ascii="Arial" w:eastAsia="Arial" w:hAnsi="Arial" w:cs="Arial"/>
          <w:b/>
          <w:spacing w:val="-3"/>
          <w:szCs w:val="24"/>
        </w:rPr>
        <w:tab/>
      </w:r>
      <w:r>
        <w:rPr>
          <w:rFonts w:ascii="Arial" w:eastAsia="Arial" w:hAnsi="Arial" w:cs="Arial"/>
          <w:b/>
          <w:spacing w:val="-3"/>
          <w:szCs w:val="24"/>
        </w:rPr>
        <w:t xml:space="preserve"/>
      </w:r>
      <w:r>
        <w:rPr>
          <w:rFonts w:ascii="Arial" w:eastAsia="Arial" w:hAnsi="Arial" w:cs="Arial"/>
          <w:b/>
          <w:spacing w:val="-3"/>
          <w:szCs w:val="24"/>
        </w:rPr>
        <w:tab/>
      </w:r>
      <w:r>
        <w:rPr>
          <w:rFonts w:ascii="Arial" w:eastAsia="Arial" w:hAnsi="Arial" w:cs="Arial"/>
          <w:b/>
          <w:spacing w:val="-3"/>
          <w:szCs w:val="24"/>
        </w:rPr>
        <w:t xml:space="preserve"/>
      </w:r>
      <w:r>
        <w:rPr>
          <w:rFonts w:ascii="Arial" w:eastAsia="Arial" w:hAnsi="Arial" w:cs="Arial"/>
          <w:b/>
          <w:spacing w:val="-3"/>
          <w:szCs w:val="24"/>
        </w:rPr>
        <w:tab/>
      </w:r>
      <w:r>
        <w:rPr>
          <w:rFonts w:ascii="Arial" w:eastAsia="Arial" w:hAnsi="Arial" w:cs="Arial"/>
          <w:b/>
          <w:spacing w:val="-3"/>
          <w:szCs w:val="24"/>
        </w:rPr>
        <w:t xml:space="preserve"/>
      </w:r>
      <w:r>
        <w:rPr>
          <w:rFonts w:ascii="Arial" w:eastAsia="Arial" w:hAnsi="Arial" w:cs="Arial"/>
          <w:b/>
          <w:spacing w:val="-3"/>
          <w:szCs w:val="24"/>
        </w:rPr>
        <w:tab/>
      </w:r>
      <w:r>
        <w:rPr>
          <w:rFonts w:ascii="Arial" w:eastAsia="Arial" w:hAnsi="Arial" w:cs="Arial"/>
          <w:b/>
          <w:spacing w:val="-3"/>
          <w:szCs w:val="24"/>
        </w:rPr>
        <w:t xml:space="preserve"/>
      </w:r>
      <w:r>
        <w:rPr>
          <w:rFonts w:ascii="Arial" w:eastAsia="Arial" w:hAnsi="Arial" w:cs="Arial"/>
          <w:b/>
          <w:spacing w:val="-3"/>
          <w:szCs w:val="24"/>
        </w:rPr>
        <w:tab/>
      </w:r>
      <w:r>
        <w:rPr>
          <w:rFonts w:ascii="Arial" w:eastAsia="Arial" w:hAnsi="Arial" w:cs="Arial"/>
          <w:b/>
          <w:spacing w:val="-3"/>
          <w:szCs w:val="24"/>
        </w:rPr>
        <w:t xml:space="preserve"/>
      </w:r>
      <w:r>
        <w:rPr>
          <w:rFonts w:ascii="Arial" w:eastAsia="Arial" w:hAnsi="Arial" w:cs="Arial"/>
          <w:b/>
          <w:spacing w:val="-3"/>
          <w:szCs w:val="24"/>
        </w:rPr>
        <w:tab/>
      </w:r>
      <w:r>
        <w:rPr>
          <w:rFonts w:ascii="Arial" w:eastAsia="Arial" w:hAnsi="Arial" w:cs="Arial"/>
          <w:b/>
          <w:spacing w:val="-3"/>
          <w:szCs w:val="24"/>
        </w:rPr>
        <w:t xml:space="preserve"/>
      </w:r>
      <w:r>
        <w:rPr>
          <w:rFonts w:ascii="Arial" w:eastAsia="Arial" w:hAnsi="Arial" w:cs="Arial"/>
          <w:b/>
          <w:spacing w:val="-3"/>
          <w:szCs w:val="24"/>
        </w:rPr>
        <w:tab/>
      </w:r>
      <w:r>
        <w:rPr>
          <w:rFonts w:ascii="Arial" w:eastAsia="Arial" w:hAnsi="Arial" w:cs="Arial"/>
          <w:b/>
          <w:spacing w:val="-3"/>
          <w:szCs w:val="24"/>
        </w:rPr>
        <w:t xml:space="preserve"/>
      </w:r>
      <w:r>
        <w:rPr>
          <w:rFonts w:ascii="Arial" w:eastAsia="Arial" w:hAnsi="Arial" w:cs="Arial"/>
          <w:b/>
          <w:spacing w:val="-3"/>
          <w:szCs w:val="24"/>
        </w:rPr>
        <w:tab/>
      </w:r>
      <w:r>
        <w:rPr>
          <w:rFonts w:ascii="Arial" w:eastAsia="Arial" w:hAnsi="Arial" w:cs="Arial"/>
          <w:b/>
          <w:spacing w:val="-3"/>
          <w:szCs w:val="24"/>
        </w:rPr>
        <w:t xml:space="preserve"/>
      </w:r>
    </w:p>
    <w:p>
      <w:pPr>
        <w:pBdr/>
        <w:pStyle w:val="Normal"/>
        <w:spacing/>
        <w:ind/>
        <w:jc w:val="center"/>
        <w:rPr>
          <w:rFonts w:ascii="Arial" w:eastAsia="Arial" w:hAnsi="Arial" w:cs="Arial"/>
          <w:b/>
          <w:bCs/>
          <w:szCs w:val="24"/>
        </w:rPr>
      </w:pPr>
    </w:p>
    <w:p>
      <w:pPr>
        <w:pBdr/>
        <w:pStyle w:val="Normal"/>
        <w:spacing/>
        <w:ind/>
        <w:jc w:val="center"/>
        <w:rPr>
          <w:rFonts w:ascii="Arial" w:eastAsia="Arial" w:hAnsi="Arial" w:cs="Arial"/>
          <w:b/>
          <w:bCs/>
          <w:szCs w:val="24"/>
        </w:rPr>
      </w:pPr>
    </w:p>
    <w:p>
      <w:pPr>
        <w:pBdr/>
        <w:pStyle w:val="Normal"/>
        <w:spacing/>
        <w:ind/>
        <w:rPr>
          <w:rFonts w:ascii="Arial" w:eastAsia="Arial" w:hAnsi="Arial" w:cs="Arial"/>
          <w:b/>
          <w:bCs/>
          <w:szCs w:val="24"/>
        </w:rPr>
      </w:pPr>
    </w:p>
    <w:p>
      <w:pPr>
        <w:pBdr/>
        <w:pStyle w:val="Normal"/>
        <w:spacing/>
        <w:ind/>
        <w:jc w:val="center"/>
        <w:rPr>
          <w:rFonts w:ascii="Arial" w:eastAsia="Arial" w:hAnsi="Arial" w:cs="Arial"/>
          <w:b/>
          <w:bCs/>
          <w:szCs w:val="24"/>
        </w:rPr>
      </w:pPr>
    </w:p>
    <w:p>
      <w:pPr>
        <w:pBdr/>
        <w:pStyle w:val="Normal"/>
        <w:spacing/>
        <w:ind/>
        <w:tabs>
          <w:tab w:val="left" w:pos="1455"/>
        </w:tabs>
        <w:rPr>
          <w:rFonts w:ascii="Arial" w:eastAsia="Arial" w:hAnsi="Arial" w:cs="Arial"/>
          <w:b/>
          <w:bCs/>
          <w:szCs w:val="24"/>
        </w:rPr>
      </w:pPr>
      <w:r>
        <w:rPr>
          <w:rFonts w:ascii="Arial" w:eastAsia="Arial" w:hAnsi="Arial" w:cs="Arial"/>
          <w:b/>
          <w:bCs/>
          <w:szCs w:val="24"/>
        </w:rPr>
        <w:tab/>
      </w:r>
      <w:r>
        <w:rPr>
          <w:rFonts w:ascii="Arial" w:eastAsia="Arial" w:hAnsi="Arial" w:cs="Arial"/>
          <w:b/>
          <w:bCs/>
          <w:szCs w:val="24"/>
        </w:rPr>
        <w:t xml:space="preserve"/>
      </w:r>
    </w:p>
    <w:p>
      <w:pPr>
        <w:pBdr/>
        <w:pStyle w:val="Normal"/>
        <w:spacing/>
        <w:ind/>
        <w:jc w:val="center"/>
        <w:rPr>
          <w:rFonts w:ascii="Arial" w:eastAsia="Arial" w:hAnsi="Arial" w:cs="Arial"/>
          <w:b/>
          <w:bCs/>
          <w:szCs w:val="24"/>
        </w:rPr>
      </w:pPr>
    </w:p>
    <w:p>
      <w:pPr>
        <w:pBdr/>
        <w:pStyle w:val="Normal"/>
        <w:spacing/>
        <w:ind/>
        <w:jc w:val="center"/>
        <w:rPr>
          <w:rFonts w:ascii="Arial" w:eastAsia="Arial" w:hAnsi="Arial" w:cs="Arial"/>
          <w:b/>
          <w:bCs/>
          <w:szCs w:val="24"/>
        </w:rPr>
      </w:pPr>
    </w:p>
    <w:p>
      <w:pPr>
        <w:pBdr/>
        <w:pStyle w:val="Normal"/>
        <w:spacing/>
        <w:ind/>
        <w:jc w:val="center"/>
        <w:rPr>
          <w:rFonts w:ascii="Arial" w:eastAsia="Arial" w:hAnsi="Arial" w:cs="Arial"/>
          <w:b/>
          <w:bCs/>
          <w:szCs w:val="24"/>
        </w:rPr>
      </w:pPr>
    </w:p>
    <w:p>
      <w:pPr>
        <w:pBdr/>
        <w:pStyle w:val="Normal"/>
        <w:spacing/>
        <w:ind/>
        <w:jc w:val="center"/>
        <w:rPr>
          <w:rFonts w:ascii="Arial" w:eastAsia="Arial" w:hAnsi="Arial" w:cs="Arial"/>
          <w:b/>
          <w:bCs/>
          <w:szCs w:val="24"/>
        </w:rPr>
      </w:pPr>
    </w:p>
    <w:p>
      <w:pPr>
        <w:pBdr/>
        <w:pStyle w:val="Normal"/>
        <w:spacing/>
        <w:ind/>
        <w:jc w:val="center"/>
        <w:rPr>
          <w:rFonts w:ascii="Arial" w:eastAsia="Arial" w:hAnsi="Arial" w:cs="Arial"/>
          <w:b/>
          <w:bCs/>
          <w:szCs w:val="24"/>
        </w:rPr>
      </w:pPr>
    </w:p>
    <w:p>
      <w:pPr>
        <w:pBdr/>
        <w:pStyle w:val="Title"/>
        <w:spacing/>
        <w:ind/>
        <w:rPr/>
      </w:pPr>
      <w:r>
        <w:rPr/>
        <w:t xml:space="preserve">NACRT PRIJEDLOGA ZAKONA O PROVEDBI UREDBE (EU) 2022/2560 O STRANIM SUBVENCIJAMA KOJE NARUŠAVAJU UNUTARNJE TRŽIŠTE, S NACRTOM KONAČNOG PRIJEDLOGA ZAKONA</w:t>
      </w: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pStyle w:val="Normal"/>
        <w:spacing/>
        <w:widowControl w:val="0"/>
        <w:ind/>
        <w:jc w:val="both"/>
        <w:rPr>
          <w:rFonts w:ascii="Arial" w:eastAsia="Arial" w:hAnsi="Arial" w:cs="Arial"/>
          <w:b/>
          <w:szCs w:val="24"/>
        </w:rPr>
      </w:pPr>
    </w:p>
    <w:p>
      <w:pPr>
        <w:pBdr>
          <w:bottom w:val="single" w:color="000000" w:sz="12" w:space="1"/>
        </w:pBdr>
        <w:pStyle w:val="Normal"/>
        <w:spacing/>
        <w:ind/>
        <w:jc w:val="both"/>
        <w:rPr>
          <w:rFonts w:ascii="Arial" w:eastAsia="Arial" w:hAnsi="Arial" w:cs="Arial"/>
          <w:b/>
          <w:bCs/>
        </w:rPr>
      </w:pPr>
    </w:p>
    <w:p>
      <w:pPr>
        <w:pBdr>
          <w:bottom w:val="single" w:color="000000" w:sz="12" w:space="1"/>
        </w:pBdr>
        <w:pStyle w:val="Normal"/>
        <w:spacing/>
        <w:ind/>
        <w:jc w:val="both"/>
        <w:rPr>
          <w:rFonts w:ascii="Arial" w:eastAsia="Arial" w:hAnsi="Arial" w:cs="Arial"/>
          <w:b/>
          <w:szCs w:val="24"/>
        </w:rPr>
      </w:pPr>
    </w:p>
    <w:p>
      <w:pPr>
        <w:pBdr>
          <w:bottom w:val="single" w:color="000000" w:sz="12" w:space="1"/>
        </w:pBdr>
        <w:pStyle w:val="Normal"/>
        <w:spacing/>
        <w:ind/>
        <w:jc w:val="both"/>
        <w:rPr>
          <w:rFonts w:ascii="Arial" w:eastAsia="Arial" w:hAnsi="Arial" w:cs="Arial"/>
          <w:b/>
          <w:szCs w:val="24"/>
        </w:rPr>
      </w:pPr>
    </w:p>
    <w:p>
      <w:pPr>
        <w:pBdr/>
        <w:pStyle w:val="Heading 1"/>
        <w:spacing/>
        <w:widowControl w:val="0"/>
        <w:ind/>
        <w:jc w:val="center"/>
        <w:rPr>
          <w:rFonts w:ascii="Arial" w:eastAsia="Arial" w:hAnsi="Arial" w:cs="Arial"/>
          <w:b/>
          <w:szCs w:val="24"/>
        </w:rPr>
      </w:pPr>
      <w:r>
        <w:rPr>
          <w:rFonts w:ascii="Arial" w:eastAsia="Arial" w:hAnsi="Arial" w:cs="Arial"/>
          <w:b/>
          <w:szCs w:val="24"/>
        </w:rPr>
        <w:t xml:space="preserve">Zagreb, listopad 2026.</w:t>
      </w:r>
    </w:p>
    <w:p>
      <w:pPr>
        <w:pBdr/>
        <w:pStyle w:val="Normal"/>
        <w:spacing w:after="160" w:line="259" w:lineRule="auto"/>
        <w:ind/>
        <w:rPr>
          <w:rFonts w:ascii="Arial" w:eastAsia="Arial" w:hAnsi="Arial" w:cs="Arial"/>
          <w:b/>
          <w:szCs w:val="24"/>
        </w:rPr>
      </w:pPr>
      <w:r>
        <w:rPr>
          <w:rFonts w:ascii="Arial" w:eastAsia="Arial" w:hAnsi="Arial" w:cs="Arial"/>
          <w:b/>
          <w:szCs w:val="24"/>
        </w:rPr>
        <w:br w:type="page"/>
      </w:r>
    </w:p>
    <w:p>
      <w:pPr>
        <w:pBdr/>
        <w:pStyle w:val="Heading 1"/>
        <w:spacing/>
        <w:ind/>
        <w:rPr/>
      </w:pPr>
      <w:r>
        <w:rPr/>
        <w:t xml:space="preserve">USTAVNA OSNOVA ZA DONOŠENJE ZAKONA</w:t>
      </w:r>
    </w:p>
    <w:p>
      <w:pPr>
        <w:pBdr/>
        <w:pStyle w:val="Normal"/>
        <w:spacing/>
        <w:contextualSpacing/>
        <w:ind w:left="720"/>
        <w:jc w:val="both"/>
        <w:rPr>
          <w:rFonts w:ascii="Arial" w:eastAsia="Arial" w:hAnsi="Arial" w:cs="Arial"/>
          <w:szCs w:val="24"/>
        </w:rPr>
      </w:pPr>
      <w:r>
        <w:rPr>
          <w:rFonts w:ascii="Arial" w:eastAsia="Arial" w:hAnsi="Arial" w:cs="Arial"/>
          <w:szCs w:val="24"/>
        </w:rPr>
        <w:tab/>
      </w:r>
      <w:r>
        <w:rPr>
          <w:rFonts w:ascii="Arial" w:eastAsia="Arial" w:hAnsi="Arial" w:cs="Arial"/>
          <w:szCs w:val="24"/>
        </w:rPr>
        <w:t xml:space="preserve"/>
      </w:r>
    </w:p>
    <w:p>
      <w:pPr>
        <w:pBdr/>
        <w:pStyle w:val="Normal"/>
        <w:spacing/>
        <w:contextualSpacing/>
        <w:ind w:firstLine="708"/>
        <w:jc w:val="both"/>
        <w:rPr>
          <w:rFonts w:ascii="Arial" w:eastAsia="Arial" w:hAnsi="Arial" w:cs="Arial"/>
          <w:szCs w:val="24"/>
        </w:rPr>
      </w:pPr>
      <w:r>
        <w:rPr>
          <w:rFonts w:ascii="Arial" w:eastAsia="Arial" w:hAnsi="Arial" w:cs="Arial"/>
          <w:szCs w:val="24"/>
        </w:rPr>
        <w:t xml:space="preserve">Ustavna osnova za donošenje Zakona sadržana je u odredbi članka 2. stavka 4. podstavka 1. Ustava Republike Hrvatske („Narodne novine“, br. 85/10. - pročišćeni tekst i 5/14. - Odluka Ustavnog suda Republike Hrvatske). </w:t>
      </w:r>
    </w:p>
    <w:p>
      <w:pPr>
        <w:pBdr/>
        <w:pStyle w:val="Normal"/>
        <w:spacing/>
        <w:contextualSpacing/>
        <w:ind w:firstLine="708"/>
        <w:jc w:val="both"/>
        <w:rPr>
          <w:rFonts w:ascii="Arial" w:eastAsia="Arial" w:hAnsi="Arial" w:cs="Arial"/>
          <w:szCs w:val="24"/>
        </w:rPr>
      </w:pPr>
    </w:p>
    <w:p>
      <w:pPr>
        <w:pBdr/>
        <w:pStyle w:val="Normal"/>
        <w:spacing/>
        <w:ind/>
        <w:jc w:val="both"/>
        <w:rPr>
          <w:rFonts w:ascii="Arial" w:eastAsia="Arial" w:hAnsi="Arial" w:cs="Arial"/>
          <w:szCs w:val="24"/>
        </w:rPr>
      </w:pPr>
    </w:p>
    <w:p>
      <w:pPr>
        <w:pBdr/>
        <w:pStyle w:val="Heading 1"/>
        <w:spacing/>
        <w:ind/>
        <w:rPr/>
      </w:pPr>
      <w:r>
        <w:rPr/>
        <w:t xml:space="preserve">OCJENA STANJA I OSNOVNA PITANJA KOJA SE TREBAJU UREDITI ZAKONOM, TE POSLJEDICE KOJE ĆE DONOŠENJEM ZAKONA PROISTEĆI </w:t>
      </w:r>
      <w:bookmarkStart w:name="_Hlk157616984" w:id="0"/>
    </w:p>
    <w:p>
      <w:pPr>
        <w:pBdr/>
        <w:pStyle w:val="Normal"/>
        <w:spacing w:after="160" w:line="259" w:lineRule="auto"/>
        <w:contextualSpacing/>
        <w:ind w:left="1080"/>
        <w:jc w:val="both"/>
        <w:rPr>
          <w:rFonts w:ascii="Arial" w:eastAsia="Arial" w:hAnsi="Arial" w:cs="Arial"/>
          <w:b/>
          <w:szCs w:val="24"/>
        </w:rPr>
      </w:pPr>
    </w:p>
    <w:p>
      <w:pPr>
        <w:pBdr/>
        <w:pStyle w:val="List Paragraph"/>
        <w:numPr>
          <w:ilvl w:val="0"/>
          <w:numId w:val="8"/>
        </w:numPr>
        <w:spacing w:before="100" w:beforeAutospacing="true" w:after="100" w:afterAutospacing="true" w:line="259" w:lineRule="auto"/>
        <w:ind/>
        <w:jc w:val="both"/>
        <w:rPr>
          <w:rFonts w:ascii="Arial" w:eastAsia="Arial" w:hAnsi="Arial" w:cs="Arial"/>
          <w:b/>
          <w:bCs/>
          <w:color w:val="000000"/>
          <w:szCs w:val="24"/>
        </w:rPr>
      </w:pPr>
      <w:r>
        <w:rPr>
          <w:rFonts w:ascii="Arial" w:eastAsia="Arial" w:hAnsi="Arial" w:cs="Arial"/>
          <w:b/>
          <w:bCs/>
          <w:color w:val="000000"/>
          <w:szCs w:val="24"/>
        </w:rPr>
        <w:t xml:space="preserve">Ocjena stanja</w:t>
      </w:r>
    </w:p>
    <w:p>
      <w:pPr>
        <w:pBdr/>
        <w:pStyle w:val="Normal"/>
        <w:spacing/>
        <w:ind w:firstLine="360"/>
        <w:jc w:val="both"/>
        <w:rPr>
          <w:rFonts w:ascii="Arial" w:eastAsia="Arial" w:hAnsi="Arial" w:cs="Arial"/>
          <w:szCs w:val="24"/>
        </w:rPr>
      </w:pPr>
      <w:r>
        <w:rPr>
          <w:rFonts w:ascii="Arial" w:eastAsia="Arial" w:hAnsi="Arial" w:cs="Arial"/>
          <w:szCs w:val="24"/>
        </w:rPr>
        <w:t xml:space="preserve">Uredba (EU) 2022/2560 Europskog parlamenta i Vijeća od 14. prosinca 2022. o stranim subvencijama koje narušavaju unutarnje tržište donesena je radi uspostave regulatornog okvira kojim se otklanjaju narušavanja tržišnog natjecanja na unutarnjem tržištu Europske unije uzrokovana stranim subvencijama koje poduzetnicima dodjeljuju treće države, a kako bi se osigurali ravnopravni uvjeti tržišnog natjecanja.</w:t>
      </w:r>
    </w:p>
    <w:p>
      <w:pPr>
        <w:pBdr/>
        <w:pStyle w:val="Normal"/>
        <w:spacing/>
        <w:ind w:firstLine="360"/>
        <w:jc w:val="both"/>
        <w:rPr>
          <w:rFonts w:ascii="Arial" w:eastAsia="Arial" w:hAnsi="Arial" w:cs="Arial"/>
          <w:szCs w:val="24"/>
        </w:rPr>
      </w:pPr>
      <w:r>
        <w:rPr>
          <w:rFonts w:ascii="Arial" w:eastAsia="Arial" w:hAnsi="Arial" w:cs="Arial"/>
          <w:szCs w:val="24"/>
        </w:rPr>
        <w:t xml:space="preserve">Prije donošenja Uredbe (EU) 2022/2560 pravni okvir Europske unije sadržavao je pravila o državnim potporama koja se primjenjuju na potpore koje dodjeljuju države članice Europske unije te pravila tržišnog natjecanja koja se odnose na sporazume između poduzetnika, zlouporabu vladajućeg položaja i kontrolu koncentracija. Međutim, nisu postojala posebna pravila kojima bi se omogućilo učinkovito ispitivanje i otklanjanje učinaka financijskih doprinosa i subvencija koje poduzetnicima dodjeljuju treće države, a koje mogu dovesti do narušavanja tržišnog natjecanja na unutarnjem tržištu Europske unije.</w:t>
      </w:r>
    </w:p>
    <w:p>
      <w:pPr>
        <w:pBdr/>
        <w:pStyle w:val="Normal"/>
        <w:spacing/>
        <w:ind w:firstLine="360"/>
        <w:jc w:val="both"/>
        <w:rPr>
          <w:rFonts w:ascii="Arial" w:eastAsia="Arial" w:hAnsi="Arial" w:cs="Arial"/>
          <w:szCs w:val="24"/>
        </w:rPr>
      </w:pPr>
      <w:r>
        <w:rPr>
          <w:rFonts w:ascii="Arial" w:eastAsia="Arial" w:hAnsi="Arial" w:cs="Arial"/>
          <w:szCs w:val="24"/>
        </w:rPr>
        <w:t xml:space="preserve">Uredbom (EU) 2022/2560 Europskoj komisiji dodijeljene su ovlasti za ispitivanje stranih subvencija koje narušavaju unutarnje tržište te za poduzimanje odgovarajućih mjera radi otklanjanja njihovih negativnih učinaka. Uredba uspostavlja sustav prethodne prijave određenih koncentracija i postupaka javne nabave te ovlašćuje Europsku komisiju da po službenoj dužnosti istražuje strane subvencije u svim gospodarskim sektorima. Područje primjene Uredbe obuhvaća i postupke dodjele koncesija u slučajevima predviđenima njezinim odredbama.</w:t>
      </w:r>
    </w:p>
    <w:p>
      <w:pPr>
        <w:pBdr/>
        <w:pStyle w:val="Normal"/>
        <w:spacing/>
        <w:ind w:firstLine="360"/>
        <w:jc w:val="both"/>
        <w:rPr>
          <w:rFonts w:ascii="Arial" w:eastAsia="Arial" w:hAnsi="Arial" w:cs="Arial"/>
        </w:rPr>
      </w:pPr>
      <w:r>
        <w:rPr>
          <w:rFonts w:ascii="Arial" w:eastAsia="Arial" w:hAnsi="Arial" w:cs="Arial"/>
        </w:rPr>
        <w:t xml:space="preserve">Iako je Uredba (EU) 2022/2560 u cijelosti obvezujuća i izravno se primjenjuje u svim državama članicama Europske unije, za njezinu učinkovitu provedbu potrebno je nacionalnim zakonodavstvom odrediti nadležna tijela za suradnju s Europskom komisijom, dostavu i razmjenu informacija, pružanje pomoći tijekom provođenja inspekcija i drugih radnji i mjera te izricanje novčanih kazni u slučajevima ometanja njihove provedbe. Budući da je cilj Uredbe (EU) 2022/2560 otklanjanje narušavanja tržišnog natjecanja uzrokovanih stranim subvencijama, potrebno je odrediti nadležno tijelo koje će na nacionalnoj razini koordinirati njezinu provedbu i suradnju s Europskom komisijom. </w:t>
      </w:r>
    </w:p>
    <w:p>
      <w:pPr>
        <w:pBdr/>
        <w:pStyle w:val="Normal"/>
        <w:spacing/>
        <w:ind w:firstLine="360"/>
        <w:jc w:val="both"/>
        <w:rPr>
          <w:rFonts w:ascii="Arial" w:eastAsia="Arial" w:hAnsi="Arial" w:cs="Arial"/>
        </w:rPr>
      </w:pPr>
      <w:r>
        <w:rPr>
          <w:rFonts w:ascii="Arial" w:eastAsia="Arial" w:hAnsi="Arial" w:cs="Arial"/>
        </w:rPr>
        <w:t xml:space="preserve">Posebice, Uredba (EU) 2022/2560 predviđa suradnju država članica i Europske komisije u okviru dostave informacija o mogućem postojanju stranih subvencija koje narušavaju unutarnje tržište, razmjene podataka potrebnih za provođenje postupaka pred Europskom komisijom te pružanja pomoći tijekom provođenja inspekcija i drugih radnji i mjera.</w:t>
      </w:r>
    </w:p>
    <w:p>
      <w:pPr>
        <w:pBdr/>
        <w:pStyle w:val="Normal"/>
        <w:spacing/>
        <w:ind w:firstLine="360"/>
        <w:jc w:val="both"/>
        <w:rPr/>
      </w:pPr>
    </w:p>
    <w:p>
      <w:pPr>
        <w:pBdr/>
        <w:pStyle w:val="List Paragraph"/>
        <w:numPr>
          <w:ilvl w:val="0"/>
          <w:numId w:val="8"/>
        </w:numPr>
        <w:spacing w:before="100" w:beforeAutospacing="true" w:after="100" w:afterAutospacing="true" w:line="259" w:lineRule="auto"/>
        <w:ind/>
        <w:jc w:val="both"/>
        <w:rPr>
          <w:rFonts w:ascii="Arial" w:eastAsia="Arial" w:hAnsi="Arial" w:cs="Arial"/>
          <w:b/>
          <w:bCs/>
          <w:szCs w:val="24"/>
        </w:rPr>
      </w:pPr>
      <w:r>
        <w:rPr>
          <w:rFonts w:ascii="Arial" w:eastAsia="Arial" w:hAnsi="Arial" w:cs="Arial"/>
          <w:b/>
          <w:bCs/>
          <w:szCs w:val="24"/>
        </w:rPr>
        <w:t xml:space="preserve">Osnovna pitanja koja se trebaju urediti Zakonom </w:t>
      </w:r>
    </w:p>
    <w:p>
      <w:pPr>
        <w:pBdr/>
        <w:pStyle w:val="Normal"/>
        <w:spacing w:before="100" w:beforeAutospacing="true" w:after="100" w:afterAutospacing="true"/>
        <w:ind w:firstLine="360"/>
        <w:jc w:val="both"/>
        <w:rPr>
          <w:rFonts w:ascii="Arial" w:eastAsia="Arial" w:hAnsi="Arial" w:cs="Arial"/>
          <w:szCs w:val="24"/>
        </w:rPr>
      </w:pPr>
      <w:r>
        <w:rPr>
          <w:rFonts w:ascii="Arial" w:eastAsia="Arial" w:hAnsi="Arial" w:cs="Arial"/>
          <w:szCs w:val="24"/>
        </w:rPr>
        <w:t xml:space="preserve"> Ovim Prijedlogom zakona određuju se nadležna tijela za provedbu Uredbe (EU) 2022/2560 u Republici Hrvatskoj te uređuju njihova međusobna prava i obveze u provedbi navedene Uredbe.</w:t>
      </w:r>
    </w:p>
    <w:p>
      <w:pPr>
        <w:pBdr/>
        <w:pStyle w:val="Normal"/>
        <w:spacing w:beforeAutospacing="true" w:afterAutospacing="true" w:line="259" w:lineRule="auto"/>
        <w:ind w:firstLine="360"/>
        <w:jc w:val="both"/>
        <w:rPr>
          <w:rFonts w:ascii="Arial" w:eastAsia="Arial" w:hAnsi="Arial" w:cs="Arial"/>
        </w:rPr>
      </w:pPr>
      <w:r>
        <w:rPr>
          <w:rFonts w:ascii="Arial" w:eastAsia="Arial" w:hAnsi="Arial" w:cs="Arial"/>
        </w:rPr>
        <w:t xml:space="preserve">Prijedlogom zakona Agencija za zaštitu tržišnog natjecanja određuje se kao nadležno tijelo za koordinaciju provedbe Uredbe (EU) 2022/2560 i suradnju s Europskom komisijom, osobito u provedbi inspekcija i drugih aktivnosti iz članka. 14. predmetne Uredbe, a koje se odnose na utvrđivanje postojanja strane subvencije kojom se narušava unutarnje tržište. Istodobno se određuje uloga ministarstva nadležnog za gospodarstvo i ministarstva nadležnog za financije u provedbi predmetne Uredbe u okviru poslova iz njihova djelokruga, osobito kroz prikupljanje, razmjenu i dostavu informacija te pružanje stručne pomoći Agenciji i Europskoj komisiji u području javne nabave, financijskih doprinosa, subvencijskih mehanizama, fiskalnih mjera i koncesija, kao i u pitanjima povezanima s provedbom propisa Europske unije kojima se uređuje provjera izravnih stranih ulaganja, kada je to od značaja da provedbu Uredbe (EU) 2022/2560.</w:t>
      </w:r>
    </w:p>
    <w:p>
      <w:pPr>
        <w:pBdr/>
        <w:pStyle w:val="Normal"/>
        <w:spacing w:before="100" w:beforeAutospacing="true" w:after="100" w:afterAutospacing="true"/>
        <w:ind w:firstLine="360"/>
        <w:jc w:val="both"/>
        <w:rPr>
          <w:rFonts w:ascii="Arial" w:eastAsia="Arial" w:hAnsi="Arial" w:cs="Arial"/>
          <w:szCs w:val="24"/>
        </w:rPr>
      </w:pPr>
      <w:r>
        <w:rPr>
          <w:rFonts w:ascii="Arial" w:eastAsia="Arial" w:hAnsi="Arial" w:cs="Arial"/>
          <w:szCs w:val="24"/>
        </w:rPr>
        <w:t xml:space="preserve">Nadalje, uređuje se dostavljanje informacija o mogućem postojanju stranih subvencija koje narušavaju unutarnje tržište te razmjena informacija između nadležnih nacionalnih tijela i Europske komisije u skladu s odredbama Uredbe (EU) 2022/2560.</w:t>
      </w:r>
    </w:p>
    <w:p>
      <w:pPr>
        <w:pBdr/>
        <w:pStyle w:val="Normal"/>
        <w:spacing w:line="240" w:lineRule="atLeast"/>
        <w:ind w:firstLine="360"/>
        <w:jc w:val="both"/>
        <w:rPr>
          <w:rFonts w:ascii="Arial" w:eastAsia="Arial" w:hAnsi="Arial" w:cs="Arial"/>
          <w:szCs w:val="24"/>
        </w:rPr>
      </w:pPr>
      <w:r>
        <w:rPr>
          <w:rFonts w:ascii="Arial" w:eastAsia="Arial" w:hAnsi="Arial" w:cs="Arial"/>
          <w:szCs w:val="24"/>
        </w:rPr>
        <w:t xml:space="preserve">Naime, članak 10. stavak 2. Uredbe (EU) 2022/2560 propisuje da, ako je država članica obavijestila Europsku komisiju da je predviđen ili pokrenut odgovarajući nacionalni postupak, Europska komisija obavješćuje tu državu članicu o početku preliminarnog preispitivanja. Posebno, Europska komisija obavješćuje države članice koje su je obavijestile o nacionalnom postupku provjere izravnih stranih ulaganja o početku preliminarnog preispitivanja. Ako je preliminarno preispitivanje pokrenuto u vezi s postupkom javne nabave, Europska komisija obavješćuje i dotičnog naručitelja. Nadalje, člankom 13. stavkom 1. Uredbe (EU) 2022/2560 propisana je ovlast Europske komisije da zatraži informacije, dok je stavkom 5. istoga članka propisano da države članice, na zahtjev Europske komisije, pružaju sve potrebne informacije za obavljanje zadaća koje su joj dodijeljene navedenom Uredbom. Člankom 13. stavkom 7. propisano je da Europska komisija može razgovarati s fizičkom ili pravnom osobom koja pristane na razgovor u svrhu prikupljanja informacija povezanih s predmetom ispitnog postupka te da, ako se razgovor ne obavlja u prostorijama Europske komisije, telefonom ili drugim elektroničkim sredstvima, prije razgovora obavješćuje državu članicu na čijem se državnom području razgovor treba obaviti.</w:t>
      </w:r>
    </w:p>
    <w:p>
      <w:pPr>
        <w:pBdr/>
        <w:pStyle w:val="Normal"/>
        <w:spacing w:line="240" w:lineRule="atLeast"/>
        <w:ind/>
        <w:jc w:val="both"/>
        <w:rPr>
          <w:rFonts w:ascii="Arial" w:eastAsia="Arial" w:hAnsi="Arial" w:cs="Arial"/>
          <w:szCs w:val="24"/>
        </w:rPr>
      </w:pPr>
    </w:p>
    <w:p>
      <w:pPr>
        <w:pBdr/>
        <w:pStyle w:val="Normal"/>
        <w:spacing w:line="240" w:lineRule="atLeast"/>
        <w:ind w:firstLine="360"/>
        <w:jc w:val="both"/>
        <w:rPr>
          <w:rFonts w:ascii="Arial" w:eastAsia="Arial" w:hAnsi="Arial" w:cs="Arial"/>
        </w:rPr>
      </w:pPr>
      <w:r>
        <w:rPr>
          <w:rFonts w:ascii="Arial" w:eastAsia="Arial" w:hAnsi="Arial" w:cs="Arial"/>
        </w:rPr>
        <w:t xml:space="preserve">Članak 14. st. 2. Uredbe (EU) 2022/2560 propisuje koje ovlasti ima osoba koju država članica ovlasti ili imenuje za pružanje pomoći službenim osobama koje je ovlastila Europska komisija, a koje se ovlasti sastoje od ulaska u sve prostorije, na zemljišta i u prijevozna sredstva poduzeća ili udruženja poduzeća; pregledavanja poslovnih knjiga i druge poslovne dokumentacije bez obzira na medij na kojem su pohranjeni, pristup svim informacijama koje su dostupne subjektu koji je predmeti inspekcije te uzimanje ili traženje primjeraka ili izvadaka iz tih poslovnih knjiga ili te poslovne dokumentacije; traženje od bilo kojeg predstavnika ili člana osoblja poduzeća ili udruženja poduzeća objašnjenja u vezi s činjenicama ili dokumentima koji se odnose na predmet i svrhu inspekcije te zabilježiti odgovore; zapečatiti svaki poslovni prostor te poslovne knjige ili poslovnu dokumentaciju za vrijeme trajanja inspekcije i u opsegu koji je potreban za inspekciju. </w:t>
      </w:r>
      <w:r>
        <w:rPr>
          <w:rFonts w:ascii="Arial" w:eastAsia="Arial" w:hAnsi="Arial" w:cs="Arial"/>
          <w:b/>
          <w:bCs/>
        </w:rPr>
        <w:t xml:space="preserve"> </w:t>
      </w:r>
      <w:r>
        <w:rPr>
          <w:rFonts w:ascii="Arial" w:eastAsia="Arial" w:hAnsi="Arial" w:cs="Arial"/>
        </w:rPr>
        <w:t xml:space="preserve">Članak 14. st. 6. propisuje da država članica pruža pomoć u slučaju kada se poduzeće opire inspekciji te da po potrebi traži i pomoć policije ili istovrijednog tijela za izvršavanje zakonodavstva kako bi im se omogućilo da provedu inspekciju te da ako je za takvu pomoć potrebno odobrenje sudskog tijela mora se podnijeti zahtjev za takvo odobrenje.  Takav zahtjev može se podnijeti i kao mjera predostrožnosti. </w:t>
      </w:r>
    </w:p>
    <w:p>
      <w:pPr>
        <w:pBdr/>
        <w:pStyle w:val="Normal"/>
        <w:spacing w:beforeAutospacing="true" w:afterAutospacing="true" w:line="259" w:lineRule="auto"/>
        <w:ind w:firstLine="360"/>
        <w:jc w:val="both"/>
        <w:rPr>
          <w:rFonts w:ascii="Arial" w:eastAsia="Arial" w:hAnsi="Arial" w:cs="Arial"/>
        </w:rPr>
      </w:pPr>
      <w:r>
        <w:rPr>
          <w:rFonts w:ascii="Arial" w:eastAsia="Arial" w:hAnsi="Arial" w:cs="Arial"/>
        </w:rPr>
        <w:t xml:space="preserve">Radi osiguravanja učinkovite provedbe Uredbe (EU) 2022/2560, ovim Prijedlogom zakona propisuju se i novčane kazne za slučajeve ometanja inspekcije, dostavljanja netočnih ili nepotpunih informacija te drugih povreda obveza koje se odnose na suradnju s Agencijom i Europskom komisijom.</w:t>
      </w:r>
    </w:p>
    <w:p>
      <w:pPr>
        <w:pBdr/>
        <w:pStyle w:val="List Paragraph"/>
        <w:numPr>
          <w:ilvl w:val="0"/>
          <w:numId w:val="8"/>
        </w:numPr>
        <w:spacing w:before="100" w:beforeAutospacing="true" w:after="100" w:afterAutospacing="true"/>
        <w:ind/>
        <w:jc w:val="both"/>
        <w:rPr>
          <w:rFonts w:ascii="Arial" w:eastAsia="Arial" w:hAnsi="Arial" w:cs="Arial"/>
          <w:b/>
          <w:bCs/>
          <w:szCs w:val="24"/>
        </w:rPr>
      </w:pPr>
      <w:r>
        <w:rPr>
          <w:rFonts w:ascii="Arial" w:eastAsia="Arial" w:hAnsi="Arial" w:cs="Arial"/>
          <w:b/>
          <w:bCs/>
          <w:szCs w:val="24"/>
        </w:rPr>
        <w:t xml:space="preserve">Posljedice koje će donošenjem Zakona proisteći </w:t>
      </w:r>
    </w:p>
    <w:bookmarkEnd w:id="0"/>
    <w:p>
      <w:pPr>
        <w:pBdr/>
        <w:pStyle w:val="Normal"/>
        <w:spacing w:before="100" w:beforeAutospacing="true" w:after="100" w:afterAutospacing="true" w:line="259" w:lineRule="auto"/>
        <w:ind w:firstLine="720"/>
        <w:jc w:val="both"/>
        <w:tabs>
          <w:tab w:val="left" w:pos="1770"/>
        </w:tabs>
        <w:rPr>
          <w:rFonts w:ascii="Arial" w:eastAsia="Arial" w:hAnsi="Arial" w:cs="Arial"/>
          <w:color w:val="000000"/>
          <w:szCs w:val="24"/>
        </w:rPr>
      </w:pPr>
      <w:r>
        <w:rPr>
          <w:rFonts w:ascii="Arial" w:eastAsia="Arial" w:hAnsi="Arial" w:cs="Arial"/>
          <w:color w:val="000000"/>
          <w:szCs w:val="24"/>
        </w:rPr>
        <w:t xml:space="preserve">Donošenjem ovoga Zakona osigurat će se pravni i institucionalni okvir za učinkovitu provedbu Uredbe (EU) 2022/2560 u Republici Hrvatskoj.</w:t>
      </w:r>
    </w:p>
    <w:p>
      <w:pPr>
        <w:pBdr/>
        <w:pStyle w:val="Normal"/>
        <w:spacing w:beforeAutospacing="true" w:afterAutospacing="true" w:line="259" w:lineRule="auto"/>
        <w:ind w:firstLine="720"/>
        <w:jc w:val="both"/>
        <w:tabs>
          <w:tab w:val="left" w:pos="1770"/>
        </w:tabs>
        <w:rPr>
          <w:rFonts w:ascii="Arial" w:eastAsia="Arial" w:hAnsi="Arial" w:cs="Arial"/>
          <w:color w:val="000000"/>
        </w:rPr>
      </w:pPr>
      <w:r>
        <w:rPr>
          <w:rFonts w:ascii="Arial" w:eastAsia="Arial" w:hAnsi="Arial" w:cs="Arial"/>
          <w:color w:val="000000"/>
        </w:rPr>
        <w:t xml:space="preserve">Zakonom će se osigurati jasno određivanje nadležnih tijela i njihovih zadaća u provedbi Uredbe, učinkovita suradnja s Europskom komisijom, pravodobna razmjena informacija te učinkovito provođenje inspekcija potrebnih za utvrđivanje postojanja stranih subvencija koje narušavaju unutarnje tržište.</w:t>
      </w:r>
    </w:p>
    <w:p>
      <w:pPr>
        <w:pBdr/>
        <w:pStyle w:val="Normal"/>
        <w:spacing w:before="100" w:beforeAutospacing="true" w:after="100" w:afterAutospacing="true" w:line="259" w:lineRule="auto"/>
        <w:ind w:firstLine="720"/>
        <w:jc w:val="both"/>
        <w:tabs>
          <w:tab w:val="left" w:pos="1770"/>
        </w:tabs>
        <w:rPr>
          <w:rFonts w:ascii="Arial" w:eastAsia="Arial" w:hAnsi="Arial" w:cs="Arial"/>
          <w:color w:val="000000"/>
          <w:szCs w:val="24"/>
        </w:rPr>
      </w:pPr>
      <w:r>
        <w:rPr>
          <w:rFonts w:ascii="Arial" w:eastAsia="Arial" w:hAnsi="Arial" w:cs="Arial"/>
          <w:color w:val="000000"/>
          <w:szCs w:val="24"/>
        </w:rPr>
        <w:t xml:space="preserve">Donošenje Zakona doprinijet će pravilnoj primjeni pravila Europske unije o stranim subvencijama, zaštiti tržišnog natjecanja te očuvanju ravnopravnih uvjeta poslovanja na unutarnjem tržištu Europske unije.</w:t>
      </w:r>
    </w:p>
    <w:p>
      <w:pPr>
        <w:pBdr/>
        <w:pStyle w:val="Heading 1"/>
        <w:spacing/>
        <w:ind/>
        <w:rPr/>
      </w:pPr>
      <w:r>
        <w:rPr>
          <w:bCs/>
        </w:rPr>
        <w:t xml:space="preserve">OCJENA SREDSTAVA POTREBNIH ZA PROVEDBU ZAKONA </w:t>
      </w:r>
    </w:p>
    <w:p>
      <w:pPr>
        <w:pBdr/>
        <w:pStyle w:val="Normal"/>
        <w:spacing/>
        <w:ind/>
        <w:jc w:val="both"/>
        <w:rPr>
          <w:rFonts w:ascii="Arial" w:eastAsia="Arial" w:hAnsi="Arial" w:cs="Arial"/>
          <w:b/>
        </w:rPr>
      </w:pPr>
      <w:r>
        <w:rPr>
          <w:rFonts w:ascii="Arial" w:eastAsia="Arial" w:hAnsi="Arial" w:cs="Arial"/>
          <w:szCs w:val="24"/>
        </w:rPr>
        <w:tab/>
      </w:r>
      <w:r>
        <w:rPr>
          <w:rFonts w:ascii="Arial" w:eastAsia="Arial" w:hAnsi="Arial" w:cs="Arial"/>
          <w:szCs w:val="24"/>
        </w:rPr>
        <w:t xml:space="preserve"/>
      </w:r>
      <w:r>
        <w:rPr>
          <w:rFonts w:ascii="Arial" w:eastAsia="Arial" w:hAnsi="Arial" w:cs="Arial"/>
        </w:rPr>
        <w:t xml:space="preserve">Provedbom ovoga Zakona nema promjena u prihodima i primicima ili rashodima i izdacima državnog proračuna Republike Hrvatske.</w:t>
      </w:r>
    </w:p>
    <w:p>
      <w:pPr>
        <w:pBdr/>
        <w:pStyle w:val="Normal"/>
        <w:spacing/>
        <w:contextualSpacing/>
        <w:ind w:firstLine="708"/>
        <w:jc w:val="both"/>
        <w:rPr>
          <w:rFonts w:ascii="Arial" w:eastAsia="Arial" w:hAnsi="Arial" w:cs="Arial"/>
          <w:szCs w:val="24"/>
        </w:rPr>
      </w:pPr>
      <w:r>
        <w:rPr>
          <w:rFonts w:ascii="Arial" w:eastAsia="Arial" w:hAnsi="Arial" w:cs="Arial"/>
          <w:szCs w:val="24"/>
        </w:rPr>
        <w:tab/>
      </w:r>
      <w:r>
        <w:rPr>
          <w:rFonts w:ascii="Arial" w:eastAsia="Arial" w:hAnsi="Arial" w:cs="Arial"/>
          <w:szCs w:val="24"/>
        </w:rPr>
        <w:t xml:space="preserve"/>
      </w:r>
    </w:p>
    <w:p>
      <w:pPr>
        <w:pBdr/>
        <w:pStyle w:val="Heading 1"/>
        <w:spacing/>
        <w:ind/>
        <w:rPr>
          <w:b w:val="0"/>
          <w:bCs/>
        </w:rPr>
      </w:pPr>
      <w:r>
        <w:rPr>
          <w:rStyle w:val="Heading 1 Char"/>
          <w:b/>
          <w:bCs/>
        </w:rPr>
        <w:t xml:space="preserve">OBRAZLOŽENJE PRIJEDLOGA ZA DONOŠENJE ZAKONA PO HITNOM POSTUPKU</w:t>
      </w:r>
    </w:p>
    <w:p>
      <w:pPr>
        <w:pBdr/>
        <w:pStyle w:val="Normal"/>
        <w:spacing/>
        <w:ind w:firstLine="567"/>
        <w:jc w:val="both"/>
        <w:tabs>
          <w:tab w:val="left" w:pos="1134.000015258789"/>
        </w:tabs>
        <w:rPr>
          <w:rFonts w:ascii="Arial" w:eastAsia="Arial" w:hAnsi="Arial" w:cs="Arial"/>
          <w:b/>
          <w:szCs w:val="24"/>
        </w:rPr>
      </w:pPr>
    </w:p>
    <w:p>
      <w:pPr>
        <w:pBdr/>
        <w:pStyle w:val="Normal"/>
        <w:spacing w:line="240" w:lineRule="atLeast"/>
        <w:ind w:firstLine="850"/>
        <w:jc w:val="both"/>
        <w:rPr>
          <w:rFonts w:ascii="Arial" w:eastAsia="Arial" w:hAnsi="Arial" w:cs="Arial"/>
          <w:szCs w:val="24"/>
        </w:rPr>
      </w:pPr>
      <w:r>
        <w:rPr>
          <w:rFonts w:ascii="Arial" w:eastAsia="Arial" w:hAnsi="Arial" w:cs="Arial"/>
          <w:szCs w:val="24"/>
        </w:rPr>
        <w:t xml:space="preserve">Donošenje ovoga Zakona predlaže se po hitnom postupku sukladno članku 206. stavku 1. Poslovnika Hrvatskoga sabora („Narodne novine“, br. 81/13., 113/16., 69/17., 29/18., 53/20., 119/20. – Odluka Ustavnog suda Republike Hrvatske, 123/20. i 86/23. – Odluka Ustavnog suda Republike Hrvatske), prema kojemu se po hitnom postupku donose zakoni koji se usklađuju s dokumentima Europske unije ako to zatraži predlagatelj.</w:t>
      </w:r>
    </w:p>
    <w:p>
      <w:pPr>
        <w:pBdr/>
        <w:pStyle w:val="Normal"/>
        <w:spacing w:line="240" w:lineRule="atLeast"/>
        <w:ind w:firstLine="850"/>
        <w:jc w:val="both"/>
        <w:rPr>
          <w:rFonts w:ascii="Arial" w:eastAsia="Arial" w:hAnsi="Arial" w:cs="Arial"/>
          <w:szCs w:val="24"/>
        </w:rPr>
      </w:pPr>
      <w:r>
        <w:rPr>
          <w:rFonts w:ascii="Arial" w:eastAsia="Arial" w:hAnsi="Arial" w:cs="Arial"/>
          <w:szCs w:val="24"/>
        </w:rPr>
        <w:t xml:space="preserve">U konkretnom slučaju radi se o Prijedlogu zakona kojim se osigurava provedba Uredbe (EU) 2022/2560 Europskog parlamenta i Vijeća od 14. prosinca 2022. o stranim subvencijama koje narušavaju unutarnje tržište.</w:t>
      </w:r>
    </w:p>
    <w:p>
      <w:pPr>
        <w:pBdr/>
        <w:pStyle w:val="Normal"/>
        <w:spacing w:line="240" w:lineRule="atLeast"/>
        <w:ind w:firstLine="850"/>
        <w:jc w:val="both"/>
        <w:rPr>
          <w:rFonts w:ascii="Arial" w:eastAsia="Arial" w:hAnsi="Arial" w:cs="Arial"/>
        </w:rPr>
      </w:pPr>
      <w:r>
        <w:rPr>
          <w:rFonts w:ascii="Arial" w:eastAsia="Arial" w:hAnsi="Arial" w:cs="Arial"/>
        </w:rPr>
        <w:t xml:space="preserve">Donošenje ovoga Zakona po hitnom postupku predlaže se radi uspostavljanja provedbenih pretpostavki za neposrednu primjenu Uredbe (EU) 2022/2560, osobito u dijelu koji se odnosi na pomoć Europskoj komisiji pri provođenju inspekcija iz članka 14. predmetne Uredbe na području Republike Hrvatske, razmjenu i dostavu podataka te osiguravanje suradnje nadležnih tijela. Potreba za žurnim postupanjem proizlazi i iz članka 10. stavka 2. Uredbe (EU) 2022/2560, kojim je predviđeno obavješćivanje država članica u slučajevima povezanima s nacionalnim postupcima provjere izravnih stranih ulaganja koji se provode u skladu s propisima Europske unije kojima se uređuje provjera izravnih stranih ulaganja. Budući da je za provedbu navedenih obveza i ovlasti potrebno odrediti nadležna nacionalna tijela i urediti postupovna pitanja koja nisu uređena Uredbom (EU) 2022/2560, potrebno je što prije donijeti ovaj Zakon kako bi se osigurala njezina učinkovita provedba u Republici Hrvatskoj.</w:t>
      </w:r>
    </w:p>
    <w:p>
      <w:pPr>
        <w:pBdr/>
        <w:pStyle w:val="Normal"/>
        <w:spacing w:line="240" w:lineRule="atLeast"/>
        <w:ind w:firstLine="850"/>
        <w:jc w:val="both"/>
        <w:rPr>
          <w:rFonts w:ascii="Arial" w:eastAsia="Arial" w:hAnsi="Arial" w:cs="Arial"/>
          <w:szCs w:val="24"/>
        </w:rPr>
      </w:pPr>
      <w:r>
        <w:rPr>
          <w:rFonts w:ascii="Arial" w:eastAsia="Arial" w:hAnsi="Arial" w:cs="Arial"/>
          <w:szCs w:val="24"/>
        </w:rPr>
        <w:t xml:space="preserve">Donošenjem ovoga Zakona uspostavit će se pravni i institucionalni okvir potreban za provedbu Uredbe (EU) 2022/2560 te osigurati učinkovita suradnja s Europskom komisijom u području stranih subvencija koje narušavaju unutarnje tržište Europske unije.</w:t>
      </w:r>
    </w:p>
    <w:p>
      <w:pPr>
        <w:pBdr/>
        <w:pStyle w:val="Normal"/>
        <w:spacing w:line="240" w:lineRule="atLeast"/>
        <w:ind w:firstLine="850"/>
        <w:jc w:val="both"/>
        <w:rPr>
          <w:rFonts w:ascii="Arial" w:eastAsia="Arial" w:hAnsi="Arial" w:cs="Arial"/>
          <w:szCs w:val="24"/>
        </w:rPr>
      </w:pPr>
      <w:r>
        <w:rPr>
          <w:rFonts w:ascii="Arial" w:eastAsia="Arial" w:hAnsi="Arial" w:cs="Arial"/>
          <w:szCs w:val="24"/>
        </w:rPr>
        <w:t xml:space="preserve">Uzimajući u obzir navedene okolnosti, cijeni se opravdanim donošenje ovoga Zakona po hitnom postupku temeljem članka 206. Poslovnika Hrvatskoga sabora.</w:t>
      </w:r>
    </w:p>
    <w:p>
      <w:pPr>
        <w:pBdr/>
        <w:pStyle w:val="Normal"/>
        <w:spacing w:line="240" w:lineRule="atLeast"/>
        <w:ind w:firstLine="850"/>
        <w:jc w:val="both"/>
        <w:rPr>
          <w:rFonts w:ascii="Arial" w:eastAsia="Arial" w:hAnsi="Arial" w:cs="Arial"/>
          <w:szCs w:val="24"/>
        </w:rPr>
      </w:pPr>
    </w:p>
    <w:p>
      <w:pPr>
        <w:pBdr/>
        <w:pStyle w:val="Normal"/>
        <w:spacing/>
        <w:ind/>
        <w:rPr>
          <w:rFonts w:ascii="Arial" w:eastAsia="Arial" w:hAnsi="Arial" w:cs="Arial"/>
          <w:szCs w:val="24"/>
        </w:rPr>
      </w:pPr>
      <w:r>
        <w:rPr>
          <w:rFonts w:ascii="Arial" w:eastAsia="Arial" w:hAnsi="Arial" w:cs="Arial"/>
          <w:szCs w:val="24"/>
        </w:rPr>
        <w:br w:type="page"/>
      </w:r>
    </w:p>
    <w:p>
      <w:pPr>
        <w:pBdr/>
        <w:pStyle w:val="Normal"/>
        <w:spacing w:line="240" w:lineRule="atLeast"/>
        <w:ind/>
        <w:jc w:val="both"/>
        <w:rPr>
          <w:rFonts w:ascii="Arial" w:eastAsia="Arial" w:hAnsi="Arial" w:cs="Arial"/>
          <w:b/>
          <w:bCs/>
          <w:szCs w:val="24"/>
        </w:rPr>
      </w:pPr>
    </w:p>
    <w:p>
      <w:pPr>
        <w:pBdr/>
        <w:pStyle w:val="Title"/>
        <w:spacing/>
        <w:ind/>
        <w:rPr>
          <w:rFonts w:ascii="Arial" w:eastAsia="Arial" w:hAnsi="Arial" w:cs="Arial"/>
        </w:rPr>
      </w:pPr>
      <w:r>
        <w:rPr>
          <w:rFonts w:ascii="Arial" w:eastAsia="Arial" w:hAnsi="Arial" w:cs="Arial"/>
        </w:rPr>
        <w:t xml:space="preserve">KONAČNI PRIJEDLOG ZAKONA O PROVEDBI UREDBE (EU) 2022/2560 O STRANIM SUBVENCIJAMA KOJE NARUŠAVAJU UNUTARNJE TRŽIŠTE</w:t>
      </w:r>
    </w:p>
    <w:p>
      <w:pPr>
        <w:pBdr/>
        <w:pStyle w:val="Normal"/>
        <w:spacing/>
        <w:ind/>
        <w:rPr/>
      </w:pPr>
    </w:p>
    <w:p>
      <w:pPr>
        <w:pBdr/>
        <w:pStyle w:val="Heading 1"/>
        <w:spacing w:before="120" w:after="120"/>
        <w:ind/>
        <w:jc w:val="center"/>
        <w:rPr>
          <w:rFonts w:ascii="Arial" w:eastAsia="Arial" w:hAnsi="Arial" w:cs="Arial"/>
          <w:b/>
          <w:bCs/>
          <w:szCs w:val="24"/>
        </w:rPr>
      </w:pPr>
      <w:r>
        <w:rPr>
          <w:rFonts w:ascii="Arial" w:eastAsia="Arial" w:hAnsi="Arial" w:cs="Arial"/>
          <w:b/>
          <w:bCs/>
          <w:szCs w:val="24"/>
        </w:rPr>
        <w:t xml:space="preserve">DIO PRVI</w:t>
      </w:r>
    </w:p>
    <w:p>
      <w:pPr>
        <w:pBdr/>
        <w:pStyle w:val="Heading 1"/>
        <w:spacing w:before="120" w:after="120"/>
        <w:ind/>
        <w:jc w:val="center"/>
        <w:rPr>
          <w:rFonts w:ascii="Arial" w:eastAsia="Arial" w:hAnsi="Arial" w:cs="Arial"/>
          <w:b/>
          <w:bCs/>
          <w:szCs w:val="24"/>
        </w:rPr>
      </w:pPr>
      <w:r>
        <w:rPr>
          <w:rFonts w:ascii="Arial" w:eastAsia="Arial" w:hAnsi="Arial" w:cs="Arial"/>
          <w:b/>
          <w:bCs/>
          <w:szCs w:val="24"/>
        </w:rPr>
        <w:t xml:space="preserve">OPĆE ODREDBE Predmet Zakona</w:t>
      </w:r>
    </w:p>
    <w:p>
      <w:pPr>
        <w:pBdr/>
        <w:pStyle w:val="Heading 2"/>
        <w:spacing/>
        <w:ind/>
        <w:rPr/>
      </w:pPr>
      <w:r>
        <w:rPr/>
        <w:t xml:space="preserve">Članak 1.</w:t>
      </w:r>
    </w:p>
    <w:p>
      <w:pPr>
        <w:pBdr/>
        <w:pStyle w:val="box_480015"/>
        <w:numPr>
          <w:ilvl w:val="0"/>
          <w:numId w:val="3"/>
        </w:numPr>
        <w:spacing w:before="120" w:beforeAutospacing="false" w:after="120" w:afterAutospacing="false"/>
        <w:ind w:left="142" w:firstLine="567"/>
        <w:jc w:val="both"/>
        <w:tabs>
          <w:tab w:val="left" w:pos="1134.000015258789"/>
        </w:tabs>
        <w:rPr>
          <w:rFonts w:ascii="Arial" w:eastAsia="Arial" w:hAnsi="Arial" w:cs="Arial"/>
        </w:rPr>
      </w:pPr>
      <w:r>
        <w:rPr>
          <w:rFonts w:ascii="Arial" w:eastAsia="Arial" w:hAnsi="Arial" w:cs="Arial"/>
        </w:rPr>
        <w:t xml:space="preserve">Ovim se Zakonom osiguravaju pretpostavke za provedbu Uredbe (EU) 2022/2560 Europskog parlamenta i Vijeća od 14. prosinca 2022. o stranim subvencijama koje narušavaju unutarnje tržište (SL L 330 od 23.12.2022., str. 1.), kako je posljednji put izmijenjena Ispravkom (SL L 2024/90559 od 17.9.2024.) (u daljnjem tekstu: Uredba (EU) 2022/2560), određuju nadležna tijela, njihove ovlasti, njihova međusobna suradnja i suradnja s Europskom komisijom te druga pitanja od značaja za provedbu Uredbe (EU) 2022/2560.</w:t>
      </w:r>
    </w:p>
    <w:p>
      <w:pPr>
        <w:pBdr/>
        <w:pStyle w:val="box_480015"/>
        <w:spacing w:before="120" w:beforeAutospacing="false" w:after="120" w:afterAutospacing="false"/>
        <w:ind w:left="709"/>
        <w:jc w:val="both"/>
        <w:tabs>
          <w:tab w:val="left" w:pos="1134.000015258789"/>
        </w:tabs>
        <w:rPr>
          <w:rFonts w:ascii="Arial" w:eastAsia="Arial" w:hAnsi="Arial" w:cs="Arial"/>
        </w:rPr>
      </w:pPr>
    </w:p>
    <w:p>
      <w:pPr>
        <w:pBdr/>
        <w:pStyle w:val="Heading 1"/>
        <w:spacing w:before="120" w:after="120"/>
        <w:ind/>
        <w:jc w:val="center"/>
        <w:rPr>
          <w:rFonts w:ascii="Arial" w:eastAsia="Arial" w:hAnsi="Arial" w:cs="Arial"/>
          <w:b/>
          <w:bCs/>
          <w:szCs w:val="24"/>
        </w:rPr>
      </w:pPr>
      <w:r>
        <w:rPr>
          <w:rFonts w:ascii="Arial" w:eastAsia="Arial" w:hAnsi="Arial" w:cs="Arial"/>
          <w:b/>
          <w:bCs/>
          <w:szCs w:val="24"/>
        </w:rPr>
        <w:t xml:space="preserve">Usklađivanje s pravnom stečevinom Europske unije</w:t>
      </w:r>
    </w:p>
    <w:p>
      <w:pPr>
        <w:pBdr/>
        <w:pStyle w:val="Heading 2"/>
        <w:spacing/>
        <w:ind/>
        <w:rPr>
          <w:rFonts w:ascii="Arial" w:eastAsia="Arial" w:hAnsi="Arial" w:cs="Arial"/>
        </w:rPr>
      </w:pPr>
      <w:r>
        <w:rPr>
          <w:rFonts w:ascii="Arial" w:eastAsia="Arial" w:hAnsi="Arial" w:cs="Arial"/>
        </w:rPr>
        <w:t xml:space="preserve">Članak 2.</w:t>
      </w:r>
    </w:p>
    <w:p>
      <w:pPr>
        <w:pBdr/>
        <w:pStyle w:val="box_480015"/>
        <w:spacing w:before="120" w:beforeAutospacing="false" w:after="120" w:afterAutospacing="false"/>
        <w:ind w:left="142" w:firstLine="566"/>
        <w:jc w:val="both"/>
        <w:rPr>
          <w:rFonts w:ascii="Arial" w:eastAsia="Arial" w:hAnsi="Arial" w:cs="Arial"/>
        </w:rPr>
      </w:pPr>
      <w:r>
        <w:rPr>
          <w:rFonts w:ascii="Arial" w:eastAsia="Arial" w:hAnsi="Arial" w:cs="Arial"/>
        </w:rPr>
        <w:t xml:space="preserve">Ovim se Zakonom osigurava provedba Uredbe (EU) 2022/2560.</w:t>
      </w:r>
    </w:p>
    <w:p>
      <w:pPr>
        <w:pBdr/>
        <w:pStyle w:val="box_480015"/>
        <w:spacing w:before="120" w:beforeAutospacing="false" w:after="120" w:afterAutospacing="false"/>
        <w:ind/>
        <w:jc w:val="both"/>
        <w:rPr>
          <w:rFonts w:ascii="Arial" w:eastAsia="Arial" w:hAnsi="Arial" w:cs="Arial"/>
        </w:rPr>
      </w:pPr>
    </w:p>
    <w:p>
      <w:pPr>
        <w:pBdr/>
        <w:pStyle w:val="Heading 1"/>
        <w:spacing w:before="120" w:after="120"/>
        <w:ind/>
        <w:jc w:val="center"/>
        <w:rPr>
          <w:rFonts w:ascii="Arial" w:eastAsia="Arial" w:hAnsi="Arial" w:cs="Arial"/>
          <w:b/>
          <w:bCs/>
          <w:szCs w:val="24"/>
        </w:rPr>
      </w:pPr>
      <w:r>
        <w:rPr>
          <w:rFonts w:ascii="Arial" w:eastAsia="Arial" w:hAnsi="Arial" w:cs="Arial"/>
          <w:b/>
          <w:bCs/>
          <w:szCs w:val="24"/>
        </w:rPr>
        <w:t xml:space="preserve">Pojmovi</w:t>
      </w:r>
    </w:p>
    <w:p>
      <w:pPr>
        <w:pBdr/>
        <w:pStyle w:val="Heading 2"/>
        <w:spacing/>
        <w:ind/>
        <w:rPr>
          <w:rFonts w:ascii="Arial" w:eastAsia="Arial" w:hAnsi="Arial" w:cs="Arial"/>
        </w:rPr>
      </w:pPr>
      <w:r>
        <w:rPr/>
        <w:t xml:space="preserve">Članak 3.</w:t>
      </w:r>
    </w:p>
    <w:p>
      <w:pPr>
        <w:pBdr/>
        <w:pStyle w:val="Normal"/>
        <w:spacing w:before="120" w:after="120"/>
        <w:ind w:firstLine="720"/>
        <w:jc w:val="both"/>
        <w:rPr>
          <w:rFonts w:ascii="Arial" w:eastAsia="Arial" w:hAnsi="Arial" w:cs="Arial"/>
          <w:szCs w:val="24"/>
        </w:rPr>
      </w:pPr>
      <w:r>
        <w:rPr>
          <w:rFonts w:ascii="Arial" w:eastAsia="Arial" w:hAnsi="Arial" w:cs="Arial"/>
          <w:szCs w:val="24"/>
        </w:rPr>
        <w:t xml:space="preserve">Pojmovi koji se koriste u ovome Zakonu imaju isto značenje kao pojmovi utvrđeni Uredbom (EU) 2022/2560.</w:t>
      </w:r>
    </w:p>
    <w:p>
      <w:pPr>
        <w:pBdr/>
        <w:pStyle w:val="Normal"/>
        <w:spacing w:before="120" w:after="120"/>
        <w:ind w:firstLine="720"/>
        <w:jc w:val="both"/>
        <w:rPr>
          <w:rFonts w:ascii="Arial" w:eastAsia="Arial" w:hAnsi="Arial" w:cs="Arial"/>
          <w:szCs w:val="24"/>
        </w:rPr>
      </w:pPr>
    </w:p>
    <w:p>
      <w:pPr>
        <w:pBdr/>
        <w:pStyle w:val="Heading 1"/>
        <w:spacing w:before="120" w:after="120"/>
        <w:ind/>
        <w:jc w:val="center"/>
        <w:tabs>
          <w:tab w:val="left" w:pos="3402.0001220703125"/>
        </w:tabs>
        <w:rPr>
          <w:b/>
          <w:bCs/>
          <w:color w:val="231F20"/>
          <w:szCs w:val="24"/>
        </w:rPr>
      </w:pPr>
      <w:r>
        <w:rPr>
          <w:b/>
          <w:bCs/>
          <w:color w:val="231F20"/>
          <w:szCs w:val="24"/>
        </w:rPr>
        <w:t xml:space="preserve">DIO DRUGI</w:t>
      </w:r>
    </w:p>
    <w:p>
      <w:pPr>
        <w:pBdr/>
        <w:pStyle w:val="Heading 1"/>
        <w:spacing w:before="120" w:after="120"/>
        <w:ind/>
        <w:jc w:val="center"/>
        <w:rPr>
          <w:b/>
          <w:bCs/>
          <w:color w:val="231F20"/>
          <w:szCs w:val="24"/>
        </w:rPr>
      </w:pPr>
      <w:r>
        <w:rPr>
          <w:b/>
          <w:bCs/>
          <w:color w:val="231F20"/>
          <w:szCs w:val="24"/>
        </w:rPr>
        <w:t xml:space="preserve">NADLEŽNA TIJELA </w:t>
      </w:r>
      <w:r>
        <w:rPr>
          <w:rFonts w:ascii="Arial" w:eastAsia="Arial" w:hAnsi="Arial" w:cs="Arial"/>
          <w:b/>
          <w:bCs/>
          <w:i/>
          <w:iCs/>
          <w:szCs w:val="24"/>
        </w:rPr>
        <w:t xml:space="preserve">Nadležna tijela </w:t>
      </w:r>
    </w:p>
    <w:p>
      <w:pPr>
        <w:pBdr/>
        <w:pStyle w:val="Heading 2"/>
        <w:spacing/>
        <w:ind/>
        <w:rPr>
          <w:rFonts w:ascii="Arial" w:eastAsia="Arial" w:hAnsi="Arial" w:cs="Arial"/>
        </w:rPr>
      </w:pPr>
      <w:r>
        <w:rPr>
          <w:rFonts w:ascii="Arial" w:eastAsia="Arial" w:hAnsi="Arial" w:cs="Arial"/>
        </w:rPr>
        <w:t xml:space="preserve">Članak 4. </w:t>
      </w:r>
    </w:p>
    <w:p>
      <w:pPr>
        <w:pBdr/>
        <w:pStyle w:val="List Paragraph"/>
        <w:numPr>
          <w:ilvl w:val="0"/>
          <w:numId w:val="2"/>
        </w:numPr>
        <w:spacing w:before="120" w:after="120"/>
        <w:ind w:left="142" w:firstLine="567"/>
        <w:jc w:val="both"/>
        <w:tabs>
          <w:tab w:val="left" w:pos="425.99998474121094"/>
          <w:tab w:val="left" w:pos="1134.000015258789"/>
        </w:tabs>
        <w:rPr>
          <w:rFonts w:ascii="Arial" w:eastAsia="Arial" w:hAnsi="Arial" w:cs="Arial"/>
          <w:strike/>
          <w:szCs w:val="24"/>
        </w:rPr>
      </w:pPr>
      <w:r>
        <w:rPr>
          <w:rFonts w:ascii="Arial" w:eastAsia="Arial" w:hAnsi="Arial" w:cs="Arial"/>
          <w:szCs w:val="24"/>
        </w:rPr>
        <w:t xml:space="preserve">Tijela nadležna za provedbu Uredbe (EU) 2022/2560 i ovoga Zakona su:</w:t>
      </w:r>
    </w:p>
    <w:p>
      <w:pPr>
        <w:pBdr/>
        <w:pStyle w:val="List Paragraph"/>
        <w:spacing w:before="120" w:after="120"/>
        <w:ind w:left="851"/>
        <w:jc w:val="both"/>
        <w:tabs>
          <w:tab w:val="left" w:pos="425.99998474121094"/>
          <w:tab w:val="left" w:pos="1275.999984741211"/>
        </w:tabs>
        <w:rPr>
          <w:rFonts w:ascii="Arial" w:eastAsia="Arial" w:hAnsi="Arial" w:cs="Arial"/>
          <w:szCs w:val="24"/>
        </w:rPr>
      </w:pPr>
      <w:r>
        <w:rPr>
          <w:rFonts w:ascii="Arial" w:eastAsia="Arial" w:hAnsi="Arial" w:cs="Arial"/>
          <w:szCs w:val="24"/>
        </w:rPr>
        <w:t xml:space="preserve">1. Agencija za zaštitu tržišnog natjecanja (u daljnjem tekstu: Agencija) </w:t>
      </w:r>
      <w:r>
        <w:rPr>
          <w:rFonts w:ascii="Arial" w:eastAsia="Arial" w:hAnsi="Arial" w:cs="Arial"/>
          <w:strike/>
          <w:szCs w:val="24"/>
        </w:rPr>
        <w:t xml:space="preserve"> </w:t>
      </w:r>
    </w:p>
    <w:p>
      <w:pPr>
        <w:pBdr/>
        <w:pStyle w:val="List Paragraph"/>
        <w:spacing w:before="120" w:after="120"/>
        <w:ind w:left="851"/>
        <w:jc w:val="both"/>
        <w:tabs>
          <w:tab w:val="left" w:pos="425.99998474121094"/>
          <w:tab w:val="left" w:pos="1275.999984741211"/>
        </w:tabs>
        <w:rPr>
          <w:rFonts w:ascii="Arial" w:eastAsia="Arial" w:hAnsi="Arial" w:cs="Arial"/>
          <w:szCs w:val="24"/>
        </w:rPr>
      </w:pPr>
      <w:r>
        <w:rPr>
          <w:rFonts w:ascii="Arial" w:eastAsia="Arial" w:hAnsi="Arial" w:cs="Arial"/>
          <w:szCs w:val="24"/>
        </w:rPr>
        <w:t xml:space="preserve">2. ministarstvo nadležno za gospodarstvo kao tijelo državne uprave nadležno za politiku javne nabave i za unutarnje tržište </w:t>
      </w:r>
    </w:p>
    <w:p>
      <w:pPr>
        <w:pBdr/>
        <w:pStyle w:val="List Paragraph"/>
        <w:spacing w:before="120" w:after="120"/>
        <w:ind w:left="851"/>
        <w:jc w:val="both"/>
        <w:tabs>
          <w:tab w:val="left" w:pos="425.99998474121094"/>
          <w:tab w:val="left" w:pos="1275.999984741211"/>
        </w:tabs>
        <w:rPr>
          <w:rFonts w:ascii="Arial" w:eastAsia="Arial" w:hAnsi="Arial" w:cs="Arial"/>
          <w:szCs w:val="24"/>
        </w:rPr>
      </w:pPr>
      <w:r>
        <w:rPr>
          <w:rFonts w:ascii="Arial" w:eastAsia="Arial" w:hAnsi="Arial" w:cs="Arial"/>
          <w:szCs w:val="24"/>
        </w:rPr>
        <w:t xml:space="preserve">3. ministarstvo nadležno za financije</w:t>
      </w:r>
    </w:p>
    <w:p>
      <w:pPr>
        <w:pBdr/>
        <w:pStyle w:val="List Paragraph"/>
        <w:numPr>
          <w:ilvl w:val="0"/>
          <w:numId w:val="2"/>
        </w:numPr>
        <w:spacing w:before="120" w:after="120"/>
        <w:ind/>
        <w:jc w:val="both"/>
        <w:tabs>
          <w:tab w:val="left" w:pos="850.9999847412109"/>
        </w:tabs>
        <w:rPr>
          <w:rFonts w:ascii="Arial" w:eastAsia="Arial" w:hAnsi="Arial" w:cs="Arial"/>
          <w:szCs w:val="24"/>
        </w:rPr>
      </w:pPr>
      <w:r>
        <w:rPr>
          <w:rFonts w:ascii="Arial" w:eastAsia="Arial" w:hAnsi="Arial" w:cs="Arial"/>
          <w:szCs w:val="24"/>
        </w:rPr>
        <w:t xml:space="preserve">Agencija obavlja poslove nadležnog tijela za koordinaciju provedbe Uredbe (EU) 2022/2560 i suradnju s Europskom komisijom, obavlja poslove dostave i razmjene informacija  propisane ovim Zakonom te, na zahtjev Europske komisije i u skladu s člankom 14. Uredbe  (EU) 2022/2560, pruža pomoć </w:t>
      </w:r>
      <w:r>
        <w:rPr>
          <w:rFonts w:ascii="Arial" w:eastAsia="Arial" w:hAnsi="Arial" w:cs="Arial"/>
          <w:szCs w:val="24"/>
        </w:rPr>
        <w:t xml:space="preserve">Europskoj komisiji u provođenju inspekcija i provodi potrebne radnje i mjere na području Republike Hrvatske.</w:t>
      </w:r>
    </w:p>
    <w:p>
      <w:pPr>
        <w:pBdr/>
        <w:pStyle w:val="List Paragraph"/>
        <w:numPr>
          <w:ilvl w:val="0"/>
          <w:numId w:val="2"/>
        </w:numPr>
        <w:spacing w:before="120" w:after="120"/>
        <w:ind w:left="0" w:firstLine="709"/>
        <w:jc w:val="both"/>
        <w:tabs>
          <w:tab w:val="left" w:pos="425.99998474121094"/>
          <w:tab w:val="left" w:pos="1134.000015258789"/>
        </w:tabs>
        <w:rPr>
          <w:rFonts w:ascii="Arial" w:eastAsia="Arial" w:hAnsi="Arial" w:cs="Arial"/>
        </w:rPr>
      </w:pPr>
      <w:r>
        <w:rPr>
          <w:rFonts w:ascii="Arial" w:eastAsia="Arial" w:hAnsi="Arial" w:cs="Arial"/>
        </w:rPr>
        <w:t xml:space="preserve">Ministarstvo nadležno za gospodarstvo, u okviru poslova iz svoga djelokruga, sudjeluje u provedbi Uredbe (EU) 2022/2560 u području javne nabave, uključujući prikupljanje podataka i drugih informacija potrebnih za izvješćivanje i suradnju s Europskom komisijom, pruža stručnu pomoć naručiteljima i Agenciji te obavlja druge poslove iz svog djelokruga koji doprinose provedbi navedene Uredbe. </w:t>
      </w:r>
    </w:p>
    <w:p>
      <w:pPr>
        <w:pBdr/>
        <w:pStyle w:val="List Paragraph"/>
        <w:numPr>
          <w:ilvl w:val="0"/>
          <w:numId w:val="2"/>
        </w:numPr>
        <w:spacing w:before="120" w:after="120"/>
        <w:ind w:left="0" w:firstLine="709"/>
        <w:jc w:val="both"/>
        <w:tabs>
          <w:tab w:val="left" w:pos="425.99998474121094"/>
          <w:tab w:val="left" w:pos="1134.000015258789"/>
        </w:tabs>
        <w:rPr>
          <w:rFonts w:ascii="Arial" w:eastAsia="Arial" w:hAnsi="Arial" w:cs="Arial"/>
          <w:szCs w:val="24"/>
        </w:rPr>
      </w:pPr>
      <w:r>
        <w:rPr>
          <w:rFonts w:ascii="Arial" w:eastAsia="Arial" w:hAnsi="Arial" w:cs="Arial"/>
          <w:szCs w:val="24"/>
        </w:rPr>
        <w:t xml:space="preserve">Ministarstvo nadležno za financije, u okviru poslova iz svog djelokruga, pruža stručnu pomoć Europskoj komisiji i Agenciji te sudjeluje u prikupljanju, razmjeni i dostavi informacija koje se odnose na financijske doprinose, subvencijske mehanizme, fiskalne mjere, koncesije i druga pitanja iz svoje nadležnosti, uključujući poslove povezane s provedbom propisa Europske unije kojima se uređuje provjera stranih izravnih ulaganja kada je to od značaja za provedbu Uredbe (EU) 2022/2560. </w:t>
      </w:r>
    </w:p>
    <w:p>
      <w:pPr>
        <w:pBdr/>
        <w:pStyle w:val="Normal"/>
        <w:spacing w:before="120" w:after="120"/>
        <w:ind/>
        <w:rPr>
          <w:rFonts w:ascii="Arial" w:eastAsia="Arial" w:hAnsi="Arial" w:cs="Arial"/>
          <w:b/>
          <w:bCs/>
          <w:szCs w:val="24"/>
        </w:rPr>
      </w:pPr>
    </w:p>
    <w:p>
      <w:pPr>
        <w:pBdr/>
        <w:pStyle w:val="Heading 1"/>
        <w:spacing w:before="120" w:after="120"/>
        <w:ind/>
        <w:jc w:val="center"/>
        <w:rPr>
          <w:b/>
          <w:bCs/>
        </w:rPr>
      </w:pPr>
      <w:r>
        <w:rPr>
          <w:b/>
          <w:bCs/>
        </w:rPr>
        <w:t xml:space="preserve">DIO TREĆI</w:t>
      </w:r>
    </w:p>
    <w:p>
      <w:pPr>
        <w:pBdr/>
        <w:pStyle w:val="Heading 1"/>
        <w:spacing w:before="120" w:after="120"/>
        <w:ind/>
        <w:jc w:val="center"/>
        <w:rPr>
          <w:b/>
          <w:bCs/>
        </w:rPr>
      </w:pPr>
      <w:r>
        <w:rPr>
          <w:b/>
          <w:bCs/>
        </w:rPr>
        <w:t xml:space="preserve">PRIMJENA PROPISA, DOSTAVA I RAZMJENA INFORMACIJA </w:t>
      </w:r>
      <w:r>
        <w:rPr>
          <w:b/>
          <w:bCs/>
          <w:i/>
          <w:iCs/>
        </w:rPr>
        <w:t xml:space="preserve">Radnje i mjere Agencije</w:t>
      </w:r>
    </w:p>
    <w:p>
      <w:pPr>
        <w:pBdr/>
        <w:pStyle w:val="Heading 2"/>
        <w:spacing/>
        <w:ind/>
        <w:rPr/>
      </w:pPr>
      <w:r>
        <w:rPr/>
        <w:t xml:space="preserve">Članak 5. </w:t>
      </w:r>
    </w:p>
    <w:p>
      <w:pPr>
        <w:pBdr/>
        <w:pStyle w:val="Normal"/>
        <w:spacing w:before="120" w:after="120"/>
        <w:ind w:firstLine="708"/>
        <w:jc w:val="both"/>
        <w:rPr/>
      </w:pPr>
      <w:r>
        <w:rPr/>
        <w:t xml:space="preserve"> Agencija, na zahtjev Europske komisije i u skladu s člankom 14. Uredbe (EU) 2022/2560,  provodi potrebne radnje i mjere te, u slučajevima propisanim ovim Zakonom, izriče novčane kazne.</w:t>
      </w:r>
    </w:p>
    <w:p>
      <w:pPr>
        <w:pBdr/>
        <w:pStyle w:val="Normal"/>
        <w:spacing w:before="120" w:after="120"/>
        <w:ind/>
        <w:jc w:val="center"/>
        <w:rPr>
          <w:b/>
          <w:bCs/>
          <w:i/>
          <w:iCs/>
        </w:rPr>
      </w:pPr>
    </w:p>
    <w:p>
      <w:pPr>
        <w:pBdr/>
        <w:pStyle w:val="Heading 1"/>
        <w:spacing w:before="120" w:after="120"/>
        <w:ind/>
        <w:jc w:val="center"/>
        <w:rPr>
          <w:b/>
          <w:bCs/>
          <w:i/>
          <w:iCs/>
        </w:rPr>
      </w:pPr>
      <w:r>
        <w:rPr>
          <w:b/>
          <w:bCs/>
          <w:i/>
          <w:iCs/>
        </w:rPr>
        <w:t xml:space="preserve">Dostavljanje informacija o stranim subvencijama</w:t>
      </w:r>
    </w:p>
    <w:p>
      <w:pPr>
        <w:pBdr/>
        <w:pStyle w:val="Heading 2"/>
        <w:spacing/>
        <w:ind/>
        <w:rPr>
          <w:rFonts w:ascii="Arial" w:eastAsia="Arial" w:hAnsi="Arial" w:cs="Arial"/>
        </w:rPr>
      </w:pPr>
      <w:r>
        <w:rPr>
          <w:rFonts w:ascii="Arial" w:eastAsia="Arial" w:hAnsi="Arial" w:cs="Arial"/>
        </w:rPr>
        <w:t xml:space="preserve">Članak 6.</w:t>
      </w:r>
    </w:p>
    <w:p>
      <w:pPr>
        <w:pBdr/>
        <w:pStyle w:val="List Paragraph"/>
        <w:numPr>
          <w:ilvl w:val="0"/>
          <w:numId w:val="6"/>
        </w:numPr>
        <w:spacing w:before="120" w:after="120"/>
        <w:ind w:left="142" w:firstLine="567"/>
        <w:jc w:val="both"/>
        <w:tabs>
          <w:tab w:val="left" w:pos="709.0000152587891"/>
          <w:tab w:val="left" w:pos="1134.000015258789"/>
        </w:tabs>
        <w:rPr>
          <w:rFonts w:ascii="Arial" w:eastAsia="Arial" w:hAnsi="Arial" w:cs="Arial"/>
        </w:rPr>
      </w:pPr>
      <w:r>
        <w:rPr>
          <w:rFonts w:ascii="Arial" w:eastAsia="Arial" w:hAnsi="Arial" w:cs="Arial"/>
        </w:rPr>
        <w:t xml:space="preserve">Tijela državne uprave, druga državna tijela, jedinice lokalne i područne (regionalne) samouprave i pravne osobe s javnim ovlastima ako u okviru svoje nadležnosti raspolažu informacijama iz kojih proizlazi da bi mogla postojati strana subvencija koja bi mogla narušiti unutarnje tržište ili na drugi način saznaju za takvu subvenciju, dužni su o tome dostaviti Agenciji sve raspoložive informacije i dokaze. </w:t>
      </w:r>
    </w:p>
    <w:p>
      <w:pPr>
        <w:pBdr/>
        <w:pStyle w:val="List Paragraph"/>
        <w:numPr>
          <w:ilvl w:val="0"/>
          <w:numId w:val="6"/>
        </w:numPr>
        <w:spacing w:before="120" w:after="120"/>
        <w:ind w:left="142" w:firstLine="578"/>
        <w:jc w:val="both"/>
        <w:tabs>
          <w:tab w:val="left" w:pos="567.0000076293945"/>
          <w:tab w:val="left" w:pos="1134.000015258789"/>
        </w:tabs>
        <w:rPr>
          <w:rFonts w:ascii="Arial" w:eastAsia="Arial" w:hAnsi="Arial" w:cs="Arial"/>
          <w:color w:val="000000"/>
          <w:szCs w:val="24"/>
        </w:rPr>
      </w:pPr>
      <w:r>
        <w:rPr>
          <w:rFonts w:ascii="Arial" w:eastAsia="Arial" w:hAnsi="Arial" w:cs="Arial"/>
          <w:szCs w:val="24"/>
        </w:rPr>
        <w:t xml:space="preserve">Fizička ili pravna osoba ili udruženje koji bi mogli imati informacije o stranim subvencijama kojima bi se moglo narušiti unutarnje tržište mogu takve informacije priopćiti Agenciji koja ih potom dostavlja Europskoj komisiji u skladu s člankom 35. stavkom 2. Uredbe (EU) 2022/2560.</w:t>
      </w:r>
    </w:p>
    <w:p>
      <w:pPr>
        <w:pBdr/>
        <w:pStyle w:val="List Paragraph"/>
        <w:numPr>
          <w:ilvl w:val="0"/>
          <w:numId w:val="6"/>
        </w:numPr>
        <w:spacing w:before="120" w:after="120"/>
        <w:ind w:left="142" w:firstLine="567"/>
        <w:jc w:val="both"/>
        <w:tabs>
          <w:tab w:val="left" w:pos="709.0000152587891"/>
          <w:tab w:val="left" w:pos="1134.000015258789"/>
        </w:tabs>
        <w:rPr>
          <w:rFonts w:ascii="Arial" w:eastAsia="Arial" w:hAnsi="Arial" w:cs="Arial"/>
        </w:rPr>
      </w:pPr>
      <w:r>
        <w:rPr>
          <w:rFonts w:ascii="Arial" w:eastAsia="Arial" w:hAnsi="Arial" w:cs="Arial"/>
        </w:rPr>
        <w:t xml:space="preserve">Agencija obavještava Europsku komisiju o mogućem postojanju strane subvencije koja bi mogla narušiti unutarnje tržište te joj, u skladu s člankom 35. stavkom 1. Uredbe (EU) 2022/2560, dostavlja sve raspoložive informacije o tome, kao i informacije koje je zaprimila temeljem stavaka 1. i 2. ovoga članka. </w:t>
      </w:r>
    </w:p>
    <w:p>
      <w:pPr>
        <w:pBdr/>
        <w:pStyle w:val="List Paragraph"/>
        <w:numPr>
          <w:ilvl w:val="0"/>
          <w:numId w:val="6"/>
        </w:numPr>
        <w:spacing w:before="120" w:after="120"/>
        <w:ind w:left="142" w:firstLine="567"/>
        <w:jc w:val="both"/>
        <w:tabs>
          <w:tab w:val="left" w:pos="709.0000152587891"/>
          <w:tab w:val="left" w:pos="1134.000015258789"/>
        </w:tabs>
        <w:rPr>
          <w:rFonts w:ascii="Arial" w:eastAsia="Arial" w:hAnsi="Arial" w:cs="Arial"/>
        </w:rPr>
      </w:pPr>
      <w:r>
        <w:rPr>
          <w:rFonts w:ascii="Arial" w:eastAsia="Arial" w:hAnsi="Arial" w:cs="Arial"/>
        </w:rPr>
        <w:t xml:space="preserve">Prije dostave Europskoj komisiji informacija iz stavaka 1., 2. i 3. ovoga članka Agencija može, radi razjašnjenja činjenica u vezi s mogućim postojanjem strane subvencije koja bi mogla narušiti unutarnje tržište, zatražiti stručnu pomoć ili mišljenje ministarstva nadležnog za gospodarstvo u području javne nabave i unutarnjeg tržišta, a koje je dužno Agenciji pružiti traženo u okviru i granicama svojih ovlasti. </w:t>
      </w:r>
    </w:p>
    <w:p>
      <w:pPr>
        <w:pBdr/>
        <w:pStyle w:val="List Paragraph"/>
        <w:numPr>
          <w:ilvl w:val="0"/>
          <w:numId w:val="6"/>
        </w:numPr>
        <w:spacing w:before="120" w:after="120"/>
        <w:ind w:left="142" w:firstLine="578"/>
        <w:jc w:val="both"/>
        <w:tabs>
          <w:tab w:val="left" w:pos="567.0000076293945"/>
          <w:tab w:val="left" w:pos="993.0000305175781"/>
          <w:tab w:val="left" w:pos="1134.000015258789"/>
        </w:tabs>
        <w:rPr/>
      </w:pPr>
      <w:r>
        <w:rPr>
          <w:rFonts w:ascii="Arial" w:eastAsia="Arial" w:hAnsi="Arial" w:cs="Arial"/>
        </w:rPr>
        <w:t xml:space="preserve"> Prije dostave Europskoj komisiji informacija iz stavaka 1., 2. i 3. ovoga članka Agencija može, radi razjašnjenja činjenica u vezi s mogućim postojanjem strane subvencije koja bi mogla narušiti unutarnje tržište, zatražiti stručnu pomoć ili mišljenje ministarstva nadležnog za financije u području koncesija, financijskih i fiskalnih mjera, a koje je dužno Agenciji pružiti traženo u okviru i granicama svojih ovlasti.</w:t>
      </w:r>
    </w:p>
    <w:p>
      <w:pPr>
        <w:pBdr/>
        <w:pStyle w:val="Normal"/>
        <w:spacing w:before="120" w:after="120"/>
        <w:ind/>
        <w:jc w:val="both"/>
        <w:tabs>
          <w:tab w:val="left" w:pos="567.0000076293945"/>
          <w:tab w:val="left" w:pos="993.0000305175781"/>
          <w:tab w:val="left" w:pos="1134.000015258789"/>
        </w:tabs>
        <w:rPr/>
      </w:pPr>
    </w:p>
    <w:p>
      <w:pPr>
        <w:pBdr/>
        <w:pStyle w:val="Heading 1"/>
        <w:spacing w:before="120" w:after="120"/>
        <w:ind/>
        <w:jc w:val="center"/>
        <w:tabs>
          <w:tab w:val="left" w:pos="709.0000152587891"/>
        </w:tabs>
        <w:rPr>
          <w:rFonts w:ascii="Arial" w:eastAsia="Arial" w:hAnsi="Arial" w:cs="Arial"/>
          <w:b/>
          <w:bCs/>
          <w:i/>
          <w:iCs/>
          <w:szCs w:val="24"/>
        </w:rPr>
      </w:pPr>
      <w:r>
        <w:rPr>
          <w:rFonts w:ascii="Arial" w:eastAsia="Arial" w:hAnsi="Arial" w:cs="Arial"/>
          <w:b/>
          <w:bCs/>
          <w:i/>
          <w:iCs/>
          <w:szCs w:val="24"/>
        </w:rPr>
        <w:t xml:space="preserve">Pružanje informacija Europskoj komisiji</w:t>
      </w:r>
    </w:p>
    <w:p>
      <w:pPr>
        <w:pBdr/>
        <w:pStyle w:val="Heading 2"/>
        <w:spacing/>
        <w:ind/>
        <w:rPr>
          <w:rFonts w:ascii="Arial" w:eastAsia="Arial" w:hAnsi="Arial" w:cs="Arial"/>
        </w:rPr>
      </w:pPr>
      <w:r>
        <w:rPr>
          <w:rFonts w:ascii="Arial" w:eastAsia="Arial" w:hAnsi="Arial" w:cs="Arial"/>
        </w:rPr>
        <w:t xml:space="preserve">Članak 7.</w:t>
      </w:r>
    </w:p>
    <w:p>
      <w:pPr>
        <w:pBdr/>
        <w:pStyle w:val="List Paragraph"/>
        <w:numPr>
          <w:ilvl w:val="0"/>
          <w:numId w:val="7"/>
        </w:numPr>
        <w:spacing w:before="120" w:after="120"/>
        <w:ind w:left="284" w:firstLine="436"/>
        <w:jc w:val="both"/>
        <w:tabs>
          <w:tab w:val="left" w:pos="1134.000015258789"/>
        </w:tabs>
        <w:rPr>
          <w:rFonts w:ascii="Arial" w:eastAsia="Arial" w:hAnsi="Arial" w:cs="Arial"/>
        </w:rPr>
      </w:pPr>
      <w:r>
        <w:rPr>
          <w:rFonts w:ascii="Arial" w:eastAsia="Arial" w:hAnsi="Arial" w:cs="Arial"/>
        </w:rPr>
        <w:t xml:space="preserve">Agencija dostavlja Europskoj komisiji informacije u vezi s koncentracijama, informacije iz stavaka 2. i 3. ovoga članka te druge informacije kojima raspolaže, a koje Europska komisija zatraži u skladu s člancima 13., 35. i 36. Uredbe (EU) 2022/2560.</w:t>
      </w:r>
    </w:p>
    <w:p>
      <w:pPr>
        <w:pBdr/>
        <w:pStyle w:val="List Paragraph"/>
        <w:numPr>
          <w:ilvl w:val="0"/>
          <w:numId w:val="7"/>
        </w:numPr>
        <w:spacing w:before="120" w:after="120"/>
        <w:ind w:left="284" w:firstLine="436"/>
        <w:jc w:val="both"/>
        <w:tabs>
          <w:tab w:val="left" w:pos="1134.000015258789"/>
        </w:tabs>
        <w:rPr>
          <w:rFonts w:ascii="Arial" w:eastAsia="Arial" w:hAnsi="Arial" w:cs="Arial"/>
        </w:rPr>
      </w:pPr>
      <w:r>
        <w:rPr>
          <w:rFonts w:ascii="Arial" w:eastAsia="Arial" w:hAnsi="Arial" w:cs="Arial"/>
        </w:rPr>
        <w:t xml:space="preserve">Na zahtjev Agencije, ministarstvo nadležno za financije dostavlja informacije i dokumentaciju iz svojeg djelokruga koje se odnose na financijske doprinose, subvencijske mehanizme, fiskalne mjere i koncesije te, kada je to potrebno radi postupanja po zahtjevu Europske komisije u skladu s člancima 13. i 36. Uredbe (EU) 2022/2560, pruža stručnu pomoć u pitanjima iz svoje nadležnosti. </w:t>
      </w:r>
    </w:p>
    <w:p>
      <w:pPr>
        <w:pBdr/>
        <w:pStyle w:val="List Paragraph"/>
        <w:numPr>
          <w:ilvl w:val="0"/>
          <w:numId w:val="7"/>
        </w:numPr>
        <w:spacing w:before="120" w:after="120"/>
        <w:ind w:left="284" w:firstLine="436"/>
        <w:jc w:val="both"/>
        <w:tabs>
          <w:tab w:val="left" w:pos="1134.000015258789"/>
        </w:tabs>
        <w:rPr>
          <w:rFonts w:ascii="Arial" w:eastAsia="Arial" w:hAnsi="Arial" w:cs="Arial"/>
          <w:szCs w:val="24"/>
        </w:rPr>
      </w:pPr>
      <w:r>
        <w:rPr>
          <w:rFonts w:ascii="Arial" w:eastAsia="Arial" w:hAnsi="Arial" w:cs="Arial"/>
          <w:szCs w:val="24"/>
        </w:rPr>
        <w:t xml:space="preserve">Na zahtjev Agencije, ministarstvo nadležno za gospodarstvo dostavlja informacije i dokumentaciju iz područja javne nabave i drugih pitanja iz svojeg djelokruga te, kada je to potrebno radi postupanja po zahtjevu Europske komisije u skladu s člancima 13. i 36. Uredbe (EU) 2022/2560, pruža stručnu pomoć u pitanjima iz svoje nadležnosti.</w:t>
      </w:r>
    </w:p>
    <w:p>
      <w:pPr>
        <w:pBdr/>
        <w:pStyle w:val="Normal"/>
        <w:spacing w:before="120" w:after="120"/>
        <w:ind/>
        <w:jc w:val="both"/>
        <w:tabs>
          <w:tab w:val="left" w:pos="1134.000015258789"/>
        </w:tabs>
        <w:rPr>
          <w:rFonts w:ascii="Arial" w:eastAsia="Arial" w:hAnsi="Arial" w:cs="Arial"/>
          <w:szCs w:val="24"/>
        </w:rPr>
      </w:pPr>
    </w:p>
    <w:p>
      <w:pPr>
        <w:pBdr/>
        <w:pStyle w:val="Heading 1"/>
        <w:spacing w:before="120" w:after="120"/>
        <w:ind/>
        <w:jc w:val="center"/>
        <w:tabs>
          <w:tab w:val="left" w:pos="709.0000152587891"/>
        </w:tabs>
        <w:rPr>
          <w:rFonts w:ascii="Arial" w:eastAsia="Arial" w:hAnsi="Arial" w:cs="Arial"/>
          <w:b/>
          <w:bCs/>
          <w:szCs w:val="24"/>
        </w:rPr>
      </w:pPr>
      <w:r>
        <w:rPr>
          <w:rFonts w:ascii="Arial" w:eastAsia="Arial" w:hAnsi="Arial" w:cs="Arial"/>
          <w:b/>
          <w:bCs/>
        </w:rPr>
        <w:t xml:space="preserve">DIO ČETVRTI</w:t>
      </w:r>
    </w:p>
    <w:p>
      <w:pPr>
        <w:pBdr/>
        <w:pStyle w:val="Heading 1"/>
        <w:spacing w:before="120" w:after="120" w:line="259" w:lineRule="auto"/>
        <w:ind/>
        <w:jc w:val="center"/>
        <w:tabs>
          <w:tab w:val="left" w:pos="709.0000152587891"/>
        </w:tabs>
        <w:rPr/>
      </w:pPr>
      <w:r>
        <w:rPr>
          <w:rFonts w:ascii="Arial" w:eastAsia="Arial" w:hAnsi="Arial" w:cs="Arial"/>
          <w:b/>
          <w:bCs/>
        </w:rPr>
        <w:t xml:space="preserve">INSPEKCIJE </w:t>
      </w:r>
      <w:r>
        <w:rPr>
          <w:rFonts w:ascii="Arial" w:eastAsia="Arial" w:hAnsi="Arial" w:cs="Arial"/>
          <w:b/>
          <w:bCs/>
          <w:i/>
          <w:iCs/>
        </w:rPr>
        <w:t xml:space="preserve">Provođenje inspekcije</w:t>
      </w:r>
    </w:p>
    <w:p>
      <w:pPr>
        <w:pBdr/>
        <w:pStyle w:val="Heading 2"/>
        <w:spacing/>
        <w:ind/>
        <w:rPr/>
      </w:pPr>
      <w:r>
        <w:rPr>
          <w:rStyle w:val="Strong"/>
          <w:b/>
          <w:bCs/>
        </w:rPr>
        <w:t xml:space="preserve">Članak 8.</w:t>
      </w:r>
    </w:p>
    <w:p>
      <w:pPr>
        <w:pBdr/>
        <w:pStyle w:val="Normal (Web)"/>
        <w:spacing w:before="120" w:beforeAutospacing="false" w:after="0" w:afterAutospacing="false" w:line="259" w:lineRule="auto"/>
        <w:ind w:firstLine="708"/>
        <w:jc w:val="both"/>
        <w:rPr>
          <w:rFonts w:ascii="Arial" w:eastAsia="Arial" w:hAnsi="Arial" w:cs="Arial"/>
        </w:rPr>
      </w:pPr>
      <w:r>
        <w:rPr>
          <w:rFonts w:ascii="Arial" w:eastAsia="Arial" w:hAnsi="Arial" w:cs="Arial"/>
        </w:rPr>
        <w:t xml:space="preserve">(1) Agencija, na zahtjev Europske komisije i u skladu s člankom 14.</w:t>
      </w:r>
      <w:r>
        <w:rPr/>
        <w:t xml:space="preserve"> </w:t>
      </w:r>
      <w:r>
        <w:rPr>
          <w:rFonts w:ascii="Arial" w:eastAsia="Arial" w:hAnsi="Arial" w:cs="Arial"/>
        </w:rPr>
        <w:t xml:space="preserve">Uredbe (EU) 2022/2560, pruža pomoć Europskoj komisiji u provođenju inspekcija te provodi potrebne radnje i mjere za utvrđivanje činjenica na području Republike Hrvatske.</w:t>
      </w:r>
    </w:p>
    <w:p>
      <w:pPr>
        <w:pBdr/>
        <w:pStyle w:val="Normal (Web)"/>
        <w:spacing w:before="120" w:beforeAutospacing="false" w:after="0" w:afterAutospacing="false" w:line="259" w:lineRule="auto"/>
        <w:ind w:firstLine="708"/>
        <w:jc w:val="both"/>
        <w:rPr>
          <w:rFonts w:ascii="Arial" w:eastAsia="Arial" w:hAnsi="Arial" w:cs="Arial"/>
        </w:rPr>
      </w:pPr>
      <w:r>
        <w:rPr>
          <w:rFonts w:ascii="Arial" w:eastAsia="Arial" w:hAnsi="Arial" w:cs="Arial"/>
        </w:rPr>
        <w:t xml:space="preserve">(2) Za potrebe provedbe stavka 1. ovoga članka Agencija ovlašćuje i imenuje službene osobe za provođenje potrebnih radnji i mjera te, prema potrebi, uključuje službene osobe drugih nadležnih tijela radi pružanja stručne pomoći u okviru njihovih zakonskih ovlasti. </w:t>
      </w:r>
    </w:p>
    <w:p>
      <w:pPr>
        <w:pBdr/>
        <w:pStyle w:val="Normal (Web)"/>
        <w:spacing w:before="120" w:beforeAutospacing="false" w:after="0" w:afterAutospacing="false" w:line="259" w:lineRule="auto"/>
        <w:ind w:firstLine="708"/>
        <w:jc w:val="both"/>
        <w:rPr>
          <w:rFonts w:ascii="Arial" w:eastAsia="Arial" w:hAnsi="Arial" w:cs="Arial"/>
        </w:rPr>
      </w:pPr>
      <w:r>
        <w:rPr>
          <w:rFonts w:ascii="Arial" w:eastAsia="Arial" w:hAnsi="Arial" w:cs="Arial"/>
        </w:rPr>
        <w:t xml:space="preserve">(3) Ako je prema odredbama zakona kojim se uređuje zaštita tržišnog natjecanja za provođenje inspekcije potrebno odobrenje nadležnog suda, Agencija će zatražiti izdavanje sudskog naloga.  </w:t>
      </w:r>
    </w:p>
    <w:p>
      <w:pPr>
        <w:pBdr/>
        <w:pStyle w:val="Normal (Web)"/>
        <w:spacing w:before="120" w:beforeAutospacing="false" w:after="0" w:afterAutospacing="false"/>
        <w:ind w:firstLine="708"/>
        <w:jc w:val="both"/>
        <w:rPr>
          <w:rFonts w:ascii="Arial" w:eastAsia="Arial" w:hAnsi="Arial" w:cs="Arial"/>
        </w:rPr>
      </w:pPr>
      <w:r>
        <w:rPr>
          <w:rFonts w:ascii="Arial" w:eastAsia="Arial" w:hAnsi="Arial" w:cs="Arial"/>
        </w:rPr>
        <w:t xml:space="preserve">(4) Na postupak izdavanja sudskog naloga te provođenja inspekcije na odgovarajući se način primjenjuju odredbe zakona kojim se uređuje zaštita tržišnog natjecanja.</w:t>
      </w:r>
    </w:p>
    <w:p>
      <w:pPr>
        <w:pBdr/>
        <w:pStyle w:val="Normal (Web)"/>
        <w:spacing w:before="120" w:beforeAutospacing="false" w:after="0" w:afterAutospacing="false"/>
        <w:ind w:firstLine="708"/>
        <w:jc w:val="both"/>
        <w:rPr>
          <w:rFonts w:ascii="Arial" w:eastAsia="Arial" w:hAnsi="Arial" w:cs="Arial"/>
        </w:rPr>
      </w:pPr>
      <w:r>
        <w:rPr>
          <w:rFonts w:ascii="Arial" w:eastAsia="Arial" w:hAnsi="Arial" w:cs="Arial"/>
        </w:rPr>
        <w:t xml:space="preserve">(5) Prije početka provođenja inspekcije osoba na koju se odnosi sudski nalog dužna je dobrovoljno predati tražene predmete, isprave i druge podatke navedene u sudskom nalogu. </w:t>
      </w:r>
    </w:p>
    <w:p>
      <w:pPr>
        <w:pBdr/>
        <w:pStyle w:val="Normal (Web)"/>
        <w:spacing w:before="120" w:beforeAutospacing="false" w:after="120" w:afterAutospacing="false"/>
        <w:ind/>
        <w:jc w:val="both"/>
        <w:rPr>
          <w:rFonts w:ascii="Arial" w:eastAsia="Arial" w:hAnsi="Arial" w:cs="Arial"/>
        </w:rPr>
      </w:pPr>
    </w:p>
    <w:p>
      <w:pPr>
        <w:pBdr/>
        <w:pStyle w:val="Normal (Web)"/>
        <w:spacing w:before="120" w:beforeAutospacing="false" w:after="120" w:afterAutospacing="false"/>
        <w:ind/>
        <w:jc w:val="both"/>
        <w:rPr>
          <w:rFonts w:ascii="Arial" w:eastAsia="Arial" w:hAnsi="Arial" w:cs="Arial"/>
        </w:rPr>
      </w:pPr>
    </w:p>
    <w:p>
      <w:pPr>
        <w:pBdr/>
        <w:pStyle w:val="Normal (Web)"/>
        <w:spacing w:before="120" w:beforeAutospacing="false" w:after="120" w:afterAutospacing="false"/>
        <w:ind/>
        <w:jc w:val="both"/>
        <w:rPr>
          <w:rFonts w:ascii="Arial" w:eastAsia="Arial" w:hAnsi="Arial" w:cs="Arial"/>
        </w:rPr>
      </w:pPr>
    </w:p>
    <w:p>
      <w:pPr>
        <w:pBdr/>
        <w:pStyle w:val="Heading 1"/>
        <w:spacing w:before="120" w:after="120" w:line="259" w:lineRule="auto"/>
        <w:ind/>
        <w:jc w:val="center"/>
        <w:rPr>
          <w:rFonts w:ascii="Arial" w:eastAsia="Arial" w:hAnsi="Arial" w:cs="Arial"/>
          <w:b/>
          <w:i/>
        </w:rPr>
      </w:pPr>
      <w:r>
        <w:rPr>
          <w:rFonts w:ascii="Arial" w:eastAsia="Arial" w:hAnsi="Arial" w:cs="Arial"/>
          <w:b/>
          <w:i/>
        </w:rPr>
        <w:t xml:space="preserve">Ovlasti tijekom provođenja inspekcije </w:t>
      </w:r>
    </w:p>
    <w:p>
      <w:pPr>
        <w:pBdr/>
        <w:pStyle w:val="Heading 2"/>
        <w:spacing/>
        <w:ind/>
        <w:rPr>
          <w:rFonts w:ascii="Arial" w:eastAsia="Arial" w:hAnsi="Arial" w:cs="Arial"/>
        </w:rPr>
      </w:pPr>
      <w:r>
        <w:rPr>
          <w:rFonts w:ascii="Arial" w:eastAsia="Arial" w:hAnsi="Arial" w:cs="Arial"/>
        </w:rPr>
        <w:t xml:space="preserve">Članak 9.</w:t>
      </w:r>
    </w:p>
    <w:p>
      <w:pPr>
        <w:pBdr/>
        <w:pStyle w:val="List Paragraph"/>
        <w:numPr>
          <w:ilvl w:val="0"/>
          <w:numId w:val="4"/>
        </w:numPr>
        <w:spacing w:before="120" w:after="120" w:line="259" w:lineRule="auto"/>
        <w:ind w:left="0" w:firstLine="708"/>
        <w:jc w:val="both"/>
        <w:tabs>
          <w:tab w:val="left" w:pos="1134.000015258789"/>
        </w:tabs>
        <w:rPr>
          <w:rFonts w:ascii="Arial" w:eastAsia="Arial" w:hAnsi="Arial" w:cs="Arial"/>
        </w:rPr>
      </w:pPr>
      <w:r>
        <w:rPr>
          <w:rFonts w:ascii="Arial" w:eastAsia="Arial" w:hAnsi="Arial" w:cs="Arial"/>
        </w:rPr>
        <w:t xml:space="preserve">U provedbi potrebnih radnji i mjera iz članka 8. ovoga Zakona Agencija pruža pomoć službenim i drugim osobama koje je Europska komisija ovlastila za provođenje inspekcije sukladno članku 14. stavku 5. Uredbe (EU) 2022/2560 te, na zahtjev Europske komisije, provodi inspekcije ili druge mjere za utvrđivanje činjenica u skladu s člankom 14. stavkom 7. navedene Uredbe. </w:t>
      </w:r>
    </w:p>
    <w:p>
      <w:pPr>
        <w:pBdr/>
        <w:pStyle w:val="List Paragraph"/>
        <w:numPr>
          <w:ilvl w:val="0"/>
          <w:numId w:val="4"/>
        </w:numPr>
        <w:spacing w:before="120" w:after="120" w:line="259" w:lineRule="auto"/>
        <w:ind w:left="0" w:firstLine="708"/>
        <w:jc w:val="both"/>
        <w:tabs>
          <w:tab w:val="left" w:pos="1134.000015258789"/>
        </w:tabs>
        <w:rPr>
          <w:rFonts w:ascii="Arial" w:eastAsia="Arial" w:hAnsi="Arial" w:cs="Arial"/>
        </w:rPr>
      </w:pPr>
      <w:r>
        <w:rPr>
          <w:rFonts w:ascii="Arial" w:eastAsia="Arial" w:hAnsi="Arial" w:cs="Arial"/>
        </w:rPr>
        <w:t xml:space="preserve">Predstavnici Agencije tijekom provođenja potrebnih radnji (u daljnjem tekstu: ovlaštena osoba) ovlašteni su:</w:t>
      </w:r>
    </w:p>
    <w:p>
      <w:pPr>
        <w:pBdr/>
        <w:pStyle w:val="List Paragraph"/>
        <w:numPr>
          <w:ilvl w:val="0"/>
          <w:numId w:val="5"/>
        </w:numPr>
        <w:spacing w:before="120" w:after="120"/>
        <w:ind/>
        <w:jc w:val="both"/>
        <w:tabs>
          <w:tab w:val="left" w:pos="1134.000015258789"/>
          <w:tab w:val="left" w:pos="1275.999984741211"/>
        </w:tabs>
        <w:rPr/>
      </w:pPr>
      <w:r>
        <w:rPr/>
        <w:t xml:space="preserve">ulaziti u sve prostorije, na zemljište i u prijevozna sredstva poduzetnika ili udruženja poduzetnika</w:t>
      </w:r>
    </w:p>
    <w:p>
      <w:pPr>
        <w:pBdr/>
        <w:pStyle w:val="List Paragraph"/>
        <w:numPr>
          <w:ilvl w:val="0"/>
          <w:numId w:val="5"/>
        </w:numPr>
        <w:spacing w:before="120" w:after="120"/>
        <w:ind/>
        <w:jc w:val="both"/>
        <w:tabs>
          <w:tab w:val="left" w:pos="1134.000015258789"/>
          <w:tab w:val="left" w:pos="1275.999984741211"/>
        </w:tabs>
        <w:rPr/>
      </w:pPr>
      <w:r>
        <w:rPr/>
        <w:t xml:space="preserve"> pregledati poslovne knjige i ostalu dokumentaciju vezanu uz poslovanje poduzetnika ili udruženja poduzetnika, bez obzira na vrstu medija na kojem je snimljena ili pohranjena, te imati pravo pristupa svim informacijama dostupnima poduzetniku ili udruženju poduzetnika koji je predmet pregleda</w:t>
      </w:r>
    </w:p>
    <w:p>
      <w:pPr>
        <w:pBdr/>
        <w:pStyle w:val="List Paragraph"/>
        <w:numPr>
          <w:ilvl w:val="0"/>
          <w:numId w:val="5"/>
        </w:numPr>
        <w:spacing w:before="120" w:after="120"/>
        <w:ind/>
        <w:jc w:val="both"/>
        <w:tabs>
          <w:tab w:val="left" w:pos="1134.000015258789"/>
          <w:tab w:val="left" w:pos="1275.999984741211"/>
        </w:tabs>
        <w:rPr/>
      </w:pPr>
      <w:r>
        <w:rPr>
          <w:rFonts w:ascii="Arial" w:eastAsia="Arial" w:hAnsi="Arial" w:cs="Arial"/>
        </w:rPr>
        <w:t xml:space="preserve">uzimati ili pribavljati, bez obzira na oblik, kopije, forenzičke kopije ili izvatke iz poslovnih knjiga i druge dokumentacije vezane uz poslovanje poduzetnika ili udruženja poduzetnika, u bilo kojem obliku koristeći opremu za fotokopiranje i računalnu opremu poduzetnika, udruženja poduzetnika ili agencije. Ako ovlaštene osobe to smatraju prikladnim, nastavit će takvo pretraživanje informacija i odabrati kopije ili izvatke u prostorijama Agencije ili bilo kojem drugom za to određenom prostoru te o tome sastaviti službenu zabilješku</w:t>
      </w:r>
    </w:p>
    <w:p>
      <w:pPr>
        <w:pBdr/>
        <w:pStyle w:val="List Paragraph"/>
        <w:numPr>
          <w:ilvl w:val="0"/>
          <w:numId w:val="5"/>
        </w:numPr>
        <w:spacing w:before="120" w:after="120"/>
        <w:ind/>
        <w:jc w:val="both"/>
        <w:tabs>
          <w:tab w:val="left" w:pos="1134.000015258789"/>
          <w:tab w:val="left" w:pos="1275.999984741211"/>
        </w:tabs>
        <w:rPr/>
      </w:pPr>
      <w:r>
        <w:rPr>
          <w:rFonts w:ascii="Arial" w:eastAsia="Arial" w:hAnsi="Arial" w:cs="Arial"/>
        </w:rPr>
        <w:t xml:space="preserve">pečatiti poslovne prostorije te poslovne knjige ili poslovnu dokumentaciju vezanu uz poslovanje poduzetnika ili udruženja poduzetnika za vrijeme trajanja inspekcije i u opsegu potrebnom za njezinu provedbu</w:t>
      </w:r>
    </w:p>
    <w:p>
      <w:pPr>
        <w:pBdr/>
        <w:pStyle w:val="List Paragraph"/>
        <w:numPr>
          <w:ilvl w:val="0"/>
          <w:numId w:val="5"/>
        </w:numPr>
        <w:spacing w:before="120" w:after="120"/>
        <w:ind/>
        <w:jc w:val="both"/>
        <w:tabs>
          <w:tab w:val="left" w:pos="1134.000015258789"/>
          <w:tab w:val="left" w:pos="1275.999984741211"/>
        </w:tabs>
        <w:rPr/>
      </w:pPr>
      <w:r>
        <w:rPr/>
        <w:t xml:space="preserve">zatražiti od bilo kojeg predstavnika (u daljnjem tekstu: predstavnik) ili osobe zaposlene u poduzeću ili udruženju poduzeća usmeno ili pismeno objašnjenje činjenica ili dokumenata koji se odnose na predmet i svrhu inspekcije te o tome sastaviti zapisnik. Ako ovlaštena osoba zatraži pismeno objašnjenje, odredit će rok u kojem se objašnjenje mora dostaviti</w:t>
      </w:r>
    </w:p>
    <w:p>
      <w:pPr>
        <w:pBdr/>
        <w:pStyle w:val="List Paragraph"/>
        <w:numPr>
          <w:ilvl w:val="0"/>
          <w:numId w:val="5"/>
        </w:numPr>
        <w:spacing w:before="120" w:after="120"/>
        <w:ind/>
        <w:jc w:val="both"/>
        <w:tabs>
          <w:tab w:val="left" w:pos="1134.000015258789"/>
          <w:tab w:val="left" w:pos="1275.999984741211"/>
        </w:tabs>
        <w:rPr/>
      </w:pPr>
      <w:r>
        <w:rPr/>
        <w:t xml:space="preserve">izvršiti i druge radnje koje su u skladu sa svrhom inspekcije.</w:t>
      </w:r>
    </w:p>
    <w:p>
      <w:pPr>
        <w:pBdr/>
        <w:pStyle w:val="List Paragraph"/>
        <w:numPr>
          <w:ilvl w:val="0"/>
          <w:numId w:val="4"/>
        </w:numPr>
        <w:spacing w:before="120" w:after="120"/>
        <w:ind w:left="0" w:firstLine="567"/>
        <w:jc w:val="both"/>
        <w:tabs>
          <w:tab w:val="left" w:pos="993.0000305175781"/>
        </w:tabs>
        <w:rPr>
          <w:rFonts w:ascii="Arial" w:eastAsia="Arial" w:hAnsi="Arial" w:cs="Arial"/>
        </w:rPr>
      </w:pPr>
      <w:r>
        <w:rPr>
          <w:rFonts w:ascii="Arial" w:eastAsia="Arial" w:hAnsi="Arial" w:cs="Arial"/>
        </w:rPr>
        <w:t xml:space="preserve">Ako je radi provođenja inspekcije potrebno posebno stručno znanje iz područja javne nabave, unutarnjeg tržišta, koncesija, financijskih doprinosa, subvencijskih mehanizama ili fiskalnih mjera, Agencija može zatražiti stručnu pomoć ministarstva nadležnog za gospodarstvo odnosno ministarstva nadležnog za financije, koja su dužna pružiti traženu stručnu pomoć u okviru i granicama svojih ovlasti.</w:t>
      </w:r>
    </w:p>
    <w:p>
      <w:pPr>
        <w:pBdr/>
        <w:pStyle w:val="List Paragraph"/>
        <w:numPr>
          <w:ilvl w:val="0"/>
          <w:numId w:val="4"/>
        </w:numPr>
        <w:spacing w:before="120" w:after="120"/>
        <w:ind w:left="0" w:firstLine="567"/>
        <w:jc w:val="both"/>
        <w:tabs>
          <w:tab w:val="left" w:pos="993.0000305175781"/>
        </w:tabs>
        <w:rPr>
          <w:rFonts w:ascii="Arial" w:eastAsia="Arial" w:hAnsi="Arial" w:cs="Arial"/>
        </w:rPr>
      </w:pPr>
      <w:r>
        <w:rPr>
          <w:rFonts w:ascii="Arial" w:eastAsia="Arial" w:hAnsi="Arial" w:cs="Arial"/>
        </w:rPr>
        <w:t xml:space="preserve">Ako poduzetnik ili udruženje poduzetnika ne dopusti provođenje inspekcije ili se  takvo                     postupanje opravdano očekuje, Agencija može, u skladu s člankom 14. stavkom 6. Uredbe                   (EU) 2022/2560, provesti inspekciju uz pomoć policije. </w:t>
      </w:r>
    </w:p>
    <w:p>
      <w:pPr>
        <w:pBdr/>
        <w:pStyle w:val="List Paragraph"/>
        <w:numPr>
          <w:ilvl w:val="0"/>
          <w:numId w:val="4"/>
        </w:numPr>
        <w:spacing w:before="120" w:after="120"/>
        <w:ind w:left="0" w:firstLine="567"/>
        <w:jc w:val="both"/>
        <w:tabs>
          <w:tab w:val="left" w:pos="993.0000305175781"/>
        </w:tabs>
        <w:rPr>
          <w:rFonts w:ascii="Arial" w:eastAsia="Arial" w:hAnsi="Arial" w:cs="Arial"/>
          <w:szCs w:val="24"/>
        </w:rPr>
      </w:pPr>
      <w:r>
        <w:rPr>
          <w:rFonts w:ascii="Arial" w:eastAsia="Arial" w:hAnsi="Arial" w:cs="Arial"/>
        </w:rPr>
        <w:t xml:space="preserve">Policija pruža pomoć u skladu sa zakonom kojim se uređuju poslovi i ovlasti policije.</w:t>
      </w:r>
    </w:p>
    <w:p>
      <w:pPr>
        <w:pBdr/>
        <w:pStyle w:val="List Paragraph"/>
        <w:spacing w:before="120" w:after="120"/>
        <w:ind w:left="567"/>
        <w:jc w:val="both"/>
        <w:tabs>
          <w:tab w:val="left" w:pos="993.0000305175781"/>
        </w:tabs>
        <w:rPr>
          <w:rFonts w:ascii="Arial" w:eastAsia="Arial" w:hAnsi="Arial" w:cs="Arial"/>
          <w:szCs w:val="24"/>
        </w:rPr>
      </w:pPr>
    </w:p>
    <w:p>
      <w:pPr>
        <w:pBdr/>
        <w:pStyle w:val="List Paragraph"/>
        <w:spacing w:before="120" w:after="120"/>
        <w:ind w:left="567"/>
        <w:jc w:val="both"/>
        <w:tabs>
          <w:tab w:val="left" w:pos="993.0000305175781"/>
        </w:tabs>
        <w:rPr>
          <w:rFonts w:ascii="Arial" w:eastAsia="Arial" w:hAnsi="Arial" w:cs="Arial"/>
          <w:szCs w:val="24"/>
        </w:rPr>
      </w:pPr>
    </w:p>
    <w:p>
      <w:pPr>
        <w:pBdr/>
        <w:pStyle w:val="Normal"/>
        <w:spacing w:before="120" w:after="120"/>
        <w:ind/>
        <w:jc w:val="both"/>
        <w:tabs>
          <w:tab w:val="left" w:pos="993.0000305175781"/>
        </w:tabs>
        <w:rPr>
          <w:rFonts w:ascii="Arial" w:eastAsia="Arial" w:hAnsi="Arial" w:cs="Arial"/>
        </w:rPr>
      </w:pPr>
    </w:p>
    <w:p>
      <w:pPr>
        <w:pBdr/>
        <w:pStyle w:val="Normal"/>
        <w:spacing w:before="120" w:after="120"/>
        <w:ind/>
        <w:jc w:val="both"/>
        <w:tabs>
          <w:tab w:val="left" w:pos="993.0000305175781"/>
        </w:tabs>
        <w:rPr>
          <w:rFonts w:ascii="Arial" w:eastAsia="Arial" w:hAnsi="Arial" w:cs="Arial"/>
        </w:rPr>
      </w:pPr>
    </w:p>
    <w:p>
      <w:pPr>
        <w:pBdr/>
        <w:pStyle w:val="Normal"/>
        <w:spacing w:before="120" w:after="120"/>
        <w:ind/>
        <w:jc w:val="both"/>
        <w:tabs>
          <w:tab w:val="left" w:pos="993.0000305175781"/>
        </w:tabs>
        <w:rPr>
          <w:rFonts w:ascii="Arial" w:eastAsia="Arial" w:hAnsi="Arial" w:cs="Arial"/>
        </w:rPr>
      </w:pPr>
    </w:p>
    <w:p>
      <w:pPr>
        <w:pBdr/>
        <w:pStyle w:val="Normal"/>
        <w:spacing w:before="120" w:after="120"/>
        <w:ind/>
        <w:rPr>
          <w:rFonts w:ascii="Arial" w:eastAsia="Arial" w:hAnsi="Arial" w:cs="Arial"/>
          <w:b/>
          <w:bCs/>
          <w:i/>
          <w:iCs/>
          <w:sz w:val="4"/>
          <w:szCs w:val="4"/>
        </w:rPr>
      </w:pPr>
    </w:p>
    <w:p>
      <w:pPr>
        <w:pBdr/>
        <w:pStyle w:val="Heading 1"/>
        <w:spacing w:before="120" w:after="120"/>
        <w:ind/>
        <w:jc w:val="center"/>
        <w:rPr>
          <w:rFonts w:ascii="Arial" w:eastAsia="Arial" w:hAnsi="Arial" w:cs="Arial"/>
          <w:b/>
          <w:bCs/>
          <w:szCs w:val="24"/>
        </w:rPr>
      </w:pPr>
      <w:r>
        <w:rPr>
          <w:rFonts w:ascii="Arial" w:eastAsia="Arial" w:hAnsi="Arial" w:cs="Arial"/>
          <w:b/>
          <w:bCs/>
          <w:szCs w:val="24"/>
        </w:rPr>
        <w:t xml:space="preserve">DIO PETI</w:t>
      </w:r>
    </w:p>
    <w:p>
      <w:pPr>
        <w:pBdr/>
        <w:pStyle w:val="Heading 1"/>
        <w:spacing w:before="120" w:after="120"/>
        <w:ind/>
        <w:jc w:val="center"/>
        <w:rPr>
          <w:rFonts w:ascii="Arial" w:eastAsia="Arial" w:hAnsi="Arial" w:cs="Arial"/>
          <w:b/>
        </w:rPr>
      </w:pPr>
      <w:r>
        <w:rPr>
          <w:rFonts w:ascii="Arial" w:eastAsia="Arial" w:hAnsi="Arial" w:cs="Arial"/>
          <w:b/>
        </w:rPr>
        <w:t xml:space="preserve">NOVČANE KAZNE </w:t>
      </w:r>
      <w:r>
        <w:rPr>
          <w:rFonts w:ascii="Arial" w:eastAsia="Arial" w:hAnsi="Arial" w:cs="Arial"/>
          <w:b/>
          <w:bCs/>
          <w:i/>
          <w:iCs/>
        </w:rPr>
        <w:t xml:space="preserve">Novčane kazne</w:t>
      </w:r>
    </w:p>
    <w:p>
      <w:pPr>
        <w:pBdr/>
        <w:pStyle w:val="Heading 2"/>
        <w:spacing/>
        <w:ind/>
        <w:rPr>
          <w:rFonts w:ascii="Arial" w:eastAsia="Arial" w:hAnsi="Arial" w:cs="Arial"/>
        </w:rPr>
      </w:pPr>
      <w:r>
        <w:rPr>
          <w:rFonts w:ascii="Arial" w:eastAsia="Arial" w:hAnsi="Arial" w:cs="Arial"/>
        </w:rPr>
        <w:t xml:space="preserve">Članak 10. </w:t>
      </w:r>
    </w:p>
    <w:p>
      <w:pPr>
        <w:pBdr/>
        <w:pStyle w:val="List Paragraph"/>
        <w:numPr>
          <w:ilvl w:val="0"/>
          <w:numId w:val="1"/>
        </w:numPr>
        <w:spacing w:before="120" w:after="120" w:line="259" w:lineRule="auto"/>
        <w:ind w:left="0" w:firstLine="709"/>
        <w:jc w:val="both"/>
        <w:tabs>
          <w:tab w:val="left" w:pos="1134.000015258789"/>
        </w:tabs>
        <w:rPr>
          <w:rFonts w:ascii="Arial" w:eastAsia="Arial" w:hAnsi="Arial" w:cs="Arial"/>
        </w:rPr>
      </w:pPr>
      <w:r>
        <w:rPr>
          <w:rFonts w:ascii="Arial" w:eastAsia="Arial" w:hAnsi="Arial" w:cs="Arial"/>
        </w:rPr>
        <w:t xml:space="preserve">Agencija može poduzetniku ili udruženju poduzetnika izreći novčanu kaznu  u iznosu do 1 % ukupnog prometa dotičnog poduzetnika ili udruženja poduzetnika ostvarenog u prethodnoj financijskoj godini ako namjerno ili iz nepažnje:</w:t>
      </w:r>
    </w:p>
    <w:p>
      <w:pPr>
        <w:pBdr/>
        <w:pStyle w:val="List Paragraph"/>
        <w:spacing w:before="120" w:after="120"/>
        <w:ind w:left="851"/>
        <w:jc w:val="both"/>
        <w:rPr>
          <w:rFonts w:ascii="Arial" w:eastAsia="Arial" w:hAnsi="Arial" w:cs="Arial"/>
        </w:rPr>
      </w:pPr>
      <w:r>
        <w:rPr>
          <w:rFonts w:ascii="Arial" w:eastAsia="Arial" w:hAnsi="Arial" w:cs="Arial"/>
        </w:rPr>
        <w:t xml:space="preserve">-  dostavi nepotpune, netočne ili obmanjujuće informacije </w:t>
      </w:r>
    </w:p>
    <w:p>
      <w:pPr>
        <w:pBdr/>
        <w:pStyle w:val="List Paragraph"/>
        <w:spacing w:before="120" w:after="120"/>
        <w:ind w:left="851"/>
        <w:jc w:val="both"/>
        <w:rPr>
          <w:rFonts w:ascii="Arial" w:eastAsia="Arial" w:hAnsi="Arial" w:cs="Arial"/>
        </w:rPr>
      </w:pPr>
      <w:r>
        <w:rPr>
          <w:rFonts w:ascii="Arial" w:eastAsia="Arial" w:hAnsi="Arial" w:cs="Arial"/>
        </w:rPr>
        <w:t xml:space="preserve">-</w:t>
      </w:r>
      <w:r>
        <w:rPr>
          <w:rFonts w:ascii="Arial" w:eastAsia="Arial" w:hAnsi="Arial" w:cs="Arial"/>
        </w:rPr>
        <w:t xml:space="preserve">  ne dostavi informacije, podatke ili dokumentaciju u roku koji je odredila Agencija</w:t>
      </w:r>
    </w:p>
    <w:p>
      <w:pPr>
        <w:pBdr/>
        <w:pStyle w:val="List Paragraph"/>
        <w:spacing w:before="120" w:after="120"/>
        <w:ind w:left="851"/>
        <w:jc w:val="both"/>
        <w:rPr>
          <w:rFonts w:ascii="Arial" w:eastAsia="Arial" w:hAnsi="Arial" w:cs="Arial"/>
        </w:rPr>
      </w:pPr>
      <w:r>
        <w:rPr>
          <w:rFonts w:ascii="Arial" w:eastAsia="Arial" w:hAnsi="Arial" w:cs="Arial"/>
        </w:rPr>
        <w:t xml:space="preserve">-</w:t>
      </w:r>
      <w:r>
        <w:rPr>
          <w:rFonts w:ascii="Arial" w:eastAsia="Arial" w:hAnsi="Arial" w:cs="Arial"/>
        </w:rPr>
        <w:t xml:space="preserve"> tijekom inspekcije pruži na uvid nepotpune poslovne knjige ili drugu poslovnu dokumentaciju koja je zatražena</w:t>
      </w:r>
    </w:p>
    <w:p>
      <w:pPr>
        <w:pBdr/>
        <w:pStyle w:val="List Paragraph"/>
        <w:spacing w:before="120" w:after="120" w:line="259" w:lineRule="auto"/>
        <w:ind w:left="851"/>
        <w:jc w:val="both"/>
        <w:rPr>
          <w:rFonts w:ascii="Arial" w:eastAsia="Arial" w:hAnsi="Arial" w:cs="Arial"/>
        </w:rPr>
      </w:pPr>
      <w:r>
        <w:rPr>
          <w:rFonts w:ascii="Arial" w:eastAsia="Arial" w:hAnsi="Arial" w:cs="Arial"/>
        </w:rPr>
        <w:t xml:space="preserve">-  kao odgovor na pitanje postavljeno u skladu s člankom 9. stavkom 2. točkom 5. ovoga Zakona pruži netočan ili obmanjujući odgovor; ne ispravi takav odgovor unutar roka koji je odredila Agencija ili ne da ili odbije dati potpuni odgovor o činjenicama koje se odnose na predmet i svrhu inspekcije</w:t>
      </w:r>
    </w:p>
    <w:p>
      <w:pPr>
        <w:pBdr/>
        <w:pStyle w:val="List Paragraph"/>
        <w:spacing w:before="120" w:after="120"/>
        <w:ind w:left="851"/>
        <w:jc w:val="both"/>
        <w:rPr>
          <w:rFonts w:ascii="Arial" w:eastAsia="Arial" w:hAnsi="Arial" w:cs="Arial"/>
        </w:rPr>
      </w:pPr>
      <w:r>
        <w:rPr>
          <w:rFonts w:ascii="Arial" w:eastAsia="Arial" w:hAnsi="Arial" w:cs="Arial"/>
        </w:rPr>
        <w:t xml:space="preserve">-</w:t>
      </w:r>
      <w:r>
        <w:rPr>
          <w:rFonts w:ascii="Arial" w:eastAsia="Arial" w:hAnsi="Arial" w:cs="Arial"/>
        </w:rPr>
        <w:t xml:space="preserve"> odbije podvrgnuti se inspekciji </w:t>
      </w:r>
    </w:p>
    <w:p>
      <w:pPr>
        <w:pBdr/>
        <w:pStyle w:val="List Paragraph"/>
        <w:spacing w:before="120" w:after="120" w:line="259" w:lineRule="auto"/>
        <w:ind w:left="851"/>
        <w:jc w:val="both"/>
        <w:rPr>
          <w:rFonts w:ascii="Arial" w:eastAsia="Arial" w:hAnsi="Arial" w:cs="Arial"/>
        </w:rPr>
      </w:pPr>
      <w:r>
        <w:rPr>
          <w:rFonts w:ascii="Arial" w:eastAsia="Arial" w:hAnsi="Arial" w:cs="Arial"/>
        </w:rPr>
        <w:t xml:space="preserve">-</w:t>
      </w:r>
      <w:r>
        <w:rPr>
          <w:rFonts w:ascii="Arial" w:eastAsia="Arial" w:hAnsi="Arial" w:cs="Arial"/>
        </w:rPr>
        <w:t xml:space="preserve"> skine službeni pečat postavljen tijekom inspekcije</w:t>
      </w:r>
    </w:p>
    <w:p>
      <w:pPr>
        <w:pBdr/>
        <w:pStyle w:val="List Paragraph"/>
        <w:spacing w:before="120" w:after="120"/>
        <w:ind w:left="851"/>
        <w:jc w:val="both"/>
        <w:rPr>
          <w:rFonts w:ascii="Arial" w:eastAsia="Arial" w:hAnsi="Arial" w:cs="Arial"/>
        </w:rPr>
      </w:pPr>
    </w:p>
    <w:p>
      <w:pPr>
        <w:pBdr/>
        <w:pStyle w:val="List Paragraph"/>
        <w:numPr>
          <w:ilvl w:val="0"/>
          <w:numId w:val="1"/>
        </w:numPr>
        <w:spacing w:before="120" w:after="120" w:line="259" w:lineRule="auto"/>
        <w:ind w:left="0" w:firstLine="709"/>
        <w:jc w:val="both"/>
        <w:tabs>
          <w:tab w:val="left" w:pos="1134.000015258789"/>
        </w:tabs>
        <w:rPr>
          <w:rFonts w:ascii="Arial" w:eastAsia="Arial" w:hAnsi="Arial" w:cs="Arial"/>
        </w:rPr>
      </w:pPr>
      <w:r>
        <w:rPr>
          <w:rFonts w:ascii="Arial" w:eastAsia="Arial" w:hAnsi="Arial" w:cs="Arial"/>
        </w:rPr>
        <w:t xml:space="preserve">Agencija može poduzetniku ili udruženju poduzetnika odrediti dnevnu novčanu kaznu u iznosu do 5 % vrijednosti prosječnog ukupnog dnevnog prometa dotičnog poduzetnika ili udruženja poduzetnika u prethodnoj financijskoj godini za svaki radni dan kašnjenja, računajući od dana utvrđenog u rješenju Agencije, sve dok poduzetnik ili udruženje poduzetnika:</w:t>
      </w:r>
    </w:p>
    <w:p>
      <w:pPr>
        <w:pBdr/>
        <w:pStyle w:val="List Paragraph"/>
        <w:spacing w:before="120" w:after="120"/>
        <w:ind w:left="851"/>
        <w:jc w:val="both"/>
        <w:rPr>
          <w:rFonts w:ascii="Arial" w:eastAsia="Arial" w:hAnsi="Arial" w:cs="Arial"/>
        </w:rPr>
      </w:pPr>
      <w:r>
        <w:rPr>
          <w:rFonts w:ascii="Arial" w:eastAsia="Arial" w:hAnsi="Arial" w:cs="Arial"/>
        </w:rPr>
        <w:t xml:space="preserve">-</w:t>
      </w:r>
      <w:r>
        <w:rPr>
          <w:rFonts w:ascii="Arial" w:eastAsia="Arial" w:hAnsi="Arial" w:cs="Arial"/>
        </w:rPr>
        <w:t xml:space="preserve"> ne dostavi potpune i točne informacije kako je zatražila Agencija</w:t>
      </w:r>
    </w:p>
    <w:p>
      <w:pPr>
        <w:pBdr/>
        <w:pStyle w:val="List Paragraph"/>
        <w:spacing w:before="120" w:after="120"/>
        <w:ind w:left="851"/>
        <w:jc w:val="both"/>
        <w:rPr/>
      </w:pPr>
      <w:r>
        <w:rPr>
          <w:rFonts w:ascii="Arial" w:eastAsia="Arial" w:hAnsi="Arial" w:cs="Arial"/>
        </w:rPr>
        <w:t xml:space="preserve">-</w:t>
      </w:r>
      <w:r>
        <w:rPr>
          <w:rFonts w:ascii="Arial" w:eastAsia="Arial" w:hAnsi="Arial" w:cs="Arial"/>
        </w:rPr>
        <w:t xml:space="preserve"> se ne podvrgne inspekciji</w:t>
      </w:r>
    </w:p>
    <w:p>
      <w:pPr>
        <w:pBdr/>
        <w:pStyle w:val="Normal"/>
        <w:spacing w:before="120" w:after="120"/>
        <w:ind w:left="142" w:firstLine="567"/>
        <w:jc w:val="both"/>
        <w:tabs>
          <w:tab w:val="left" w:pos="1418.0000305175781"/>
        </w:tabs>
        <w:rPr>
          <w:rFonts w:ascii="Arial" w:eastAsia="Arial" w:hAnsi="Arial" w:cs="Arial"/>
        </w:rPr>
      </w:pPr>
      <w:r>
        <w:rPr>
          <w:rFonts w:ascii="Arial" w:eastAsia="Arial" w:hAnsi="Arial" w:cs="Arial"/>
        </w:rPr>
        <w:t xml:space="preserve">(3)  Pri određivanju visine novčane kazne Agencija uzima u obzir prirodu, težinu i trajanje povrede, vodeći računa o načelima proporcionalnosti i primjerenosti.</w:t>
      </w:r>
    </w:p>
    <w:p>
      <w:pPr>
        <w:pBdr/>
        <w:pStyle w:val="Normal"/>
        <w:spacing w:before="120" w:after="120"/>
        <w:ind w:left="142" w:firstLine="567"/>
        <w:jc w:val="both"/>
        <w:tabs>
          <w:tab w:val="left" w:pos="1134.000015258789"/>
          <w:tab w:val="left" w:pos="1418.0000305175781"/>
        </w:tabs>
        <w:rPr>
          <w:rFonts w:ascii="Arial" w:eastAsia="Arial" w:hAnsi="Arial" w:cs="Arial"/>
        </w:rPr>
      </w:pPr>
      <w:r>
        <w:rPr>
          <w:rFonts w:ascii="Arial" w:eastAsia="Arial" w:hAnsi="Arial" w:cs="Arial"/>
        </w:rPr>
        <w:t xml:space="preserve">(4)  Na postupak utvrđivanja povreda i izricanja novčanih kazni iz stavaka 1. i 2. ovoga članka na odgovarajući način primjenjuju se odredbe zakona kojim se uređuje zaštita tržišnog natjecanja.</w:t>
      </w:r>
    </w:p>
    <w:p>
      <w:pPr>
        <w:pBdr/>
        <w:pStyle w:val="Normal"/>
        <w:spacing w:before="120" w:after="120"/>
        <w:ind w:left="142" w:firstLine="567"/>
        <w:jc w:val="both"/>
        <w:tabs>
          <w:tab w:val="left" w:pos="1134.000015258789"/>
          <w:tab w:val="left" w:pos="1418.0000305175781"/>
        </w:tabs>
        <w:rPr>
          <w:rFonts w:ascii="Arial" w:eastAsia="Arial" w:hAnsi="Arial" w:cs="Arial"/>
        </w:rPr>
      </w:pPr>
    </w:p>
    <w:p>
      <w:pPr>
        <w:pBdr/>
        <w:pStyle w:val="Normal"/>
        <w:spacing w:before="120" w:after="120"/>
        <w:ind w:left="142" w:firstLine="567"/>
        <w:jc w:val="both"/>
        <w:tabs>
          <w:tab w:val="left" w:pos="1134.000015258789"/>
          <w:tab w:val="left" w:pos="1418.0000305175781"/>
        </w:tabs>
        <w:rPr>
          <w:rFonts w:ascii="Arial" w:eastAsia="Arial" w:hAnsi="Arial" w:cs="Arial"/>
        </w:rPr>
      </w:pPr>
    </w:p>
    <w:p>
      <w:pPr>
        <w:pBdr/>
        <w:pStyle w:val="Heading 1"/>
        <w:spacing w:before="120" w:after="120"/>
        <w:ind/>
        <w:jc w:val="center"/>
        <w:rPr>
          <w:rFonts w:ascii="Arial" w:eastAsia="Arial" w:hAnsi="Arial" w:cs="Arial"/>
          <w:b/>
          <w:bCs/>
          <w:szCs w:val="24"/>
        </w:rPr>
      </w:pPr>
      <w:r>
        <w:rPr>
          <w:rFonts w:ascii="Arial" w:eastAsia="Arial" w:hAnsi="Arial" w:cs="Arial"/>
          <w:b/>
          <w:bCs/>
          <w:szCs w:val="24"/>
        </w:rPr>
        <w:t xml:space="preserve">DIO ŠESTI</w:t>
      </w:r>
    </w:p>
    <w:p>
      <w:pPr>
        <w:pBdr/>
        <w:pStyle w:val="Heading 1"/>
        <w:spacing w:before="120" w:after="120"/>
        <w:ind/>
        <w:jc w:val="center"/>
        <w:rPr>
          <w:rFonts w:ascii="Arial" w:eastAsia="Arial" w:hAnsi="Arial" w:cs="Arial"/>
        </w:rPr>
      </w:pPr>
      <w:r>
        <w:rPr>
          <w:rFonts w:ascii="Arial" w:eastAsia="Arial" w:hAnsi="Arial" w:cs="Arial"/>
          <w:b/>
          <w:bCs/>
        </w:rPr>
        <w:t xml:space="preserve">ZAVRŠNE ODREDBE </w:t>
      </w:r>
      <w:r>
        <w:rPr>
          <w:rFonts w:ascii="Arial" w:eastAsia="Arial" w:hAnsi="Arial" w:cs="Arial"/>
          <w:b/>
          <w:bCs/>
          <w:i/>
          <w:iCs/>
          <w:szCs w:val="24"/>
        </w:rPr>
        <w:t xml:space="preserve">Stupanje na snagu</w:t>
      </w:r>
    </w:p>
    <w:p>
      <w:pPr>
        <w:pBdr/>
        <w:pStyle w:val="Heading 2"/>
        <w:spacing/>
        <w:ind/>
        <w:rPr>
          <w:rFonts w:ascii="Arial" w:eastAsia="Arial" w:hAnsi="Arial" w:cs="Arial"/>
        </w:rPr>
      </w:pPr>
      <w:r>
        <w:rPr>
          <w:rFonts w:ascii="Arial" w:eastAsia="Arial" w:hAnsi="Arial" w:cs="Arial"/>
        </w:rPr>
        <w:t xml:space="preserve">Članak 11.</w:t>
      </w:r>
    </w:p>
    <w:p>
      <w:pPr>
        <w:pBdr/>
        <w:pStyle w:val="Normal"/>
        <w:spacing w:before="120" w:after="120"/>
        <w:ind/>
        <w:jc w:val="both"/>
        <w:tabs>
          <w:tab w:val="left" w:pos="850.9999847412109"/>
        </w:tabs>
        <w:rPr/>
      </w:pPr>
      <w:r>
        <w:rPr>
          <w:rFonts w:ascii="Arial" w:eastAsia="Arial" w:hAnsi="Arial" w:cs="Arial"/>
          <w:szCs w:val="24"/>
        </w:rPr>
        <w:tab/>
      </w:r>
      <w:r>
        <w:rPr>
          <w:rFonts w:ascii="Arial" w:eastAsia="Arial" w:hAnsi="Arial" w:cs="Arial"/>
          <w:szCs w:val="24"/>
        </w:rPr>
        <w:t xml:space="preserve"/>
      </w:r>
      <w:r>
        <w:rPr>
          <w:rFonts w:ascii="Arial" w:eastAsia="Arial" w:hAnsi="Arial" w:cs="Arial"/>
          <w:szCs w:val="24"/>
        </w:rPr>
        <w:t xml:space="preserve">Ovaj Zakon stupa na snagu osmoga dana od dana objave u „Narodnim novinama“.</w:t>
      </w:r>
    </w:p>
    <w:p>
      <w:pPr>
        <w:pBdr/>
        <w:pStyle w:val="Normal"/>
        <w:spacing w:before="120" w:after="120"/>
        <w:ind/>
        <w:jc w:val="both"/>
        <w:tabs>
          <w:tab w:val="left" w:pos="850.9999847412109"/>
        </w:tabs>
        <w:rPr/>
      </w:pPr>
    </w:p>
    <w:p>
      <w:pPr>
        <w:pBdr/>
        <w:pStyle w:val="Normal"/>
        <w:spacing/>
        <w:ind/>
        <w:rPr/>
      </w:pPr>
    </w:p>
    <w:p>
      <w:pPr>
        <w:pBdr/>
        <w:pStyle w:val="Normal"/>
        <w:spacing/>
        <w:ind/>
        <w:rPr/>
      </w:pPr>
    </w:p>
    <w:p>
      <w:pPr>
        <w:pBdr/>
        <w:pStyle w:val="Normal"/>
        <w:spacing/>
        <w:ind/>
        <w:rPr/>
      </w:pPr>
    </w:p>
    <w:p>
      <w:pPr>
        <w:pBdr/>
        <w:pStyle w:val="Heading 1"/>
        <w:spacing/>
        <w:ind/>
        <w:jc w:val="center"/>
        <w:rPr>
          <w:b/>
          <w:bCs/>
        </w:rPr>
      </w:pPr>
      <w:r>
        <w:rPr>
          <w:b/>
          <w:bCs/>
        </w:rPr>
        <w:t xml:space="preserve">OBRAZLOŽENJE</w:t>
      </w:r>
    </w:p>
    <w:p>
      <w:pPr>
        <w:pBdr/>
        <w:pStyle w:val="Normal"/>
        <w:spacing/>
        <w:ind/>
        <w:rPr>
          <w:b/>
          <w:bCs/>
        </w:rPr>
      </w:pPr>
    </w:p>
    <w:p>
      <w:pPr>
        <w:pBdr/>
        <w:pStyle w:val="Heading 2"/>
        <w:spacing/>
        <w:ind/>
        <w:jc w:val="left"/>
        <w:rPr/>
      </w:pPr>
      <w:r>
        <w:rPr/>
        <w:t xml:space="preserve">Uz članak 1.</w:t>
      </w:r>
    </w:p>
    <w:p>
      <w:pPr>
        <w:pBdr/>
        <w:pStyle w:val="Normal"/>
        <w:spacing/>
        <w:ind/>
        <w:jc w:val="both"/>
        <w:rPr/>
      </w:pPr>
    </w:p>
    <w:p>
      <w:pPr>
        <w:pBdr/>
        <w:pStyle w:val="Normal"/>
        <w:spacing/>
        <w:ind/>
        <w:jc w:val="both"/>
        <w:rPr/>
      </w:pPr>
      <w:r>
        <w:rPr/>
        <w:t xml:space="preserve">Ovim se člankom određuje predmet Zakona na način da se određuju tijela nadležna  za provedbu Uredbe (EU) 2022/2560 i njihove ovlasti, njihova međusobna suradnja i suradnja s Europskom komisijom te druga pitanja od značaja za provedbu navedene Uredbe. Ujedno se uvodi skraćeni naziv Uredbe (EU) 2022/2560 koji se koristi u daljnjem tekstu Zakona.</w:t>
      </w:r>
    </w:p>
    <w:p>
      <w:pPr>
        <w:pBdr/>
        <w:pStyle w:val="Normal"/>
        <w:spacing/>
        <w:ind/>
        <w:jc w:val="both"/>
        <w:rPr/>
      </w:pPr>
    </w:p>
    <w:p>
      <w:pPr>
        <w:pBdr/>
        <w:pStyle w:val="Heading 2"/>
        <w:spacing/>
        <w:ind/>
        <w:jc w:val="left"/>
        <w:rPr/>
      </w:pPr>
      <w:r>
        <w:rPr/>
        <w:t xml:space="preserve">Uz članak 2.</w:t>
      </w:r>
    </w:p>
    <w:p>
      <w:pPr>
        <w:pBdr/>
        <w:pStyle w:val="Normal"/>
        <w:spacing/>
        <w:ind/>
        <w:jc w:val="both"/>
        <w:rPr>
          <w:b/>
          <w:bCs/>
        </w:rPr>
      </w:pPr>
    </w:p>
    <w:p>
      <w:pPr>
        <w:pBdr/>
        <w:pStyle w:val="Normal"/>
        <w:spacing/>
        <w:ind/>
        <w:jc w:val="both"/>
        <w:rPr>
          <w:b/>
          <w:bCs/>
        </w:rPr>
      </w:pPr>
      <w:r>
        <w:rPr/>
        <w:t xml:space="preserve">Ovim se člankom propisuje da se Zakonom osigurava provedba Uredbe (EU) 2022/2560 u Republici Hrvatskoj.</w:t>
      </w:r>
    </w:p>
    <w:p>
      <w:pPr>
        <w:pBdr/>
        <w:pStyle w:val="Normal"/>
        <w:spacing/>
        <w:ind/>
        <w:jc w:val="both"/>
        <w:rPr>
          <w:b/>
          <w:bCs/>
        </w:rPr>
      </w:pPr>
    </w:p>
    <w:p>
      <w:pPr>
        <w:pBdr/>
        <w:pStyle w:val="Heading 2"/>
        <w:spacing/>
        <w:ind/>
        <w:jc w:val="left"/>
        <w:rPr/>
      </w:pPr>
      <w:r>
        <w:rPr/>
        <w:t xml:space="preserve">Uz članak 3.</w:t>
      </w:r>
    </w:p>
    <w:p>
      <w:pPr>
        <w:pBdr/>
        <w:pStyle w:val="Normal"/>
        <w:spacing/>
        <w:ind/>
        <w:jc w:val="both"/>
        <w:rPr/>
      </w:pPr>
    </w:p>
    <w:p>
      <w:pPr>
        <w:pBdr/>
        <w:pStyle w:val="Normal"/>
        <w:spacing/>
        <w:ind/>
        <w:jc w:val="both"/>
        <w:rPr/>
      </w:pPr>
      <w:r>
        <w:rPr/>
        <w:t xml:space="preserve">Ovim se člankom propisuje značenje pojmova koji se koriste u ovome Zakonu, na način da pojmovi korišteni u Zakonu imaju isto značenje kao pojmovi utvrđeni Uredbom (EU) 2022/2560.</w:t>
      </w:r>
    </w:p>
    <w:p>
      <w:pPr>
        <w:pBdr/>
        <w:pStyle w:val="Normal"/>
        <w:spacing/>
        <w:ind/>
        <w:jc w:val="both"/>
        <w:rPr/>
      </w:pPr>
    </w:p>
    <w:p>
      <w:pPr>
        <w:pBdr/>
        <w:pStyle w:val="Heading 2"/>
        <w:spacing/>
        <w:ind/>
        <w:jc w:val="left"/>
        <w:rPr/>
      </w:pPr>
      <w:r>
        <w:rPr/>
        <w:t xml:space="preserve">Uz članak 4.</w:t>
      </w:r>
    </w:p>
    <w:p>
      <w:pPr>
        <w:pBdr/>
        <w:pStyle w:val="Normal"/>
        <w:spacing/>
        <w:ind/>
        <w:jc w:val="both"/>
        <w:rPr/>
      </w:pPr>
    </w:p>
    <w:p>
      <w:pPr>
        <w:pBdr/>
        <w:pStyle w:val="Normal"/>
        <w:spacing w:line="259" w:lineRule="auto"/>
        <w:ind/>
        <w:jc w:val="both"/>
        <w:rPr/>
      </w:pPr>
      <w:r>
        <w:rPr/>
        <w:t xml:space="preserve">Ovim člankom određuju se tijela nadležna za provedbu Uredbe (EU) 2022/2560 i ovoga Zakona u Republici Hrvatskoj te se utvrđuju njihovi poslovi. </w:t>
      </w:r>
    </w:p>
    <w:p>
      <w:pPr>
        <w:pBdr/>
        <w:pStyle w:val="Normal"/>
        <w:spacing w:line="259" w:lineRule="auto"/>
        <w:ind/>
        <w:jc w:val="both"/>
        <w:rPr/>
      </w:pPr>
      <w:r>
        <w:rPr/>
        <w:t xml:space="preserve">Agencija za zaštitu tržišnog natjecanja određuje se kao nadležno tijelo za koordinaciju provedbe Uredbe (EU) 2022/2560 i suradnju s Europskom komisijom. Agencija obavlja poslove dostave i razmjene informacija propisane ovim Zakonom te, na zahtjev Europske </w:t>
      </w:r>
      <w:r>
        <w:rPr/>
        <w:t xml:space="preserve">komisije i u skladu s člankom 14. navedene Uredbe, pruža pomoć u provođenju inspekcija i provodi potrebne radnje i mjere na području Republike Hrvatske. </w:t>
      </w:r>
    </w:p>
    <w:p>
      <w:pPr>
        <w:pBdr/>
        <w:pStyle w:val="Normal"/>
        <w:spacing w:line="259" w:lineRule="auto"/>
        <w:ind/>
        <w:jc w:val="both"/>
        <w:rPr/>
      </w:pPr>
      <w:r>
        <w:rPr/>
        <w:t xml:space="preserve">Ministarstvo nadležno za gospodarstvo, kao tijelo državne uprave nadležno za politiku javne nabave i unutarnje tržište, u okviru svojega djelokruga sudjeluje u provedbi Uredbe (EU) 2022/</w:t>
      </w:r>
      <w:r>
        <w:rPr/>
        <w:t xml:space="preserve">2560 u području javne nabave, uključujući prikupljanje podataka i drugih informacija potrebnih za izvješćivanje i suradnju s Europskom komisijom. Također pruža stručnu pomoć naručiteljima i Agenciji te obavlja druge poslove iz svojega djelokruga koji doprinose provedbi navedene Uredbe. </w:t>
      </w:r>
    </w:p>
    <w:p>
      <w:pPr>
        <w:pBdr/>
        <w:pStyle w:val="Normal"/>
        <w:spacing w:line="259" w:lineRule="auto"/>
        <w:ind/>
        <w:jc w:val="both"/>
        <w:rPr/>
      </w:pPr>
      <w:r>
        <w:rPr/>
        <w:t xml:space="preserve">Ministarstvo nadležno za financije, u okviru svojega djelokruga, pruža stručnu pomoć Agenciji i Europskoj komisiji te sudjeluje u prikupljanju, razmjeni i dostavi informacija koje se odnose na financijske doprinose, subvencijske mehanizme, fiskalne mjere, koncesije i druga pitanja iz svoje nadležnosti. To uključuje i poslove povezane s provedbom propisa Europske unije kojima se uređuje provjera izravnih stranih ulaganja kada su oni od značaja za provedbu Uredbe (EU) 2022/2560.</w:t>
      </w:r>
    </w:p>
    <w:p>
      <w:pPr>
        <w:pBdr/>
        <w:pStyle w:val="Normal"/>
        <w:spacing w:line="259" w:lineRule="auto"/>
        <w:ind/>
        <w:jc w:val="both"/>
        <w:rPr/>
      </w:pPr>
    </w:p>
    <w:p>
      <w:pPr>
        <w:pBdr/>
        <w:pStyle w:val="Normal"/>
        <w:spacing w:line="259" w:lineRule="auto"/>
        <w:ind/>
        <w:jc w:val="both"/>
        <w:rPr/>
      </w:pPr>
    </w:p>
    <w:p>
      <w:pPr>
        <w:pBdr/>
        <w:pStyle w:val="Normal"/>
        <w:spacing w:line="259" w:lineRule="auto"/>
        <w:ind/>
        <w:jc w:val="both"/>
        <w:rPr/>
      </w:pPr>
    </w:p>
    <w:p>
      <w:pPr>
        <w:pBdr/>
        <w:pStyle w:val="Normal"/>
        <w:spacing w:line="259" w:lineRule="auto"/>
        <w:ind/>
        <w:jc w:val="both"/>
        <w:rPr/>
      </w:pPr>
    </w:p>
    <w:p>
      <w:pPr>
        <w:pBdr/>
        <w:pStyle w:val="Normal"/>
        <w:spacing/>
        <w:ind/>
        <w:jc w:val="both"/>
        <w:rPr/>
      </w:pPr>
    </w:p>
    <w:p>
      <w:pPr>
        <w:pBdr/>
        <w:pStyle w:val="Heading 2"/>
        <w:spacing/>
        <w:ind/>
        <w:jc w:val="left"/>
        <w:rPr/>
      </w:pPr>
      <w:r>
        <w:rPr/>
        <w:t xml:space="preserve">Uz članak 5.</w:t>
      </w:r>
    </w:p>
    <w:p>
      <w:pPr>
        <w:pBdr/>
        <w:pStyle w:val="Normal"/>
        <w:spacing/>
        <w:ind/>
        <w:jc w:val="both"/>
        <w:rPr/>
      </w:pPr>
    </w:p>
    <w:p>
      <w:pPr>
        <w:pBdr/>
        <w:pStyle w:val="Normal"/>
        <w:spacing w:line="259" w:lineRule="auto"/>
        <w:ind/>
        <w:jc w:val="both"/>
        <w:rPr/>
      </w:pPr>
      <w:r>
        <w:rPr/>
        <w:t xml:space="preserve">Ovim se člankom propisuje da Agencija, na zahtjev Europske komisije i u skladu s člankom 14. Uredbe (EU) 2022/2560, provodi potrebne radnje i mjere te da, u slučajevima propisanim ovim Zakonom, izriče novčane kazne.</w:t>
      </w:r>
    </w:p>
    <w:p>
      <w:pPr>
        <w:pBdr/>
        <w:pStyle w:val="Heading 2"/>
        <w:spacing/>
        <w:ind/>
        <w:jc w:val="left"/>
        <w:rPr>
          <w:rFonts w:ascii="Arial" w:eastAsia="Arial" w:hAnsi="Arial" w:cs="Arial"/>
        </w:rPr>
      </w:pPr>
      <w:r>
        <w:rPr/>
        <w:t xml:space="preserve">Uz članak 6.</w:t>
      </w:r>
    </w:p>
    <w:p>
      <w:pPr>
        <w:pBdr/>
        <w:pStyle w:val="Normal"/>
        <w:spacing w:before="240" w:after="240"/>
        <w:ind/>
        <w:jc w:val="both"/>
        <w:rPr>
          <w:b/>
          <w:bCs/>
        </w:rPr>
      </w:pPr>
      <w:r>
        <w:rPr/>
        <w:t xml:space="preserve">Ovim se člankom uređuje način dostavljanja informacija o mogućem postojanju stranih subvencija koje bi mogle narušiti unutarnje tržište. Propisuje se obveza tijela i pravnih osoba iz stavka 1. ovoga članka da Agenciji dostave sve raspoložive informacije i dokaze o takvim subvencijama. Uređuje se mogućnost fizičkih i pravnih osoba te udruženja da Agenciji Priopće informacije s kojima raspolažu. Također se propisuje da Agencija obavještava Europsku komisiju o mogućem postojanju strane subvencije koja bi mogla narušiti unutarnje tržište te joj dostavlja sve raspoložive i zaprimljene informacije, u skladu s člankom 35. stavcima 1. i 2. Uredbe (EU) 2022/2560. Prije dostave informacija Europskoj komisiji Agencija može, radi razjašnjenja činjenica, zatražiti mišljenje, stručnu pomoć ili oboje od ministarstva nadležnog za gospodarstvo u području javne nabave i unutarnjeg tržišta odnosno od ministarstva nadležnog za financije u području koncesija te financijskih i fiskalnih mjera. Navedena ministarstva dužna su zatraženo mišljenje odnosno stručnu pomoć pružiti u okviru i granicama svojih ovlasti.</w:t>
      </w:r>
    </w:p>
    <w:p>
      <w:pPr>
        <w:pBdr/>
        <w:pStyle w:val="Heading 2"/>
        <w:spacing/>
        <w:ind/>
        <w:jc w:val="left"/>
        <w:rPr/>
      </w:pPr>
      <w:r>
        <w:rPr/>
        <w:t xml:space="preserve">Uz članak 7.</w:t>
      </w:r>
    </w:p>
    <w:p>
      <w:pPr>
        <w:pBdr/>
        <w:pStyle w:val="Normal"/>
        <w:spacing/>
        <w:ind/>
        <w:jc w:val="both"/>
        <w:rPr/>
      </w:pPr>
    </w:p>
    <w:p>
      <w:pPr>
        <w:pBdr/>
        <w:pStyle w:val="Normal"/>
        <w:spacing/>
        <w:ind/>
        <w:jc w:val="both"/>
        <w:rPr/>
      </w:pPr>
      <w:r>
        <w:rPr/>
        <w:t xml:space="preserve">Ovim se člankom uređuje postupanje po zahtjevima Europske komisije za dostavu informacija u skladu s Uredbom (EU) 2022/2560. Propisuje se da Agencija dostavlja </w:t>
      </w:r>
      <w:r>
        <w:rPr/>
        <w:t xml:space="preserve">informacije Europskoj komisiji u vezi s koncentracijama, informacije koje na njezin zahtjev dostave nadležna ministarstva te druge informacije kojima raspolaže, a koje Europska komisija zatraži. Ministarstvo nadležno za gospodarstvo i ministarstvo nadležno za financije, svako u okviru svojeg djelokruga, na zahtjev Agencije dostavljaju informacije i dokumentaciju te pružaju stručnu pomoć kada je to potrebno radi postupanja po zahtjevu Europske komisije.  </w:t>
      </w:r>
    </w:p>
    <w:p>
      <w:pPr>
        <w:pBdr/>
        <w:pStyle w:val="Normal"/>
        <w:spacing/>
        <w:ind/>
        <w:jc w:val="both"/>
        <w:rPr/>
      </w:pPr>
    </w:p>
    <w:p>
      <w:pPr>
        <w:pBdr/>
        <w:pStyle w:val="Heading 2"/>
        <w:spacing/>
        <w:ind/>
        <w:jc w:val="left"/>
        <w:rPr/>
      </w:pPr>
      <w:r>
        <w:rPr/>
        <w:t xml:space="preserve">Uz članak 8.</w:t>
      </w:r>
    </w:p>
    <w:p>
      <w:pPr>
        <w:pBdr/>
        <w:pStyle w:val="Normal"/>
        <w:spacing w:before="240" w:after="240"/>
        <w:ind/>
        <w:jc w:val="both"/>
        <w:rPr>
          <w:rFonts w:ascii="Arial" w:eastAsia="Arial" w:hAnsi="Arial" w:cs="Arial"/>
          <w:szCs w:val="24"/>
        </w:rPr>
      </w:pPr>
      <w:r>
        <w:rPr/>
        <w:t xml:space="preserve">Ovim člankom uređuje se postupanje Agencije u vezi s provođenjem inspekcija na zahtjev Europske komisije u skladu s člankom 14. Uredbe (EU) 2022/2560. Propisuje se da Agencija pruža pomoć Europskoj komisiji u provođenju inspekcija te provodi potrebne radnje i mjere za utvrđivanje činjenica na području Republike Hrvatske. U tu svrhu Agencija ovlašćuje i imenuje službene osobe, a prema potrebi može uključiti i službene osobe drugih nadležnih tijela radi pružanja stručne pomoći u okviru njihovih zakonskih ovlasti.</w:t>
      </w:r>
    </w:p>
    <w:p>
      <w:pPr>
        <w:pBdr/>
        <w:pStyle w:val="Normal"/>
        <w:spacing/>
        <w:ind/>
        <w:jc w:val="both"/>
        <w:rPr/>
      </w:pPr>
      <w:r>
        <w:rPr>
          <w:rFonts w:ascii="Arial" w:eastAsia="Arial" w:hAnsi="Arial" w:cs="Arial"/>
          <w:szCs w:val="24"/>
        </w:rPr>
        <w:t xml:space="preserve">Uređuje se i postupanje Agencije u slučajevima kada je za provođenje inspekcije potrebno odobrenje nadležnog suda, pri čemu se na postupak izdavanja sudskog naloga i provođenja inspekcije na odgovarajući način primjenjuju odredbe zakona kojim se uređuje zaštita tržišnog natjecanja. Također se propisuje obveza osobe na koju se odnosi sudski nalog da prije početka inspekcije dobrovoljno preda predmete, isprave i druge podatke navedene u sudskom nalogu.</w:t>
      </w:r>
    </w:p>
    <w:p>
      <w:pPr>
        <w:pBdr/>
        <w:pStyle w:val="Normal"/>
        <w:spacing/>
        <w:ind/>
        <w:jc w:val="both"/>
        <w:rPr>
          <w:b/>
          <w:bCs/>
        </w:rPr>
      </w:pPr>
    </w:p>
    <w:p>
      <w:pPr>
        <w:pBdr/>
        <w:pStyle w:val="Normal"/>
        <w:spacing/>
        <w:ind/>
        <w:jc w:val="both"/>
        <w:rPr>
          <w:b/>
          <w:bCs/>
        </w:rPr>
      </w:pPr>
    </w:p>
    <w:p>
      <w:pPr>
        <w:pBdr/>
        <w:pStyle w:val="Heading 2"/>
        <w:spacing/>
        <w:ind/>
        <w:jc w:val="left"/>
        <w:rPr/>
      </w:pPr>
      <w:r>
        <w:rPr/>
        <w:t xml:space="preserve">Uz članak 9.</w:t>
      </w:r>
    </w:p>
    <w:p>
      <w:pPr>
        <w:pBdr/>
        <w:pStyle w:val="Normal"/>
        <w:spacing w:before="240" w:after="240"/>
        <w:ind/>
        <w:jc w:val="both"/>
        <w:rPr>
          <w:rFonts w:ascii="Arial" w:eastAsia="Arial" w:hAnsi="Arial" w:cs="Arial"/>
          <w:szCs w:val="24"/>
        </w:rPr>
      </w:pPr>
      <w:r>
        <w:rPr>
          <w:rFonts w:ascii="Arial" w:eastAsia="Arial" w:hAnsi="Arial" w:cs="Arial"/>
        </w:rPr>
        <w:t xml:space="preserve">Ovim se člankom uređuje pružanje pomoći službenim i drugim osobama koje je Europska komisija ovlastila za provođenje inspekcije u skladu s člankom 14. Uredbe (EU) 2022/2560 te se propisuju ovlasti predstavnika Agencije tijekom provođenja inspekcije. Te ovlasti obuhvaćaju ulazak u prostorije, na zemljište i u prijevozna sredstva poduzetnika ili udruženja poduzetnika, pregled poslovnih knjiga i druge dokumentacije te pristup informacijama, uzimanje ili pribavljanje kopija, forenzičkih kopija i izvadaka, pečaćenje poslovnih prostorija, poslovnih knjiga i druge dokumentacije, traženje usmenih ili pisanih objašnjenja te poduzimanje drugih radnji potrebnih za provođenje inspekcije. Također se propisuje mogućnost da Agencija zatraži stručnu pomoć ministarstva nadležnog za gospodarstvo odnosno ministarstva nadležnog za financije kada je za provođenje inspekcije potrebno posebno stručno znanje iz područja njihove nadležnosti. Ako poduzetnik ili udruženje poduzetnika ne dopusti provođenje inspekcije ili se takvo postupanje opravdano očekuje, Agencija može provesti inspekciju uz pomoć policije, koja se pruža u skladu sa zakonom kojim se uređuju poslovi i ovlasti policije. Time se omogućuje učinkovita provedba inspekcija koje se na zahtjev Europske komisije provode na području Republike Hrvatske.</w:t>
      </w:r>
    </w:p>
    <w:p>
      <w:pPr>
        <w:pBdr/>
        <w:pStyle w:val="Heading 2"/>
        <w:spacing/>
        <w:ind/>
        <w:jc w:val="left"/>
        <w:rPr/>
      </w:pPr>
      <w:r>
        <w:rPr/>
        <w:t xml:space="preserve">Uz članak 10.</w:t>
      </w:r>
    </w:p>
    <w:p>
      <w:pPr>
        <w:pBdr/>
        <w:pStyle w:val="Normal"/>
        <w:spacing w:before="240" w:after="240"/>
        <w:ind/>
        <w:jc w:val="both"/>
        <w:rPr>
          <w:rFonts w:ascii="Arial" w:eastAsia="Arial" w:hAnsi="Arial" w:cs="Arial"/>
          <w:szCs w:val="24"/>
        </w:rPr>
      </w:pPr>
      <w:r>
        <w:rPr/>
        <w:t xml:space="preserve">Ovim se člankom propisuje da Agencija  može izreći novčanu kaznu u iznosu do 1 % ukupnog prometa poduzetnika ili udruženja poduzetnika ostvarenog u prethodnoj financijskoj godini ako namjerno ili iz nepažnje dostavi nepotpune, netočne ili obmanjujuće informacije, ne dostavi tražene informacije ili dokumentaciju u određenom roku, tijekom inspekcije pruži na uvid nepotpunu poslovnu dokumentaciju, pruži netočan ili obmanjujući odgovor odnosno odbije dati potpuni odgovor, odbije podvrgnuti se inspekciji ili skine službeni pečat postavljen tijekom inspekcije Nadalje, propisuje se mogućnost određivanja dnevne novčane kazne u iznosu do 5 % vrijednosti prosječnog ukupnog dnevnog prometa poduzetnika ili udruženja poduzetnika ostvarenog u prethodnoj financijskoj godini, za svaki radni dan kašnjenja, radi osiguranja dostavljanja potpunih i točnih informacija odnosno podvrgavanja inspekciji.</w:t>
      </w:r>
    </w:p>
    <w:p>
      <w:pPr>
        <w:pBdr/>
        <w:pStyle w:val="Normal"/>
        <w:spacing w:before="240" w:after="240"/>
        <w:ind/>
        <w:jc w:val="both"/>
        <w:rPr>
          <w:rFonts w:ascii="Arial" w:eastAsia="Arial" w:hAnsi="Arial" w:cs="Arial"/>
          <w:szCs w:val="24"/>
        </w:rPr>
      </w:pPr>
      <w:r>
        <w:rPr>
          <w:rFonts w:ascii="Arial" w:eastAsia="Arial" w:hAnsi="Arial" w:cs="Arial"/>
          <w:szCs w:val="24"/>
        </w:rPr>
        <w:t xml:space="preserve">Pri određivanju visine novčane kazne Agencija uzima u obzir prirodu, težinu i trajanje povrede, vodeći računa o načelima proporcionalnosti i primjerenosti. Na postupak utvrđivanja povreda i izricanja novčanih kazni na odgovarajući način primjenjuju se odredbe zakona kojim se uređuje zaštita tržišnog natjecanja.</w:t>
      </w:r>
    </w:p>
    <w:p>
      <w:pPr>
        <w:pBdr/>
        <w:pStyle w:val="Normal"/>
        <w:spacing/>
        <w:ind/>
        <w:jc w:val="both"/>
        <w:rPr>
          <w:rFonts w:ascii="Arial" w:eastAsia="Arial" w:hAnsi="Arial" w:cs="Arial"/>
        </w:rPr>
      </w:pPr>
    </w:p>
    <w:p>
      <w:pPr>
        <w:pBdr/>
        <w:pStyle w:val="Heading 2"/>
        <w:spacing/>
        <w:ind/>
        <w:jc w:val="left"/>
        <w:rPr/>
      </w:pPr>
      <w:r>
        <w:rPr/>
        <w:t xml:space="preserve">Uz članak 11.</w:t>
      </w:r>
    </w:p>
    <w:p>
      <w:pPr>
        <w:pBdr/>
        <w:pStyle w:val="Normal"/>
        <w:spacing/>
        <w:ind/>
        <w:jc w:val="both"/>
        <w:rPr>
          <w:b/>
          <w:bCs/>
        </w:rPr>
      </w:pPr>
    </w:p>
    <w:p>
      <w:pPr>
        <w:pBdr/>
        <w:pStyle w:val="Normal"/>
        <w:spacing/>
        <w:ind/>
        <w:jc w:val="both"/>
        <w:rPr/>
      </w:pPr>
      <w:r>
        <w:rPr/>
        <w:t xml:space="preserve">Ovim se člankom propisuje stupanje na snagu ovoga Zakona osmoga dana od dana objave u „Narodnim novinama“.</w:t>
      </w:r>
    </w:p>
    <w:p>
      <w:pPr>
        <w:pBdr/>
        <w:pStyle w:val="Normal"/>
        <w:spacing/>
        <w:ind/>
        <w:jc w:val="both"/>
        <w:rPr/>
      </w:pPr>
    </w:p>
    <w:p>
      <w:pPr>
        <w:pBdr/>
        <w:pStyle w:val="Normal"/>
        <w:spacing/>
        <w:ind/>
        <w:jc w:val="both"/>
        <w:rPr>
          <w:strike/>
        </w:rPr>
      </w:pPr>
    </w:p>
    <w:p>
      <w:pPr>
        <w:pBdr/>
        <w:pStyle w:val="Normal"/>
        <w:spacing/>
        <w:ind/>
        <w:jc w:val="both"/>
        <w:rPr/>
      </w:pPr>
    </w:p>
    <w:p>
      <w:pPr>
        <w:pBdr/>
        <w:pStyle w:val="Normal"/>
        <w:spacing w:before="100" w:beforeAutospacing="true" w:after="100" w:afterAutospacing="true"/>
        <w:ind/>
        <w:jc w:val="both"/>
        <w:rPr/>
      </w:pPr>
    </w:p>
    <w:sectPr>
      <w:headerReference w:type="even" r:id="rId1"/>
      <w:footerReference w:type="default" r:id="rId2"/>
      <w:type w:val="nextPage"/>
      <w:pgSz w:w="12240" w:h="15840"/>
      <w:pgMar w:top="1440" w:right="1440" w:bottom="851" w:left="1440" w:header="709" w:footer="709" w:gutter="0"/>
      <w:pgNumType w:fmt="Arabic"/>
      <w:pgBorders/>
      <w:endnotePr>
        <w:pos w:val="docEnd"/>
        <w:numFmt w:val="lowerRoman"/>
        <w:numRestart w:val="continuous"/>
        <w:numStart w:val="1"/>
      </w:endnotePr>
    </w:sectPr>
  </w:body>
</w:document>
</file>

<file path=word/endnotes.xml><?xml version="1.0" encoding="utf-8"?>
<w:end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endnote w:type="separator" w:id="-1">
    <w:p>
      <w:pPr>
        <w:pBdr/>
        <w:pStyle w:val="Normal"/>
        <w:spacing/>
        <w:ind/>
        <w:rPr/>
      </w:pPr>
      <w:r>
        <w:rPr/>
        <w:separator/>
      </w:r>
    </w:p>
  </w:endnote>
  <w:endnote w:type="continuationSeparator" w:id="0">
    <w:p>
      <w:pPr>
        <w:pBdr/>
        <w:pStyle w:val="Normal"/>
        <w:spacing/>
        <w:ind/>
        <w:rPr/>
      </w:pPr>
      <w:r>
        <w:rPr/>
        <w:continuationSeparator/>
      </w:r>
    </w:p>
  </w:endnote>
  <w:endnote w:type="continuationNotice" w:id="1">
    <w:p>
      <w:pPr>
        <w:pBdr/>
        <w:pStyle w:val="Normal"/>
        <w:spacing/>
        <w:ind/>
        <w:rPr/>
      </w:pPr>
    </w:p>
  </w:endnote>
</w:endnotes>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Bdr/>
      <w:pStyle w:val="Footer"/>
      <w:spacing/>
      <w:ind/>
      <w:jc w:val="right"/>
      <w:rPr/>
    </w:pPr>
    <w:r>
      <w:rPr/>
      <w:fldChar w:fldCharType="begin"/>
    </w:r>
    <w:r>
      <w:rPr/>
      <w:instrText xml:space="preserve">PAGE   \* MERGEFORMAT</w:instrText>
    </w:r>
    <w:r>
      <w:rPr/>
      <w:fldChar w:fldCharType="separate"/>
    </w:r>
    <w:r>
      <w:rPr/>
      <w:t xml:space="preserve">1</w:t>
    </w:r>
    <w:r>
      <w:rPr/>
      <w:fldChar w:fldCharType="end"/>
    </w:r>
  </w:p>
  <w:p>
    <w:pPr>
      <w:pBdr/>
      <w:pStyle w:val="Footer"/>
      <w:spacing/>
      <w:ind/>
      <w:rPr/>
    </w:pPr>
  </w:p>
</w:ftr>
</file>

<file path=word/footnotes.xml><?xml version="1.0" encoding="utf-8"?>
<w:foot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footnote w:type="separator" w:id="-1">
    <w:p>
      <w:pPr>
        <w:pBdr/>
        <w:pStyle w:val="Normal"/>
        <w:spacing/>
        <w:ind/>
        <w:rPr/>
      </w:pPr>
      <w:r>
        <w:rPr/>
        <w:separator/>
      </w:r>
    </w:p>
  </w:footnote>
  <w:footnote w:type="continuationSeparator" w:id="0">
    <w:p>
      <w:pPr>
        <w:pBdr/>
        <w:pStyle w:val="Normal"/>
        <w:spacing/>
        <w:ind/>
        <w:rPr/>
      </w:pPr>
      <w:r>
        <w:rPr/>
        <w:continuationSeparator/>
      </w:r>
    </w:p>
  </w:footnote>
  <w:footnote w:type="continuationNotice" w:id="1">
    <w:p>
      <w:pPr>
        <w:pBdr/>
        <w:pStyle w:val="Normal"/>
        <w:spacing/>
        <w:ind/>
        <w:rPr/>
      </w:pPr>
    </w:p>
  </w:footnote>
</w:footnote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Bdr/>
      <w:pStyle w:val="Header"/>
      <w:spacing/>
      <w:ind/>
      <w:rPr/>
    </w:pPr>
    <w:r>
      <w:rPr/>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5237480" cy="3142615"/>
          <wp:wrapNone/>
          <wp:docPr id="1" name="WordArt 2" title=""/>
          <a:graphic>
            <a:graphicData uri="http://schemas.microsoft.com/office/word/2010/wordprocessingShape">
              <wps:wsp>
                <wps:cNvCnPr>
                  <a:cxnSpLocks noChangeShapeType="1"/>
                </wps:cNvCnPr>
                <wps:spPr bwMode="auto">
                  <a:xfrm>
                    <a:off x="0" y="0"/>
                    <a:ext cx="5237480" cy="3142615"/>
                  </a:xfrm>
                  <a:prstGeom prst="rect">
                    <a:avLst/>
                  </a:prstGeom>
                  <a:noFill/>
                  <a:ln w="12700">
                    <a:noFill/>
                  </a:ln>
                </wps:spPr>
                <wps:txbx>
                  <w:txbxContent>
                    <w:p>
                      <w:pPr>
                        <w:pBdr/>
                        <w:pStyle w:val="Normal"/>
                        <w:spacing/>
                        <w:ind/>
                        <w:jc w:val="center"/>
                        <w:rPr>
                          <w:rFonts w:ascii="Calibri" w:eastAsia="Calibri" w:hAnsi="Calibri" w:cs="Calibri"/>
                          <w:color w:val="C0C0C0"/>
                          <w:sz w:val="2"/>
                          <w:szCs w:val="2"/>
                        </w:rPr>
                      </w:pPr>
                      <w:r>
                        <w:rPr>
                          <w:rFonts w:ascii="Calibri" w:eastAsia="Calibri" w:hAnsi="Calibri" w:cs="Calibri"/>
                          <w:color w:val="C0C0C0"/>
                          <w:sz w:val="2"/>
                          <w:szCs w:val="2"/>
                        </w:rPr>
                        <w:t xml:space="preserve">NACRT</w:t>
                      </w:r>
                    </w:p>
                  </w:txbxContent>
                </wps:txbx>
                <wps:bodyPr lIns="90005" tIns="46799" rIns="90005" bIns="46799" anchorCtr="0"/>
              </wps:wsp>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9FA197"/>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1">
    <w:nsid w:val="E8FE572C"/>
    <w:lvl w:ilvl="0">
      <w:start w:val="1"/>
      <w:numFmt w:val="decimal"/>
      <w:suff w:val="tab"/>
      <w:lvlText w:val="(%1)"/>
      <w:pPr>
        <w:pBdr/>
        <w:spacing/>
        <w:ind w:left="1069" w:hanging="360"/>
      </w:pPr>
      <w:rPr>
        <w:b w:val="0"/>
        <w:strike w:val="0"/>
        <w:dstrike w:val="0"/>
        <w:color w:val="000000"/>
      </w:rPr>
    </w:lvl>
    <w:lvl w:ilvl="1">
      <w:start w:val="1"/>
      <w:numFmt w:val="lowerLetter"/>
      <w:suff w:val="tab"/>
      <w:lvlText w:val="%2."/>
      <w:pPr>
        <w:pBdr/>
        <w:spacing/>
        <w:ind w:left="1789" w:hanging="360"/>
      </w:pPr>
      <w:rPr/>
    </w:lvl>
    <w:lvl w:ilvl="2">
      <w:start w:val="1"/>
      <w:numFmt w:val="lowerRoman"/>
      <w:suff w:val="tab"/>
      <w:lvlText w:val="%3."/>
      <w:pPr>
        <w:pBdr/>
        <w:spacing/>
        <w:ind w:left="2509" w:hanging="180"/>
      </w:pPr>
      <w:rPr/>
    </w:lvl>
    <w:lvl w:ilvl="3">
      <w:start w:val="1"/>
      <w:numFmt w:val="decimal"/>
      <w:suff w:val="tab"/>
      <w:lvlText w:val="%4."/>
      <w:pPr>
        <w:pBdr/>
        <w:spacing/>
        <w:ind w:left="3229" w:hanging="360"/>
      </w:pPr>
      <w:rPr/>
    </w:lvl>
    <w:lvl w:ilvl="4">
      <w:start w:val="1"/>
      <w:numFmt w:val="lowerLetter"/>
      <w:suff w:val="tab"/>
      <w:lvlText w:val="%5."/>
      <w:pPr>
        <w:pBdr/>
        <w:spacing/>
        <w:ind w:left="3949" w:hanging="360"/>
      </w:pPr>
      <w:rPr/>
    </w:lvl>
    <w:lvl w:ilvl="5">
      <w:start w:val="1"/>
      <w:numFmt w:val="lowerRoman"/>
      <w:suff w:val="tab"/>
      <w:lvlText w:val="%6."/>
      <w:pPr>
        <w:pBdr/>
        <w:spacing/>
        <w:ind w:left="4669" w:hanging="180"/>
      </w:pPr>
      <w:rPr/>
    </w:lvl>
    <w:lvl w:ilvl="6">
      <w:start w:val="1"/>
      <w:numFmt w:val="decimal"/>
      <w:suff w:val="tab"/>
      <w:lvlText w:val="%7."/>
      <w:pPr>
        <w:pBdr/>
        <w:spacing/>
        <w:ind w:left="5389" w:hanging="360"/>
      </w:pPr>
      <w:rPr/>
    </w:lvl>
    <w:lvl w:ilvl="7">
      <w:start w:val="1"/>
      <w:numFmt w:val="lowerLetter"/>
      <w:suff w:val="tab"/>
      <w:lvlText w:val="%8."/>
      <w:pPr>
        <w:pBdr/>
        <w:spacing/>
        <w:ind w:left="6109" w:hanging="360"/>
      </w:pPr>
      <w:rPr/>
    </w:lvl>
    <w:lvl w:ilvl="8">
      <w:start w:val="1"/>
      <w:numFmt w:val="lowerRoman"/>
      <w:suff w:val="tab"/>
      <w:lvlText w:val="%9."/>
      <w:pPr>
        <w:pBdr/>
        <w:spacing/>
        <w:ind w:left="6829" w:hanging="180"/>
      </w:pPr>
      <w:rPr/>
    </w:lvl>
  </w:abstractNum>
  <w:abstractNum w:abstractNumId="2">
    <w:nsid w:val="E1CFF6CE"/>
    <w:lvl w:ilvl="0">
      <w:start w:val="1"/>
      <w:numFmt w:val="decimal"/>
      <w:suff w:val="tab"/>
      <w:lvlText w:val="(%1)"/>
      <w:pPr>
        <w:pBdr/>
        <w:spacing/>
        <w:ind w:left="1068" w:hanging="360"/>
      </w:pPr>
      <w:rPr/>
    </w:lvl>
    <w:lvl w:ilvl="1">
      <w:start w:val="1"/>
      <w:numFmt w:val="lowerLetter"/>
      <w:suff w:val="tab"/>
      <w:lvlText w:val="%2."/>
      <w:pPr>
        <w:pBdr/>
        <w:spacing/>
        <w:ind w:left="1788" w:hanging="360"/>
      </w:pPr>
      <w:rPr/>
    </w:lvl>
    <w:lvl w:ilvl="2">
      <w:start w:val="1"/>
      <w:numFmt w:val="lowerRoman"/>
      <w:suff w:val="tab"/>
      <w:lvlText w:val="%3."/>
      <w:pPr>
        <w:pBdr/>
        <w:spacing/>
        <w:ind w:left="2508" w:hanging="180"/>
      </w:pPr>
      <w:rPr/>
    </w:lvl>
    <w:lvl w:ilvl="3">
      <w:start w:val="1"/>
      <w:numFmt w:val="decimal"/>
      <w:suff w:val="tab"/>
      <w:lvlText w:val="%4."/>
      <w:pPr>
        <w:pBdr/>
        <w:spacing/>
        <w:ind w:left="3228" w:hanging="360"/>
      </w:pPr>
      <w:rPr/>
    </w:lvl>
    <w:lvl w:ilvl="4">
      <w:start w:val="1"/>
      <w:numFmt w:val="lowerLetter"/>
      <w:suff w:val="tab"/>
      <w:lvlText w:val="%5."/>
      <w:pPr>
        <w:pBdr/>
        <w:spacing/>
        <w:ind w:left="3948" w:hanging="360"/>
      </w:pPr>
      <w:rPr/>
    </w:lvl>
    <w:lvl w:ilvl="5">
      <w:start w:val="1"/>
      <w:numFmt w:val="lowerRoman"/>
      <w:suff w:val="tab"/>
      <w:lvlText w:val="%6."/>
      <w:pPr>
        <w:pBdr/>
        <w:spacing/>
        <w:ind w:left="4668" w:hanging="180"/>
      </w:pPr>
      <w:rPr/>
    </w:lvl>
    <w:lvl w:ilvl="6">
      <w:start w:val="1"/>
      <w:numFmt w:val="decimal"/>
      <w:suff w:val="tab"/>
      <w:lvlText w:val="%7."/>
      <w:pPr>
        <w:pBdr/>
        <w:spacing/>
        <w:ind w:left="5388" w:hanging="360"/>
      </w:pPr>
      <w:rPr/>
    </w:lvl>
    <w:lvl w:ilvl="7">
      <w:start w:val="1"/>
      <w:numFmt w:val="lowerLetter"/>
      <w:suff w:val="tab"/>
      <w:lvlText w:val="%8."/>
      <w:pPr>
        <w:pBdr/>
        <w:spacing/>
        <w:ind w:left="6108" w:hanging="360"/>
      </w:pPr>
      <w:rPr/>
    </w:lvl>
    <w:lvl w:ilvl="8">
      <w:start w:val="1"/>
      <w:numFmt w:val="lowerRoman"/>
      <w:suff w:val="tab"/>
      <w:lvlText w:val="%9."/>
      <w:pPr>
        <w:pBdr/>
        <w:spacing/>
        <w:ind w:left="6828" w:hanging="180"/>
      </w:pPr>
      <w:rPr/>
    </w:lvl>
  </w:abstractNum>
  <w:abstractNum w:abstractNumId="3">
    <w:nsid w:val="3F71F02D"/>
    <w:lvl w:ilvl="0">
      <w:start w:val="1"/>
      <w:numFmt w:val="decimal"/>
      <w:suff w:val="tab"/>
      <w:lvlText w:val="(%1)"/>
      <w:pPr>
        <w:pBdr/>
        <w:spacing/>
        <w:ind w:left="927" w:hanging="360"/>
      </w:pPr>
      <w:rPr>
        <w:rFonts w:eastAsia="Times New Roman" w:hint="default"/>
        <w:b w:val="0"/>
      </w:rPr>
    </w:lvl>
    <w:lvl w:ilvl="1">
      <w:start w:val="1"/>
      <w:numFmt w:val="lowerLetter"/>
      <w:suff w:val="tab"/>
      <w:lvlText w:val="%2."/>
      <w:pPr>
        <w:pBdr/>
        <w:spacing/>
        <w:ind w:left="1788" w:hanging="360"/>
      </w:pPr>
      <w:rPr/>
    </w:lvl>
    <w:lvl w:ilvl="2">
      <w:start w:val="1"/>
      <w:numFmt w:val="lowerRoman"/>
      <w:suff w:val="tab"/>
      <w:lvlText w:val="%3."/>
      <w:pPr>
        <w:pBdr/>
        <w:spacing/>
        <w:ind w:left="2508" w:hanging="180"/>
      </w:pPr>
      <w:rPr/>
    </w:lvl>
    <w:lvl w:ilvl="3">
      <w:start w:val="1"/>
      <w:numFmt w:val="decimal"/>
      <w:suff w:val="tab"/>
      <w:lvlText w:val="%4."/>
      <w:pPr>
        <w:pBdr/>
        <w:spacing/>
        <w:ind w:left="3228" w:hanging="360"/>
      </w:pPr>
      <w:rPr/>
    </w:lvl>
    <w:lvl w:ilvl="4">
      <w:start w:val="1"/>
      <w:numFmt w:val="lowerLetter"/>
      <w:suff w:val="tab"/>
      <w:lvlText w:val="%5."/>
      <w:pPr>
        <w:pBdr/>
        <w:spacing/>
        <w:ind w:left="3948" w:hanging="360"/>
      </w:pPr>
      <w:rPr/>
    </w:lvl>
    <w:lvl w:ilvl="5">
      <w:start w:val="1"/>
      <w:numFmt w:val="lowerRoman"/>
      <w:suff w:val="tab"/>
      <w:lvlText w:val="%6."/>
      <w:pPr>
        <w:pBdr/>
        <w:spacing/>
        <w:ind w:left="4668" w:hanging="180"/>
      </w:pPr>
      <w:rPr/>
    </w:lvl>
    <w:lvl w:ilvl="6">
      <w:start w:val="1"/>
      <w:numFmt w:val="decimal"/>
      <w:suff w:val="tab"/>
      <w:lvlText w:val="%7."/>
      <w:pPr>
        <w:pBdr/>
        <w:spacing/>
        <w:ind w:left="5388" w:hanging="360"/>
      </w:pPr>
      <w:rPr/>
    </w:lvl>
    <w:lvl w:ilvl="7">
      <w:start w:val="1"/>
      <w:numFmt w:val="lowerLetter"/>
      <w:suff w:val="tab"/>
      <w:lvlText w:val="%8."/>
      <w:pPr>
        <w:pBdr/>
        <w:spacing/>
        <w:ind w:left="6108" w:hanging="360"/>
      </w:pPr>
      <w:rPr/>
    </w:lvl>
    <w:lvl w:ilvl="8">
      <w:start w:val="1"/>
      <w:numFmt w:val="lowerRoman"/>
      <w:suff w:val="tab"/>
      <w:lvlText w:val="%9."/>
      <w:pPr>
        <w:pBdr/>
        <w:spacing/>
        <w:ind w:left="6828" w:hanging="180"/>
      </w:pPr>
      <w:rPr/>
    </w:lvl>
  </w:abstractNum>
  <w:abstractNum w:abstractNumId="4">
    <w:nsid w:val="C77A6C22"/>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5">
    <w:nsid w:val="6993E3B4"/>
    <w:lvl w:ilvl="0">
      <w:start w:val="1"/>
      <w:numFmt w:val="decimal"/>
      <w:suff w:val="tab"/>
      <w:lvlText w:val="(%1)"/>
      <w:pPr>
        <w:pBdr/>
        <w:spacing/>
        <w:ind w:left="1080" w:hanging="360"/>
      </w:pPr>
      <w:rPr/>
    </w:lvl>
    <w:lvl w:ilvl="1">
      <w:start w:val="1"/>
      <w:numFmt w:val="lowerLetter"/>
      <w:suff w:val="tab"/>
      <w:lvlText w:val="%2."/>
      <w:pPr>
        <w:pBdr/>
        <w:spacing/>
        <w:ind w:left="1800" w:hanging="360"/>
      </w:pPr>
      <w:rPr/>
    </w:lvl>
    <w:lvl w:ilvl="2">
      <w:start w:val="1"/>
      <w:numFmt w:val="lowerRoman"/>
      <w:suff w:val="tab"/>
      <w:lvlText w:val="%3."/>
      <w:pPr>
        <w:pBdr/>
        <w:spacing/>
        <w:ind w:left="2520" w:hanging="180"/>
      </w:pPr>
      <w:rPr/>
    </w:lvl>
    <w:lvl w:ilvl="3">
      <w:start w:val="1"/>
      <w:numFmt w:val="decimal"/>
      <w:suff w:val="tab"/>
      <w:lvlText w:val="%4."/>
      <w:pPr>
        <w:pBdr/>
        <w:spacing/>
        <w:ind w:left="3240" w:hanging="360"/>
      </w:pPr>
      <w:rPr/>
    </w:lvl>
    <w:lvl w:ilvl="4">
      <w:start w:val="1"/>
      <w:numFmt w:val="lowerLetter"/>
      <w:suff w:val="tab"/>
      <w:lvlText w:val="%5."/>
      <w:pPr>
        <w:pBdr/>
        <w:spacing/>
        <w:ind w:left="3960" w:hanging="360"/>
      </w:pPr>
      <w:rPr/>
    </w:lvl>
    <w:lvl w:ilvl="5">
      <w:start w:val="1"/>
      <w:numFmt w:val="lowerRoman"/>
      <w:suff w:val="tab"/>
      <w:lvlText w:val="%6."/>
      <w:pPr>
        <w:pBdr/>
        <w:spacing/>
        <w:ind w:left="4680" w:hanging="180"/>
      </w:pPr>
      <w:rPr/>
    </w:lvl>
    <w:lvl w:ilvl="6">
      <w:start w:val="1"/>
      <w:numFmt w:val="decimal"/>
      <w:suff w:val="tab"/>
      <w:lvlText w:val="%7."/>
      <w:pPr>
        <w:pBdr/>
        <w:spacing/>
        <w:ind w:left="5400" w:hanging="360"/>
      </w:pPr>
      <w:rPr/>
    </w:lvl>
    <w:lvl w:ilvl="7">
      <w:start w:val="1"/>
      <w:numFmt w:val="lowerLetter"/>
      <w:suff w:val="tab"/>
      <w:lvlText w:val="%8."/>
      <w:pPr>
        <w:pBdr/>
        <w:spacing/>
        <w:ind w:left="6120" w:hanging="360"/>
      </w:pPr>
      <w:rPr/>
    </w:lvl>
    <w:lvl w:ilvl="8">
      <w:start w:val="1"/>
      <w:numFmt w:val="lowerRoman"/>
      <w:suff w:val="tab"/>
      <w:lvlText w:val="%9."/>
      <w:pPr>
        <w:pBdr/>
        <w:spacing/>
        <w:ind w:left="6840" w:hanging="180"/>
      </w:pPr>
      <w:rPr/>
    </w:lvl>
  </w:abstractNum>
  <w:abstractNum w:abstractNumId="6">
    <w:nsid w:val="8187C566"/>
    <w:lvl w:ilvl="0">
      <w:start w:val="1"/>
      <w:numFmt w:val="decimal"/>
      <w:suff w:val="tab"/>
      <w:lvlText w:val="(%1)"/>
      <w:pPr>
        <w:pBdr/>
        <w:spacing/>
        <w:ind w:left="1080" w:hanging="360"/>
      </w:pPr>
      <w:rPr>
        <w:b w:val="0"/>
        <w:strike w:val="0"/>
        <w:dstrike w:val="0"/>
        <w:color w:val="000000"/>
      </w:rPr>
    </w:lvl>
    <w:lvl w:ilvl="1">
      <w:start w:val="1"/>
      <w:numFmt w:val="lowerLetter"/>
      <w:suff w:val="tab"/>
      <w:lvlText w:val="%2."/>
      <w:pPr>
        <w:pBdr/>
        <w:spacing/>
        <w:ind w:left="1800" w:hanging="360"/>
      </w:pPr>
      <w:rPr/>
    </w:lvl>
    <w:lvl w:ilvl="2">
      <w:start w:val="1"/>
      <w:numFmt w:val="lowerRoman"/>
      <w:suff w:val="tab"/>
      <w:lvlText w:val="%3."/>
      <w:pPr>
        <w:pBdr/>
        <w:spacing/>
        <w:ind w:left="2520" w:hanging="180"/>
      </w:pPr>
      <w:rPr/>
    </w:lvl>
    <w:lvl w:ilvl="3">
      <w:start w:val="1"/>
      <w:numFmt w:val="decimal"/>
      <w:suff w:val="tab"/>
      <w:lvlText w:val="%4."/>
      <w:pPr>
        <w:pBdr/>
        <w:spacing/>
        <w:ind w:left="3240" w:hanging="360"/>
      </w:pPr>
      <w:rPr/>
    </w:lvl>
    <w:lvl w:ilvl="4">
      <w:start w:val="1"/>
      <w:numFmt w:val="lowerLetter"/>
      <w:suff w:val="tab"/>
      <w:lvlText w:val="%5."/>
      <w:pPr>
        <w:pBdr/>
        <w:spacing/>
        <w:ind w:left="3960" w:hanging="360"/>
      </w:pPr>
      <w:rPr/>
    </w:lvl>
    <w:lvl w:ilvl="5">
      <w:start w:val="1"/>
      <w:numFmt w:val="lowerRoman"/>
      <w:suff w:val="tab"/>
      <w:lvlText w:val="%6."/>
      <w:pPr>
        <w:pBdr/>
        <w:spacing/>
        <w:ind w:left="4680" w:hanging="180"/>
      </w:pPr>
      <w:rPr/>
    </w:lvl>
    <w:lvl w:ilvl="6">
      <w:start w:val="1"/>
      <w:numFmt w:val="decimal"/>
      <w:suff w:val="tab"/>
      <w:lvlText w:val="%7."/>
      <w:pPr>
        <w:pBdr/>
        <w:spacing/>
        <w:ind w:left="5400" w:hanging="360"/>
      </w:pPr>
      <w:rPr/>
    </w:lvl>
    <w:lvl w:ilvl="7">
      <w:start w:val="1"/>
      <w:numFmt w:val="lowerLetter"/>
      <w:suff w:val="tab"/>
      <w:lvlText w:val="%8."/>
      <w:pPr>
        <w:pBdr/>
        <w:spacing/>
        <w:ind w:left="6120" w:hanging="360"/>
      </w:pPr>
      <w:rPr/>
    </w:lvl>
    <w:lvl w:ilvl="8">
      <w:start w:val="1"/>
      <w:numFmt w:val="lowerRoman"/>
      <w:suff w:val="tab"/>
      <w:lvlText w:val="%9."/>
      <w:pPr>
        <w:pBdr/>
        <w:spacing/>
        <w:ind w:left="6840" w:hanging="180"/>
      </w:pPr>
      <w:rPr/>
    </w:lvl>
  </w:abstractNum>
  <w:abstractNum w:abstractNumId="7">
    <w:nsid w:val="2ED75EBE"/>
    <w:lvl w:ilvl="0">
      <w:start w:val="1"/>
      <w:numFmt w:val="decimal"/>
      <w:suff w:val="tab"/>
      <w:lvlText w:val="%1."/>
      <w:pPr>
        <w:pBdr/>
        <w:spacing/>
        <w:ind w:left="1080" w:hanging="360"/>
      </w:pPr>
      <w:rPr/>
    </w:lvl>
    <w:lvl w:ilvl="1">
      <w:start w:val="1"/>
      <w:numFmt w:val="lowerLetter"/>
      <w:suff w:val="tab"/>
      <w:lvlText w:val="%2."/>
      <w:pPr>
        <w:pBdr/>
        <w:spacing/>
        <w:ind w:left="1800" w:hanging="360"/>
      </w:pPr>
      <w:rPr/>
    </w:lvl>
    <w:lvl w:ilvl="2">
      <w:start w:val="1"/>
      <w:numFmt w:val="lowerRoman"/>
      <w:suff w:val="tab"/>
      <w:lvlText w:val="%3."/>
      <w:pPr>
        <w:pBdr/>
        <w:spacing/>
        <w:ind w:left="2520" w:hanging="180"/>
      </w:pPr>
      <w:rPr/>
    </w:lvl>
    <w:lvl w:ilvl="3">
      <w:start w:val="1"/>
      <w:numFmt w:val="decimal"/>
      <w:suff w:val="tab"/>
      <w:lvlText w:val="%4."/>
      <w:pPr>
        <w:pBdr/>
        <w:spacing/>
        <w:ind w:left="3240" w:hanging="360"/>
      </w:pPr>
      <w:rPr/>
    </w:lvl>
    <w:lvl w:ilvl="4">
      <w:start w:val="1"/>
      <w:numFmt w:val="lowerLetter"/>
      <w:suff w:val="tab"/>
      <w:lvlText w:val="%5."/>
      <w:pPr>
        <w:pBdr/>
        <w:spacing/>
        <w:ind w:left="3960" w:hanging="360"/>
      </w:pPr>
      <w:rPr/>
    </w:lvl>
    <w:lvl w:ilvl="5">
      <w:start w:val="1"/>
      <w:numFmt w:val="lowerRoman"/>
      <w:suff w:val="tab"/>
      <w:lvlText w:val="%6."/>
      <w:pPr>
        <w:pBdr/>
        <w:spacing/>
        <w:ind w:left="4680" w:hanging="180"/>
      </w:pPr>
      <w:rPr/>
    </w:lvl>
    <w:lvl w:ilvl="6">
      <w:start w:val="1"/>
      <w:numFmt w:val="decimal"/>
      <w:suff w:val="tab"/>
      <w:lvlText w:val="%7."/>
      <w:pPr>
        <w:pBdr/>
        <w:spacing/>
        <w:ind w:left="5400" w:hanging="360"/>
      </w:pPr>
      <w:rPr/>
    </w:lvl>
    <w:lvl w:ilvl="7">
      <w:start w:val="1"/>
      <w:numFmt w:val="lowerLetter"/>
      <w:suff w:val="tab"/>
      <w:lvlText w:val="%8."/>
      <w:pPr>
        <w:pBdr/>
        <w:spacing/>
        <w:ind w:left="6120" w:hanging="360"/>
      </w:pPr>
      <w:rPr/>
    </w:lvl>
    <w:lvl w:ilvl="8">
      <w:start w:val="1"/>
      <w:numFmt w:val="lowerRoman"/>
      <w:suff w:val="tab"/>
      <w:lvlText w:val="%9."/>
      <w:pPr>
        <w:pBdr/>
        <w:spacing/>
        <w:ind w:left="684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documentProtection w:cryptProviderType="rsaAES" w:cryptAlgorithmClass="hash" w:cryptAlgorithmType="typeAny" w:cryptAlgorithmSid="14" w:cryptSpinCount="100000"/>
  <w:zoom w:val="none" w:percent="100"/>
  <w:themeFontLang w:val="en-US" w:bidi="ar-SA" w:eastAsia="ja-JP"/>
  <w:displayBackgroundShape/>
  <w:defaultTabStop w:val="708"/>
  <w:compat>
    <w:compatSetting w:name="compatibilityMode" w:uri="http://schemas.microsoft.com/office/word" w:val="15"/>
  </w:compat>
  <w:footnotePr>
    <w:footnote w:id="-1"/>
    <w:footnote w:id="0"/>
  </w:footnotePr>
  <w:endnotePr>
    <w:endnote w:id="-1"/>
    <w:endnote w:id="0"/>
  </w:end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rPr>
    </w:rPrDefault>
    <w:pPrDefault>
      <w:pPr>
        <w:pBdr/>
        <w:keepNext w:val="0"/>
        <w:keepLines w:val="0"/>
        <w:outlineLvl w:val="9"/>
        <w:spacing w:before="0" w:after="0" w:line="240" w:lineRule="auto"/>
        <w:widowControl w:val="1"/>
        <w:ind w:left="0" w:right="0" w:firstLine="0"/>
        <w:jc w:val="left"/>
      </w:pPr>
    </w:pPrDefault>
  </w:docDefaults>
  <w:style w:type="table" w:styleId="Table Grid">
    <w:name w:val="Table Grid"/>
    <w:basedOn w:val="Normal Table"/>
    <w:next w:val="Table Grid"/>
  </w:style>
  <w:style w:type="table" w:styleId="Normal Table">
    <w:name w:val="Normal Table"/>
    <w:next w:val="Normal Table"/>
  </w:style>
  <w:style w:type="paragraph" w:styleId="Normal">
    <w:name w:val="Normal"/>
    <w:next w:val="Normal"/>
    <w:pPr>
      <w:pBdr/>
      <w:spacing/>
      <w:ind/>
    </w:pPr>
    <w:rPr>
      <w:rFonts w:ascii="Arial" w:eastAsia="Arial" w:hAnsi="Arial" w:cs="Arial"/>
      <w:sz w:val="24"/>
    </w:rPr>
  </w:style>
  <w:style w:type="paragraph" w:styleId="Heading 1">
    <w:name w:val="Heading 1"/>
    <w:basedOn w:val="Normal"/>
    <w:next w:val="Normal"/>
    <w:link w:val="Heading 1 Char"/>
    <w:pPr>
      <w:pBdr/>
      <w:outlineLvl w:val="0"/>
      <w:spacing w:after="160" w:line="259" w:lineRule="auto"/>
      <w:contextualSpacing/>
      <w:ind/>
      <w:jc w:val="left"/>
    </w:pPr>
    <w:rPr>
      <w:rFonts w:ascii="Arial" w:eastAsia="Arial" w:hAnsi="Arial" w:cs="Times New Roman"/>
      <w:b/>
      <w:color w:val="000000"/>
      <w:sz w:val="32"/>
      <w:szCs w:val="24"/>
    </w:rPr>
  </w:style>
  <w:style w:type="character" w:styleId="Heading 1 Char">
    <w:name w:val="Heading 1 Char"/>
    <w:basedOn w:val="Default Paragraph Font"/>
    <w:link w:val="Heading 1"/>
    <w:rPr>
      <w:rFonts w:ascii="Arial" w:eastAsia="Arial" w:hAnsi="Arial" w:cs="Times New Roman"/>
      <w:b/>
      <w:sz w:val="24"/>
      <w:szCs w:val="24"/>
    </w:rPr>
  </w:style>
  <w:style w:type="character" w:styleId="Default Paragraph Font">
    <w:name w:val="Default Paragraph Font"/>
    <w:rPr>
      <w:rFonts w:ascii="Arial" w:eastAsia="Arial" w:hAnsi="Arial" w:cs="Arial"/>
    </w:rPr>
  </w:style>
  <w:style w:type="paragraph" w:styleId="Heading 2">
    <w:name w:val="Heading 2"/>
    <w:basedOn w:val="Normal"/>
    <w:next w:val="Normal"/>
    <w:link w:val="Heading 2 Char"/>
    <w:pPr>
      <w:pBdr/>
      <w:outlineLvl w:val="1"/>
      <w:spacing w:before="120" w:after="120"/>
      <w:ind/>
      <w:jc w:val="left"/>
    </w:pPr>
    <w:rPr>
      <w:rFonts w:ascii="Arial" w:eastAsia="Arial" w:hAnsi="Arial" w:cs="Times New Roman"/>
      <w:b/>
      <w:bCs/>
      <w:color w:val="000000"/>
      <w:sz w:val="28"/>
      <w:szCs w:val="24"/>
    </w:rPr>
  </w:style>
  <w:style w:type="character" w:styleId="Heading 2 Char">
    <w:name w:val="Heading 2 Char"/>
    <w:basedOn w:val="Default Paragraph Font"/>
    <w:link w:val="Heading 2"/>
    <w:rPr>
      <w:rFonts w:ascii="Arial" w:eastAsia="Arial" w:hAnsi="Arial" w:cs="Times New Roman"/>
      <w:b/>
      <w:bCs/>
      <w:sz w:val="24"/>
      <w:szCs w:val="24"/>
    </w:rPr>
  </w:style>
  <w:style w:type="paragraph" w:styleId="Heading 3">
    <w:name w:val="Heading 3"/>
    <w:basedOn w:val="Normal"/>
    <w:next w:val="Normal"/>
    <w:link w:val="Heading 3 Char"/>
    <w:pPr>
      <w:pBdr/>
      <w:keepNext/>
      <w:keepLines/>
      <w:outlineLvl w:val="2"/>
      <w:spacing w:before="160" w:after="80"/>
      <w:ind/>
      <w:jc w:val="left"/>
    </w:pPr>
    <w:rPr>
      <w:rFonts w:ascii="Arial" w:eastAsia="Arial" w:hAnsi="Arial" w:cstheme="majorBidi"/>
      <w:b/>
      <w:color w:val="000000"/>
      <w:sz w:val="26"/>
      <w:szCs w:val="28"/>
    </w:rPr>
  </w:style>
  <w:style w:type="character" w:styleId="Heading 3 Char">
    <w:name w:val="Heading 3 Char"/>
    <w:basedOn w:val="Default Paragraph Font"/>
    <w:link w:val="Heading 3"/>
    <w:rPr>
      <w:rFonts w:ascii="Arial" w:eastAsia="Arial" w:hAnsi="Arial" w:cstheme="majorBidi"/>
      <w:color w:val="0F4761"/>
      <w:sz w:val="28"/>
      <w:szCs w:val="28"/>
    </w:rPr>
  </w:style>
  <w:style w:type="paragraph" w:styleId="Heading 4">
    <w:name w:val="Heading 4"/>
    <w:basedOn w:val="Normal"/>
    <w:next w:val="Normal"/>
    <w:link w:val="Heading 4 Char"/>
    <w:pPr>
      <w:pBdr/>
      <w:keepNext/>
      <w:keepLines/>
      <w:outlineLvl w:val="3"/>
      <w:spacing w:before="80" w:after="40"/>
      <w:ind/>
      <w:jc w:val="left"/>
    </w:pPr>
    <w:rPr>
      <w:rFonts w:ascii="Arial" w:eastAsia="Arial" w:hAnsi="Arial" w:cstheme="majorBidi"/>
      <w:b/>
      <w:i/>
      <w:iCs/>
      <w:color w:val="000000"/>
      <w:sz w:val="24"/>
    </w:rPr>
  </w:style>
  <w:style w:type="character" w:styleId="Heading 4 Char">
    <w:name w:val="Heading 4 Char"/>
    <w:basedOn w:val="Default Paragraph Font"/>
    <w:link w:val="Heading 4"/>
    <w:rPr>
      <w:rFonts w:ascii="Arial" w:eastAsia="Arial" w:hAnsi="Arial" w:cstheme="majorBidi"/>
      <w:i/>
      <w:iCs/>
      <w:color w:val="0F4761"/>
      <w:sz w:val="24"/>
    </w:rPr>
  </w:style>
  <w:style w:type="paragraph" w:styleId="Heading 5">
    <w:name w:val="Heading 5"/>
    <w:basedOn w:val="Normal"/>
    <w:next w:val="Normal"/>
    <w:link w:val="Heading 5 Char"/>
    <w:pPr>
      <w:pBdr/>
      <w:keepNext/>
      <w:keepLines/>
      <w:outlineLvl w:val="4"/>
      <w:spacing w:before="80" w:after="40"/>
      <w:ind/>
      <w:jc w:val="left"/>
    </w:pPr>
    <w:rPr>
      <w:rFonts w:ascii="Arial" w:eastAsia="Arial" w:hAnsi="Arial" w:cstheme="majorBidi"/>
      <w:b/>
      <w:color w:val="000000"/>
      <w:sz w:val="22"/>
    </w:rPr>
  </w:style>
  <w:style w:type="character" w:styleId="Heading 5 Char">
    <w:name w:val="Heading 5 Char"/>
    <w:basedOn w:val="Default Paragraph Font"/>
    <w:link w:val="Heading 5"/>
    <w:rPr>
      <w:rFonts w:ascii="Arial" w:eastAsia="Arial" w:hAnsi="Arial" w:cstheme="majorBidi"/>
      <w:color w:val="0F4761"/>
      <w:sz w:val="24"/>
    </w:rPr>
  </w:style>
  <w:style w:type="paragraph" w:styleId="Heading 6">
    <w:name w:val="Heading 6"/>
    <w:basedOn w:val="Normal"/>
    <w:next w:val="Normal"/>
    <w:link w:val="Heading 6 Char"/>
    <w:pPr>
      <w:pBdr/>
      <w:keepNext/>
      <w:keepLines/>
      <w:outlineLvl w:val="5"/>
      <w:spacing w:before="40"/>
      <w:ind/>
      <w:jc w:val="left"/>
    </w:pPr>
    <w:rPr>
      <w:rFonts w:ascii="Arial" w:eastAsia="Arial" w:hAnsi="Arial" w:cstheme="majorBidi"/>
      <w:b/>
      <w:i/>
      <w:iCs/>
      <w:color w:val="000000"/>
      <w:sz w:val="22"/>
    </w:rPr>
  </w:style>
  <w:style w:type="character" w:styleId="Heading 6 Char">
    <w:name w:val="Heading 6 Char"/>
    <w:basedOn w:val="Default Paragraph Font"/>
    <w:link w:val="Heading 6"/>
    <w:rPr>
      <w:rFonts w:ascii="Arial" w:eastAsia="Arial" w:hAnsi="Arial" w:cstheme="majorBidi"/>
      <w:i/>
      <w:iCs/>
      <w:color w:val="595959"/>
      <w:sz w:val="24"/>
    </w:rPr>
  </w:style>
  <w:style w:type="paragraph" w:styleId="Heading 7">
    <w:name w:val="Heading 7"/>
    <w:basedOn w:val="Normal"/>
    <w:next w:val="Normal"/>
    <w:link w:val="Heading 7 Char"/>
    <w:pPr>
      <w:pBdr/>
      <w:keepNext/>
      <w:keepLines/>
      <w:outlineLvl w:val="6"/>
      <w:spacing w:before="40"/>
      <w:ind/>
      <w:jc w:val="left"/>
    </w:pPr>
    <w:rPr>
      <w:rFonts w:ascii="Arial" w:eastAsia="Arial" w:hAnsi="Arial" w:cstheme="majorBidi"/>
      <w:b/>
      <w:color w:val="000000"/>
      <w:sz w:val="21"/>
    </w:rPr>
  </w:style>
  <w:style w:type="character" w:styleId="Heading 7 Char">
    <w:name w:val="Heading 7 Char"/>
    <w:basedOn w:val="Default Paragraph Font"/>
    <w:link w:val="Heading 7"/>
    <w:rPr>
      <w:rFonts w:ascii="Arial" w:eastAsia="Arial" w:hAnsi="Arial" w:cstheme="majorBidi"/>
      <w:color w:val="595959"/>
      <w:sz w:val="24"/>
    </w:rPr>
  </w:style>
  <w:style w:type="paragraph" w:styleId="Heading 8">
    <w:name w:val="Heading 8"/>
    <w:basedOn w:val="Normal"/>
    <w:next w:val="Normal"/>
    <w:link w:val="Heading 8 Char"/>
    <w:pPr>
      <w:pBdr/>
      <w:keepNext/>
      <w:keepLines/>
      <w:outlineLvl w:val="7"/>
      <w:spacing/>
      <w:ind/>
      <w:jc w:val="left"/>
    </w:pPr>
    <w:rPr>
      <w:rFonts w:ascii="Arial" w:eastAsia="Arial" w:hAnsi="Arial" w:cstheme="majorBidi"/>
      <w:b/>
      <w:i/>
      <w:iCs/>
      <w:color w:val="000000"/>
      <w:sz w:val="20"/>
    </w:rPr>
  </w:style>
  <w:style w:type="character" w:styleId="Heading 8 Char">
    <w:name w:val="Heading 8 Char"/>
    <w:basedOn w:val="Default Paragraph Font"/>
    <w:link w:val="Heading 8"/>
    <w:rPr>
      <w:rFonts w:ascii="Arial" w:eastAsia="Arial" w:hAnsi="Arial" w:cstheme="majorBidi"/>
      <w:i/>
      <w:iCs/>
      <w:color w:val="272727"/>
      <w:sz w:val="24"/>
    </w:rPr>
  </w:style>
  <w:style w:type="paragraph" w:styleId="Heading 9">
    <w:name w:val="Heading 9"/>
    <w:basedOn w:val="Normal"/>
    <w:next w:val="Normal"/>
    <w:link w:val="Heading 9 Char"/>
    <w:pPr>
      <w:pBdr/>
      <w:keepNext/>
      <w:keepLines/>
      <w:outlineLvl w:val="8"/>
      <w:spacing/>
      <w:ind/>
      <w:jc w:val="left"/>
    </w:pPr>
    <w:rPr>
      <w:rFonts w:ascii="Arial" w:eastAsia="Arial" w:hAnsi="Arial" w:cstheme="majorBidi"/>
      <w:b/>
      <w:color w:val="000000"/>
      <w:sz w:val="20"/>
    </w:rPr>
  </w:style>
  <w:style w:type="character" w:styleId="Heading 9 Char">
    <w:name w:val="Heading 9 Char"/>
    <w:basedOn w:val="Default Paragraph Font"/>
    <w:link w:val="Heading 9"/>
    <w:rPr>
      <w:rFonts w:ascii="Arial" w:eastAsia="Arial" w:hAnsi="Arial" w:cstheme="majorBidi"/>
      <w:color w:val="272727"/>
      <w:sz w:val="24"/>
    </w:rPr>
  </w:style>
  <w:style w:type="character" w:styleId="Hyperlink">
    <w:name w:val="Hyperlink"/>
    <w:basedOn w:val="Default Paragraph Font"/>
    <w:rPr>
      <w:rFonts w:ascii="Arial" w:eastAsia="Arial" w:hAnsi="Arial" w:cs="Arial" w:hint="default"/>
      <w:b w:val="0"/>
      <w:i w:val="0"/>
      <w:iCs w:val="0"/>
      <w:strike w:val="0"/>
      <w:dstrike w:val="0"/>
      <w:color w:val="0000FF"/>
      <w:sz w:val="18"/>
      <w:szCs w:val="18"/>
      <w:u w:val="single"/>
    </w:rPr>
  </w:style>
  <w:style w:type="paragraph" w:styleId="Title">
    <w:name w:val="Title"/>
    <w:basedOn w:val="Normal"/>
    <w:next w:val="Normal"/>
    <w:link w:val="Title Char"/>
    <w:pPr>
      <w:pBdr/>
      <w:spacing/>
      <w:widowControl w:val="0"/>
      <w:ind/>
      <w:jc w:val="center"/>
    </w:pPr>
    <w:rPr>
      <w:rFonts w:ascii="Arial" w:eastAsia="Arial" w:hAnsi="Arial" w:cs="Times New Roman"/>
      <w:b/>
      <w:szCs w:val="24"/>
    </w:rPr>
  </w:style>
  <w:style w:type="character" w:styleId="Title Char">
    <w:name w:val="Title Char"/>
    <w:basedOn w:val="Default Paragraph Font"/>
    <w:link w:val="Title"/>
    <w:rPr>
      <w:rFonts w:ascii="Arial" w:eastAsia="Arial" w:hAnsi="Arial" w:cs="Times New Roman"/>
      <w:b/>
      <w:sz w:val="24"/>
      <w:szCs w:val="24"/>
    </w:rPr>
  </w:style>
  <w:style w:type="paragraph" w:styleId="Subtitle">
    <w:name w:val="Subtitle"/>
    <w:basedOn w:val="Normal"/>
    <w:next w:val="Normal"/>
    <w:link w:val="Subtitle Char"/>
    <w:pPr>
      <w:pBdr/>
      <w:numPr>
        <w:ilvl w:val="1"/>
      </w:numPr>
      <w:spacing w:after="160"/>
      <w:ind/>
    </w:pPr>
    <w:rPr>
      <w:rFonts w:ascii="Arial" w:eastAsia="Arial" w:hAnsi="Arial" w:cstheme="majorBidi"/>
      <w:color w:val="595959"/>
      <w:sz w:val="28"/>
      <w:spacing w:val="15"/>
      <w:szCs w:val="28"/>
    </w:rPr>
  </w:style>
  <w:style w:type="character" w:styleId="Subtitle Char">
    <w:name w:val="Subtitle Char"/>
    <w:basedOn w:val="Default Paragraph Font"/>
    <w:link w:val="Subtitle"/>
    <w:rPr>
      <w:rFonts w:ascii="Arial" w:eastAsia="Arial" w:hAnsi="Arial" w:cstheme="majorBidi"/>
      <w:color w:val="595959"/>
      <w:sz w:val="28"/>
      <w:spacing w:val="15"/>
      <w:szCs w:val="28"/>
    </w:rPr>
  </w:style>
  <w:style w:type="paragraph" w:styleId="Quote">
    <w:name w:val="Quote"/>
    <w:basedOn w:val="Normal"/>
    <w:next w:val="Normal"/>
    <w:link w:val="Quote Char"/>
    <w:pPr>
      <w:pBdr/>
      <w:spacing w:before="160" w:after="160"/>
      <w:ind/>
      <w:jc w:val="center"/>
    </w:pPr>
    <w:rPr>
      <w:rFonts w:ascii="Arial" w:eastAsia="Arial" w:hAnsi="Arial" w:cs="Arial"/>
      <w:i/>
      <w:iCs/>
      <w:color w:val="404040"/>
    </w:rPr>
  </w:style>
  <w:style w:type="character" w:styleId="Quote Char">
    <w:name w:val="Quote Char"/>
    <w:basedOn w:val="Default Paragraph Font"/>
    <w:link w:val="Quote"/>
    <w:rPr>
      <w:rFonts w:ascii="Arial" w:eastAsia="Arial" w:hAnsi="Arial" w:cs="Arial"/>
      <w:i/>
      <w:iCs/>
      <w:color w:val="404040"/>
      <w:sz w:val="24"/>
    </w:rPr>
  </w:style>
  <w:style w:type="paragraph" w:styleId="List Paragraph">
    <w:name w:val="List Paragraph"/>
    <w:basedOn w:val="Normal"/>
    <w:next w:val="List Paragraph"/>
    <w:pPr>
      <w:pBdr/>
      <w:spacing/>
      <w:contextualSpacing/>
      <w:ind w:left="720"/>
    </w:pPr>
    <w:rPr>
      <w:rFonts w:ascii="Arial" w:eastAsia="Arial" w:hAnsi="Arial" w:cs="Arial"/>
    </w:rPr>
  </w:style>
  <w:style w:type="character" w:styleId="Intense Emphasis">
    <w:name w:val="Intense Emphasis"/>
    <w:basedOn w:val="Default Paragraph Font"/>
    <w:rPr>
      <w:rFonts w:ascii="Arial" w:eastAsia="Arial" w:hAnsi="Arial" w:cs="Arial"/>
      <w:i/>
      <w:iCs/>
      <w:color w:val="0F4761"/>
    </w:rPr>
  </w:style>
  <w:style w:type="paragraph" w:styleId="Intense Quote">
    <w:name w:val="Intense Quote"/>
    <w:basedOn w:val="Normal"/>
    <w:next w:val="Normal"/>
    <w:link w:val="Intense Quote Char"/>
    <w:pPr>
      <w:pBdr>
        <w:top w:val="single" w:color="0F4761" w:sz="4" w:space="10"/>
        <w:bottom w:val="single" w:color="0F4761" w:sz="4" w:space="10"/>
      </w:pBdr>
      <w:spacing w:before="360" w:after="360"/>
      <w:ind w:left="864" w:right="864"/>
      <w:jc w:val="center"/>
    </w:pPr>
    <w:rPr>
      <w:rFonts w:ascii="Arial" w:eastAsia="Arial" w:hAnsi="Arial" w:cs="Arial"/>
      <w:i/>
      <w:iCs/>
      <w:color w:val="0F4761"/>
    </w:rPr>
  </w:style>
  <w:style w:type="character" w:styleId="Intense Quote Char">
    <w:name w:val="Intense Quote Char"/>
    <w:basedOn w:val="Default Paragraph Font"/>
    <w:link w:val="Intense Quote"/>
    <w:rPr>
      <w:rFonts w:ascii="Arial" w:eastAsia="Arial" w:hAnsi="Arial" w:cs="Arial"/>
      <w:i/>
      <w:iCs/>
      <w:color w:val="0F4761"/>
      <w:sz w:val="24"/>
    </w:rPr>
  </w:style>
  <w:style w:type="character" w:styleId="Intense Reference">
    <w:name w:val="Intense Reference"/>
    <w:basedOn w:val="Default Paragraph Font"/>
    <w:rPr>
      <w:rFonts w:ascii="Arial" w:eastAsia="Arial" w:hAnsi="Arial" w:cs="Arial"/>
      <w:b/>
      <w:bCs/>
      <w:color w:val="0F4761"/>
      <w:spacing w:val="5"/>
    </w:rPr>
  </w:style>
  <w:style w:type="paragraph" w:styleId="Header">
    <w:name w:val="Header"/>
    <w:basedOn w:val="Normal"/>
    <w:next w:val="Header"/>
    <w:link w:val="Header Char"/>
    <w:pPr>
      <w:pBdr/>
      <w:spacing/>
      <w:ind/>
      <w:tabs>
        <w:tab w:val="center" w:pos="4536.000061035156"/>
        <w:tab w:val="right" w:pos="9072.000122070312"/>
      </w:tabs>
    </w:pPr>
    <w:rPr>
      <w:rFonts w:ascii="Arial" w:eastAsia="Arial" w:hAnsi="Arial" w:cs="Arial"/>
    </w:rPr>
  </w:style>
  <w:style w:type="character" w:styleId="Header Char">
    <w:name w:val="Header Char"/>
    <w:basedOn w:val="Default Paragraph Font"/>
    <w:link w:val="Header"/>
    <w:rPr>
      <w:rFonts w:ascii="Arial" w:eastAsia="Arial" w:hAnsi="Arial" w:cs="Arial"/>
      <w:sz w:val="24"/>
    </w:rPr>
  </w:style>
  <w:style w:type="paragraph" w:styleId="Footer">
    <w:name w:val="Footer"/>
    <w:basedOn w:val="Normal"/>
    <w:next w:val="Footer"/>
    <w:link w:val="Footer Char"/>
    <w:pPr>
      <w:pBdr/>
      <w:spacing/>
      <w:ind/>
      <w:tabs>
        <w:tab w:val="center" w:pos="4536.000061035156"/>
        <w:tab w:val="right" w:pos="9072.000122070312"/>
      </w:tabs>
    </w:pPr>
    <w:rPr>
      <w:rFonts w:ascii="Arial" w:eastAsia="Arial" w:hAnsi="Arial" w:cs="Arial"/>
    </w:rPr>
  </w:style>
  <w:style w:type="character" w:styleId="Footer Char">
    <w:name w:val="Footer Char"/>
    <w:basedOn w:val="Default Paragraph Font"/>
    <w:link w:val="Footer"/>
    <w:rPr>
      <w:rFonts w:ascii="Arial" w:eastAsia="Arial" w:hAnsi="Arial" w:cs="Arial"/>
      <w:sz w:val="24"/>
    </w:rPr>
  </w:style>
  <w:style w:type="paragraph" w:styleId="box_481408">
    <w:name w:val="box_481408"/>
    <w:basedOn w:val="Normal"/>
    <w:next w:val="box_481408"/>
    <w:pPr>
      <w:pBdr/>
      <w:spacing w:before="100" w:beforeAutospacing="true" w:after="100" w:afterAutospacing="true"/>
      <w:ind/>
    </w:pPr>
    <w:rPr>
      <w:rFonts w:ascii="Arial" w:eastAsia="Arial" w:hAnsi="Arial" w:cs="Times New Roman"/>
      <w:szCs w:val="24"/>
    </w:rPr>
  </w:style>
  <w:style w:type="paragraph" w:styleId="oj-normal">
    <w:name w:val="oj-normal"/>
    <w:basedOn w:val="Normal"/>
    <w:next w:val="oj-normal"/>
    <w:pPr>
      <w:pBdr/>
      <w:spacing w:before="100" w:beforeAutospacing="true" w:after="100" w:afterAutospacing="true"/>
      <w:ind/>
    </w:pPr>
    <w:rPr>
      <w:rFonts w:ascii="Arial" w:eastAsia="Arial" w:hAnsi="Arial" w:cs="Times New Roman"/>
      <w:szCs w:val="24"/>
    </w:rPr>
  </w:style>
  <w:style w:type="paragraph" w:styleId="box_480015">
    <w:name w:val="box_480015"/>
    <w:basedOn w:val="Normal"/>
    <w:next w:val="box_480015"/>
    <w:pPr>
      <w:pBdr/>
      <w:spacing w:before="100" w:beforeAutospacing="true" w:after="100" w:afterAutospacing="true"/>
      <w:ind/>
    </w:pPr>
    <w:rPr>
      <w:rFonts w:ascii="Arial" w:eastAsia="Arial" w:hAnsi="Arial" w:cs="Times New Roman"/>
      <w:szCs w:val="24"/>
    </w:rPr>
  </w:style>
  <w:style w:type="character" w:styleId="kurziv">
    <w:name w:val="kurziv"/>
    <w:basedOn w:val="Default Paragraph Font"/>
    <w:rPr>
      <w:rFonts w:ascii="Arial" w:eastAsia="Arial" w:hAnsi="Arial" w:cs="Arial"/>
    </w:rPr>
  </w:style>
  <w:style w:type="paragraph" w:styleId="Revision">
    <w:name w:val="Revision"/>
    <w:next w:val="Revision"/>
    <w:pPr>
      <w:pBdr/>
      <w:spacing/>
      <w:ind/>
    </w:pPr>
    <w:rPr>
      <w:rFonts w:ascii="Arial" w:eastAsia="Arial" w:hAnsi="Arial" w:cs="Arial"/>
      <w:sz w:val="24"/>
    </w:rPr>
  </w:style>
  <w:style w:type="character" w:styleId="annotation reference">
    <w:name w:val="annotation reference"/>
    <w:basedOn w:val="Default Paragraph Font"/>
    <w:rPr>
      <w:rFonts w:ascii="Arial" w:eastAsia="Arial" w:hAnsi="Arial" w:cs="Arial"/>
      <w:sz w:val="16"/>
      <w:szCs w:val="16"/>
    </w:rPr>
  </w:style>
  <w:style w:type="paragraph" w:styleId="annotation text">
    <w:name w:val="annotation text"/>
    <w:basedOn w:val="Normal"/>
    <w:next w:val="annotation text"/>
    <w:link w:val="Comment Text Char"/>
    <w:pPr>
      <w:pBdr/>
      <w:spacing/>
      <w:ind/>
    </w:pPr>
    <w:rPr>
      <w:rFonts w:ascii="Arial" w:eastAsia="Arial" w:hAnsi="Arial" w:cs="Arial"/>
      <w:sz w:val="20"/>
      <w:szCs w:val="20"/>
    </w:rPr>
  </w:style>
  <w:style w:type="character" w:styleId="Comment Text Char">
    <w:name w:val="Comment Text Char"/>
    <w:basedOn w:val="Default Paragraph Font"/>
    <w:rPr>
      <w:rFonts w:ascii="Arial" w:eastAsia="Arial" w:hAnsi="Arial" w:cs="Arial"/>
      <w:sz w:val="20"/>
      <w:szCs w:val="20"/>
    </w:rPr>
  </w:style>
  <w:style w:type="paragraph" w:styleId="annotation subject">
    <w:name w:val="annotation subject"/>
    <w:basedOn w:val="annotation text"/>
    <w:next w:val="annotation text"/>
    <w:link w:val="Comment Subject Char"/>
    <w:pPr>
      <w:pBdr/>
      <w:spacing/>
      <w:ind/>
    </w:pPr>
    <w:rPr>
      <w:rFonts w:ascii="Arial" w:eastAsia="Arial" w:hAnsi="Arial" w:cs="Arial"/>
      <w:b/>
      <w:bCs/>
    </w:rPr>
  </w:style>
  <w:style w:type="character" w:styleId="Comment Subject Char">
    <w:name w:val="Comment Subject Char"/>
    <w:basedOn w:val="Comment Text Char"/>
    <w:rPr>
      <w:rFonts w:ascii="Arial" w:eastAsia="Arial" w:hAnsi="Arial" w:cs="Arial"/>
      <w:b/>
      <w:bCs/>
      <w:sz w:val="20"/>
      <w:szCs w:val="20"/>
    </w:rPr>
  </w:style>
  <w:style w:type="character" w:styleId="Strong">
    <w:name w:val="Strong"/>
    <w:basedOn w:val="Default Paragraph Font"/>
    <w:rPr>
      <w:rFonts w:ascii="Arial" w:eastAsia="Arial" w:hAnsi="Arial" w:cs="Arial"/>
      <w:b/>
      <w:bCs/>
    </w:rPr>
  </w:style>
  <w:style w:type="paragraph" w:styleId="Normal (Web)">
    <w:name w:val="Normal (Web)"/>
    <w:basedOn w:val="Normal"/>
    <w:next w:val="Normal (Web)"/>
    <w:pPr>
      <w:pBdr/>
      <w:spacing w:before="100" w:beforeAutospacing="true" w:after="100" w:afterAutospacing="true"/>
      <w:ind/>
    </w:pPr>
    <w:rPr>
      <w:rFonts w:ascii="Arial" w:eastAsia="Arial" w:hAnsi="Arial" w:cs="Times New Roman"/>
      <w:szCs w:val="24"/>
    </w:rPr>
  </w:style>
  <w:style w:type="paragraph" w:styleId="box_479367">
    <w:name w:val="box_479367"/>
    <w:basedOn w:val="Normal"/>
    <w:next w:val="box_479367"/>
    <w:pPr>
      <w:pBdr/>
      <w:spacing w:before="100" w:beforeAutospacing="true" w:after="100" w:afterAutospacing="true"/>
      <w:ind/>
    </w:pPr>
    <w:rPr>
      <w:rFonts w:ascii="Arial" w:eastAsia="Arial" w:hAnsi="Arial" w:cs="Aptos"/>
      <w:szCs w:val="24"/>
    </w:rPr>
  </w:style>
  <w:style w:type="character" w:styleId="cf01">
    <w:name w:val="cf01"/>
    <w:basedOn w:val="Default Paragraph Font"/>
    <w:rPr>
      <w:rFonts w:ascii="Arial" w:eastAsia="Arial" w:hAnsi="Arial" w:cs="Segoe UI" w:hint="default"/>
      <w:sz w:val="18"/>
      <w:szCs w:val="18"/>
    </w:rPr>
  </w:style>
  <w:style w:type="character" w:styleId="Unresolved Mention">
    <w:name w:val="Unresolved Mention"/>
    <w:basedOn w:val="Default Paragraph Font"/>
    <w:rPr>
      <w:rFonts w:ascii="Arial" w:eastAsia="Arial" w:hAnsi="Arial" w:cs="Arial"/>
      <w:color w:val="605E5C"/>
    </w:rPr>
  </w:style>
  <w:style w:type="paragraph" w:styleId="pf1">
    <w:name w:val="pf1"/>
    <w:basedOn w:val="Normal"/>
    <w:next w:val="pf1"/>
    <w:pPr>
      <w:pBdr/>
      <w:spacing w:before="100" w:beforeAutospacing="true" w:after="100" w:afterAutospacing="true"/>
      <w:ind w:left="300"/>
    </w:pPr>
    <w:rPr>
      <w:rFonts w:ascii="Arial" w:eastAsia="Arial" w:hAnsi="Arial" w:cs="Times New Roman"/>
      <w:szCs w:val="24"/>
    </w:rPr>
  </w:style>
  <w:style w:type="paragraph" w:styleId="pf0">
    <w:name w:val="pf0"/>
    <w:basedOn w:val="Normal"/>
    <w:next w:val="pf0"/>
    <w:pPr>
      <w:pBdr/>
      <w:spacing w:before="100" w:beforeAutospacing="true" w:after="100" w:afterAutospacing="true"/>
      <w:ind/>
    </w:pPr>
    <w:rPr>
      <w:rFonts w:ascii="Arial" w:eastAsia="Arial" w:hAnsi="Arial" w:cs="Times New Roman"/>
      <w:szCs w:val="24"/>
    </w:rPr>
  </w:style>
  <w:style w:type="paragraph" w:styleId="isselectedend">
    <w:name w:val="isselectedend"/>
    <w:basedOn w:val="Normal"/>
    <w:next w:val="isselectedend"/>
    <w:pPr>
      <w:pBdr/>
      <w:spacing w:before="100" w:beforeAutospacing="true" w:after="100" w:afterAutospacing="true"/>
      <w:ind/>
    </w:pPr>
    <w:rPr>
      <w:rFonts w:ascii="Arial" w:eastAsia="Arial" w:hAnsi="Arial" w:cs="Times New Roman"/>
      <w:szCs w:val="24"/>
    </w:rPr>
  </w:style>
  <w:style w:type="paragraph" w:styleId="Title_1">
    <w:name w:val="Title_1"/>
    <w:basedOn w:val="Normal"/>
    <w:next w:val="Normal"/>
    <w:pPr>
      <w:pBdr/>
      <w:outlineLvl w:val="0"/>
      <w:spacing/>
      <w:ind/>
      <w:jc w:val="center"/>
    </w:pPr>
    <w:rPr>
      <w:rFonts w:ascii="Arial" w:hAnsi="Arial"/>
      <w:b/>
      <w:color w:val="000000"/>
      <w:sz w:val="36"/>
    </w:rPr>
  </w:style>
</w:styles>
</file>

<file path=word/_rels/document.xml.rels><?xml version="1.0" encoding="utf-8"?><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endnotes" Target="endnotes.xml" /><Relationship Id="rId6" Type="http://schemas.openxmlformats.org/officeDocument/2006/relationships/footnotes" Target="footnotes.xml" /><Relationship Id="rId7" Type="http://schemas.openxmlformats.org/officeDocument/2006/relationships/theme" Target="theme/theme1.xml" /><Relationship Id="rId8" Type="http://schemas.openxmlformats.org/officeDocument/2006/relationships/numbering" Target="numbering.xml" /><Relationship Id="rId1" Type="http://schemas.openxmlformats.org/officeDocument/2006/relationships/header" Target="header1.xml" /><Relationship Id="rId2"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
      <a:majorFont>
        <a:latin typeface="Aptos Display" panose="02110004020202020204"/>
        <a:ea typeface="" panose="02110004020202020204"/>
        <a:cs typeface="" panose="0211000402020202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panose="02110004020202020204"/>
        <a:cs typeface="" panose="02110004020202020204"/>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